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385B" w14:textId="77777777" w:rsidR="00F37089" w:rsidRDefault="00A41751">
      <w:pPr>
        <w:pStyle w:val="Title"/>
      </w:pPr>
      <w:r>
        <w:rPr>
          <w:color w:val="212121"/>
        </w:rPr>
        <w:t>A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Rights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Queensland</w:t>
      </w:r>
    </w:p>
    <w:p w14:paraId="2B8CDE57" w14:textId="77777777" w:rsidR="00F37089" w:rsidRDefault="00A41751">
      <w:pPr>
        <w:pStyle w:val="Heading1"/>
        <w:spacing w:before="549"/>
      </w:pPr>
      <w:r>
        <w:rPr>
          <w:color w:val="212121"/>
          <w:w w:val="105"/>
        </w:rPr>
        <w:t>A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could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help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people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access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justice.</w:t>
      </w:r>
    </w:p>
    <w:p w14:paraId="563A7CEE" w14:textId="77777777" w:rsidR="00F37089" w:rsidRDefault="00A41751">
      <w:pPr>
        <w:pStyle w:val="BodyText"/>
        <w:spacing w:before="400" w:line="331" w:lineRule="auto"/>
        <w:ind w:left="139"/>
      </w:pPr>
      <w:r>
        <w:rPr>
          <w:color w:val="212121"/>
          <w:w w:val="105"/>
        </w:rPr>
        <w:t>A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help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create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fair,</w:t>
      </w:r>
      <w:r>
        <w:rPr>
          <w:color w:val="212121"/>
          <w:spacing w:val="-14"/>
          <w:w w:val="105"/>
        </w:rPr>
        <w:t xml:space="preserve"> </w:t>
      </w:r>
      <w:proofErr w:type="gramStart"/>
      <w:r>
        <w:rPr>
          <w:color w:val="212121"/>
          <w:w w:val="105"/>
        </w:rPr>
        <w:t>just</w:t>
      </w:r>
      <w:proofErr w:type="gramEnd"/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equal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society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everyone.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When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05"/>
        </w:rPr>
        <w:t xml:space="preserve">are protected by </w:t>
      </w:r>
      <w:proofErr w:type="gramStart"/>
      <w:r>
        <w:rPr>
          <w:color w:val="212121"/>
          <w:w w:val="105"/>
        </w:rPr>
        <w:t>law</w:t>
      </w:r>
      <w:proofErr w:type="gramEnd"/>
      <w:r>
        <w:rPr>
          <w:color w:val="212121"/>
          <w:w w:val="105"/>
        </w:rPr>
        <w:t xml:space="preserve"> they help to ensure that we are all treated fairly, and with dignity, equality and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05"/>
        </w:rPr>
        <w:t>respect.</w:t>
      </w:r>
    </w:p>
    <w:p w14:paraId="1CD7A1B0" w14:textId="77777777" w:rsidR="00F37089" w:rsidRDefault="00F37089">
      <w:pPr>
        <w:pStyle w:val="BodyText"/>
        <w:spacing w:before="10"/>
        <w:rPr>
          <w:sz w:val="51"/>
        </w:rPr>
      </w:pPr>
    </w:p>
    <w:p w14:paraId="17628DA5" w14:textId="77777777" w:rsidR="00F37089" w:rsidRDefault="00A41751">
      <w:pPr>
        <w:pStyle w:val="BodyText"/>
        <w:spacing w:line="331" w:lineRule="auto"/>
        <w:ind w:left="139"/>
      </w:pPr>
      <w:r>
        <w:rPr>
          <w:color w:val="212121"/>
          <w:w w:val="105"/>
        </w:rPr>
        <w:t>Human rights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protection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also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help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to improve</w:t>
      </w:r>
      <w:r>
        <w:rPr>
          <w:color w:val="212121"/>
          <w:spacing w:val="1"/>
          <w:w w:val="105"/>
        </w:rPr>
        <w:t xml:space="preserve"> </w:t>
      </w:r>
      <w:proofErr w:type="gramStart"/>
      <w:r>
        <w:rPr>
          <w:color w:val="212121"/>
          <w:w w:val="105"/>
        </w:rPr>
        <w:t>particular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systemic</w:t>
      </w:r>
      <w:proofErr w:type="gramEnd"/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issues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–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for example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improving</w:t>
      </w:r>
      <w:r>
        <w:rPr>
          <w:color w:val="212121"/>
          <w:spacing w:val="-121"/>
          <w:w w:val="105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35"/>
          <w:w w:val="110"/>
        </w:rPr>
        <w:t xml:space="preserve"> </w:t>
      </w:r>
      <w:r>
        <w:rPr>
          <w:color w:val="212121"/>
          <w:w w:val="110"/>
        </w:rPr>
        <w:t>ability</w:t>
      </w:r>
      <w:r>
        <w:rPr>
          <w:color w:val="212121"/>
          <w:spacing w:val="-35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people</w:t>
      </w:r>
      <w:r>
        <w:rPr>
          <w:color w:val="212121"/>
          <w:spacing w:val="-35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access</w:t>
      </w:r>
      <w:r>
        <w:rPr>
          <w:color w:val="212121"/>
          <w:spacing w:val="-35"/>
          <w:w w:val="110"/>
        </w:rPr>
        <w:t xml:space="preserve"> </w:t>
      </w:r>
      <w:r>
        <w:rPr>
          <w:color w:val="212121"/>
          <w:w w:val="110"/>
        </w:rPr>
        <w:t>justice.</w:t>
      </w:r>
    </w:p>
    <w:p w14:paraId="3AE0A8F7" w14:textId="77777777" w:rsidR="00F37089" w:rsidRDefault="00F37089">
      <w:pPr>
        <w:pStyle w:val="BodyText"/>
        <w:rPr>
          <w:sz w:val="52"/>
        </w:rPr>
      </w:pPr>
    </w:p>
    <w:p w14:paraId="57BEE425" w14:textId="77777777" w:rsidR="00F37089" w:rsidRDefault="00A41751">
      <w:pPr>
        <w:pStyle w:val="BodyText"/>
        <w:spacing w:line="331" w:lineRule="auto"/>
        <w:ind w:left="139" w:right="1279"/>
      </w:pPr>
      <w:r>
        <w:rPr>
          <w:color w:val="212121"/>
          <w:w w:val="105"/>
        </w:rPr>
        <w:t>This factsheet explains how human rights legislation can improve the ability of people to access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10"/>
        </w:rPr>
        <w:t>justice.</w:t>
      </w:r>
    </w:p>
    <w:p w14:paraId="5143462B" w14:textId="77777777" w:rsidR="00F37089" w:rsidRDefault="00F37089">
      <w:pPr>
        <w:pStyle w:val="BodyText"/>
        <w:rPr>
          <w:sz w:val="52"/>
        </w:rPr>
      </w:pPr>
    </w:p>
    <w:p w14:paraId="1CE7BA96" w14:textId="77777777" w:rsidR="00F37089" w:rsidRDefault="00A41751">
      <w:pPr>
        <w:pStyle w:val="Heading2"/>
      </w:pPr>
      <w:r>
        <w:rPr>
          <w:color w:val="212121"/>
        </w:rPr>
        <w:t>Access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justice</w:t>
      </w:r>
    </w:p>
    <w:p w14:paraId="00EDD39A" w14:textId="77777777" w:rsidR="00F37089" w:rsidRDefault="00A41751">
      <w:pPr>
        <w:pStyle w:val="BodyText"/>
        <w:spacing w:before="173" w:line="331" w:lineRule="auto"/>
        <w:ind w:left="139"/>
      </w:pPr>
      <w:r>
        <w:rPr>
          <w:color w:val="212121"/>
          <w:w w:val="105"/>
        </w:rPr>
        <w:t>Article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14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United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Nations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International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Covenant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Civil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Political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protects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121"/>
          <w:w w:val="105"/>
        </w:rPr>
        <w:t xml:space="preserve"> </w:t>
      </w:r>
      <w:r>
        <w:rPr>
          <w:color w:val="212121"/>
          <w:w w:val="105"/>
        </w:rPr>
        <w:t>associated</w:t>
      </w:r>
      <w:r>
        <w:rPr>
          <w:color w:val="212121"/>
          <w:spacing w:val="-27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access</w:t>
      </w:r>
      <w:r>
        <w:rPr>
          <w:color w:val="212121"/>
          <w:spacing w:val="-27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justice</w:t>
      </w:r>
      <w:r>
        <w:rPr>
          <w:color w:val="212121"/>
          <w:spacing w:val="-27"/>
          <w:w w:val="105"/>
        </w:rPr>
        <w:t xml:space="preserve"> </w:t>
      </w:r>
      <w:r>
        <w:rPr>
          <w:color w:val="212121"/>
          <w:w w:val="105"/>
        </w:rPr>
        <w:t>including:</w:t>
      </w:r>
    </w:p>
    <w:p w14:paraId="3EDB7CE2" w14:textId="77777777" w:rsidR="00F37089" w:rsidRDefault="00F37089">
      <w:pPr>
        <w:pStyle w:val="BodyText"/>
        <w:rPr>
          <w:sz w:val="52"/>
        </w:rPr>
      </w:pPr>
    </w:p>
    <w:p w14:paraId="0552BDF4" w14:textId="77777777" w:rsidR="00F37089" w:rsidRDefault="00A41751">
      <w:pPr>
        <w:pStyle w:val="ListParagraph"/>
        <w:numPr>
          <w:ilvl w:val="0"/>
          <w:numId w:val="1"/>
        </w:numPr>
        <w:tabs>
          <w:tab w:val="left" w:pos="381"/>
        </w:tabs>
        <w:spacing w:before="0"/>
        <w:rPr>
          <w:sz w:val="38"/>
        </w:rPr>
      </w:pPr>
      <w:r>
        <w:rPr>
          <w:color w:val="212121"/>
          <w:w w:val="105"/>
          <w:sz w:val="38"/>
        </w:rPr>
        <w:t>The</w:t>
      </w:r>
      <w:r>
        <w:rPr>
          <w:color w:val="212121"/>
          <w:spacing w:val="-21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right</w:t>
      </w:r>
      <w:r>
        <w:rPr>
          <w:color w:val="212121"/>
          <w:spacing w:val="-21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to</w:t>
      </w:r>
      <w:r>
        <w:rPr>
          <w:color w:val="212121"/>
          <w:spacing w:val="-20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a</w:t>
      </w:r>
      <w:r>
        <w:rPr>
          <w:color w:val="212121"/>
          <w:spacing w:val="-21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fair</w:t>
      </w:r>
      <w:r>
        <w:rPr>
          <w:color w:val="212121"/>
          <w:spacing w:val="-20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hearing</w:t>
      </w:r>
    </w:p>
    <w:p w14:paraId="524DDC08" w14:textId="77777777" w:rsidR="00F37089" w:rsidRDefault="00A41751">
      <w:pPr>
        <w:pStyle w:val="ListParagraph"/>
        <w:numPr>
          <w:ilvl w:val="0"/>
          <w:numId w:val="1"/>
        </w:numPr>
        <w:tabs>
          <w:tab w:val="left" w:pos="381"/>
        </w:tabs>
        <w:rPr>
          <w:sz w:val="38"/>
        </w:rPr>
      </w:pPr>
      <w:r>
        <w:rPr>
          <w:color w:val="212121"/>
          <w:w w:val="105"/>
          <w:sz w:val="38"/>
        </w:rPr>
        <w:t>The</w:t>
      </w:r>
      <w:r>
        <w:rPr>
          <w:color w:val="212121"/>
          <w:spacing w:val="-16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right</w:t>
      </w:r>
      <w:r>
        <w:rPr>
          <w:color w:val="212121"/>
          <w:spacing w:val="-15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to</w:t>
      </w:r>
      <w:r>
        <w:rPr>
          <w:color w:val="212121"/>
          <w:spacing w:val="-15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legal</w:t>
      </w:r>
      <w:r>
        <w:rPr>
          <w:color w:val="212121"/>
          <w:spacing w:val="-15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advice</w:t>
      </w:r>
      <w:r>
        <w:rPr>
          <w:color w:val="212121"/>
          <w:spacing w:val="-15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and</w:t>
      </w:r>
      <w:r>
        <w:rPr>
          <w:color w:val="212121"/>
          <w:spacing w:val="-15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representation</w:t>
      </w:r>
    </w:p>
    <w:p w14:paraId="0FFF070F" w14:textId="77777777" w:rsidR="00F37089" w:rsidRDefault="00A41751">
      <w:pPr>
        <w:pStyle w:val="ListParagraph"/>
        <w:numPr>
          <w:ilvl w:val="0"/>
          <w:numId w:val="1"/>
        </w:numPr>
        <w:tabs>
          <w:tab w:val="left" w:pos="381"/>
        </w:tabs>
        <w:spacing w:before="172"/>
        <w:rPr>
          <w:sz w:val="38"/>
        </w:rPr>
      </w:pPr>
      <w:r>
        <w:rPr>
          <w:color w:val="212121"/>
          <w:w w:val="105"/>
          <w:sz w:val="38"/>
        </w:rPr>
        <w:t>The</w:t>
      </w:r>
      <w:r>
        <w:rPr>
          <w:color w:val="212121"/>
          <w:spacing w:val="-13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right</w:t>
      </w:r>
      <w:r>
        <w:rPr>
          <w:color w:val="212121"/>
          <w:spacing w:val="-12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to</w:t>
      </w:r>
      <w:r>
        <w:rPr>
          <w:color w:val="212121"/>
          <w:spacing w:val="-13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procedural</w:t>
      </w:r>
      <w:r>
        <w:rPr>
          <w:color w:val="212121"/>
          <w:spacing w:val="-12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fairness</w:t>
      </w:r>
    </w:p>
    <w:p w14:paraId="45BE905B" w14:textId="77777777" w:rsidR="00F37089" w:rsidRDefault="00A41751">
      <w:pPr>
        <w:pStyle w:val="ListParagraph"/>
        <w:numPr>
          <w:ilvl w:val="0"/>
          <w:numId w:val="1"/>
        </w:numPr>
        <w:tabs>
          <w:tab w:val="left" w:pos="381"/>
        </w:tabs>
        <w:rPr>
          <w:sz w:val="38"/>
        </w:rPr>
      </w:pPr>
      <w:r>
        <w:rPr>
          <w:color w:val="212121"/>
          <w:w w:val="105"/>
          <w:sz w:val="38"/>
        </w:rPr>
        <w:t>The</w:t>
      </w:r>
      <w:r>
        <w:rPr>
          <w:color w:val="212121"/>
          <w:spacing w:val="-17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right</w:t>
      </w:r>
      <w:r>
        <w:rPr>
          <w:color w:val="212121"/>
          <w:spacing w:val="-17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to</w:t>
      </w:r>
      <w:r>
        <w:rPr>
          <w:color w:val="212121"/>
          <w:spacing w:val="-17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an</w:t>
      </w:r>
      <w:r>
        <w:rPr>
          <w:color w:val="212121"/>
          <w:spacing w:val="-17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expeditious</w:t>
      </w:r>
      <w:r>
        <w:rPr>
          <w:color w:val="212121"/>
          <w:spacing w:val="-17"/>
          <w:w w:val="105"/>
          <w:sz w:val="38"/>
        </w:rPr>
        <w:t xml:space="preserve"> </w:t>
      </w:r>
      <w:r>
        <w:rPr>
          <w:color w:val="212121"/>
          <w:w w:val="105"/>
          <w:sz w:val="38"/>
        </w:rPr>
        <w:t>hearing.</w:t>
      </w:r>
    </w:p>
    <w:p w14:paraId="3AB4DEF5" w14:textId="77777777" w:rsidR="00F37089" w:rsidRDefault="00F37089">
      <w:pPr>
        <w:pStyle w:val="BodyText"/>
        <w:spacing w:before="7"/>
        <w:rPr>
          <w:sz w:val="66"/>
        </w:rPr>
      </w:pPr>
    </w:p>
    <w:p w14:paraId="47DA260F" w14:textId="77777777" w:rsidR="00F37089" w:rsidRDefault="00A41751">
      <w:pPr>
        <w:pStyle w:val="BodyText"/>
        <w:spacing w:line="331" w:lineRule="auto"/>
        <w:ind w:left="139"/>
      </w:pPr>
      <w:proofErr w:type="gramStart"/>
      <w:r>
        <w:rPr>
          <w:color w:val="212121"/>
          <w:w w:val="105"/>
        </w:rPr>
        <w:t>In order for</w:t>
      </w:r>
      <w:proofErr w:type="gramEnd"/>
      <w:r>
        <w:rPr>
          <w:color w:val="212121"/>
          <w:w w:val="105"/>
        </w:rPr>
        <w:t xml:space="preserve"> the rights contained in the International Covenant on Civil and Political Rights to be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enforceable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Queensland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they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need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protected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law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–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example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05"/>
        </w:rPr>
        <w:t>Queensland.</w:t>
      </w:r>
    </w:p>
    <w:p w14:paraId="16F2EB1D" w14:textId="77777777" w:rsidR="00F37089" w:rsidRDefault="00F37089">
      <w:pPr>
        <w:pStyle w:val="BodyText"/>
        <w:spacing w:before="10"/>
        <w:rPr>
          <w:sz w:val="51"/>
        </w:rPr>
      </w:pPr>
    </w:p>
    <w:p w14:paraId="00326CF7" w14:textId="77777777" w:rsidR="00F37089" w:rsidRDefault="00A41751">
      <w:pPr>
        <w:pStyle w:val="Heading2"/>
        <w:spacing w:before="1"/>
      </w:pPr>
      <w:r>
        <w:rPr>
          <w:color w:val="212121"/>
        </w:rPr>
        <w:t>How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rights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protected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places?</w:t>
      </w:r>
    </w:p>
    <w:p w14:paraId="298AE067" w14:textId="77777777" w:rsidR="00F37089" w:rsidRDefault="00A41751">
      <w:pPr>
        <w:pStyle w:val="BodyText"/>
        <w:spacing w:before="172" w:line="331" w:lineRule="auto"/>
        <w:ind w:left="139" w:right="118"/>
      </w:pPr>
      <w:r>
        <w:rPr>
          <w:color w:val="212121"/>
          <w:w w:val="105"/>
        </w:rPr>
        <w:t>The UK’s Human Rights Act incorporates the European Convention on Human Rights into domestic</w:t>
      </w:r>
      <w:r>
        <w:rPr>
          <w:color w:val="212121"/>
          <w:spacing w:val="-122"/>
          <w:w w:val="105"/>
        </w:rPr>
        <w:t xml:space="preserve"> </w:t>
      </w:r>
      <w:r>
        <w:rPr>
          <w:color w:val="212121"/>
          <w:w w:val="105"/>
        </w:rPr>
        <w:t>law.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European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Convention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26"/>
          <w:w w:val="105"/>
        </w:rPr>
        <w:t xml:space="preserve"> </w:t>
      </w:r>
      <w:r>
        <w:rPr>
          <w:color w:val="212121"/>
          <w:w w:val="105"/>
        </w:rPr>
        <w:t>says:</w:t>
      </w:r>
    </w:p>
    <w:p w14:paraId="4FCF8A63" w14:textId="77777777" w:rsidR="00F37089" w:rsidRDefault="00F37089">
      <w:pPr>
        <w:pStyle w:val="BodyText"/>
        <w:rPr>
          <w:sz w:val="52"/>
        </w:rPr>
      </w:pPr>
    </w:p>
    <w:p w14:paraId="67FCDE51" w14:textId="77777777" w:rsidR="00F37089" w:rsidRDefault="00A41751">
      <w:pPr>
        <w:pStyle w:val="BodyText"/>
        <w:spacing w:line="331" w:lineRule="auto"/>
        <w:ind w:left="139"/>
      </w:pPr>
      <w:r>
        <w:rPr>
          <w:color w:val="212121"/>
          <w:w w:val="105"/>
        </w:rPr>
        <w:t>“In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determination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his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civil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obligations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any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criminal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charge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against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him,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everyone</w:t>
      </w:r>
      <w:r>
        <w:rPr>
          <w:color w:val="212121"/>
          <w:spacing w:val="-121"/>
          <w:w w:val="105"/>
        </w:rPr>
        <w:t xml:space="preserve"> </w:t>
      </w:r>
      <w:r>
        <w:rPr>
          <w:color w:val="212121"/>
          <w:w w:val="105"/>
        </w:rPr>
        <w:t>is entitled to a fair and public hearing within a reasonable time by an independent and impartial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tribunal</w:t>
      </w:r>
      <w:r>
        <w:rPr>
          <w:color w:val="212121"/>
          <w:spacing w:val="-35"/>
          <w:w w:val="110"/>
        </w:rPr>
        <w:t xml:space="preserve"> </w:t>
      </w:r>
      <w:r>
        <w:rPr>
          <w:color w:val="212121"/>
          <w:w w:val="110"/>
        </w:rPr>
        <w:t>established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by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law.”</w:t>
      </w:r>
    </w:p>
    <w:p w14:paraId="6AE9A7E8" w14:textId="77777777" w:rsidR="00F37089" w:rsidRDefault="00F37089">
      <w:pPr>
        <w:pStyle w:val="BodyText"/>
        <w:spacing w:before="11"/>
        <w:rPr>
          <w:sz w:val="51"/>
        </w:rPr>
      </w:pPr>
    </w:p>
    <w:p w14:paraId="20DB715C" w14:textId="77777777" w:rsidR="00F37089" w:rsidRDefault="00A41751">
      <w:pPr>
        <w:pStyle w:val="BodyText"/>
        <w:spacing w:line="331" w:lineRule="auto"/>
        <w:ind w:left="139"/>
      </w:pPr>
      <w:r>
        <w:rPr>
          <w:color w:val="212121"/>
          <w:w w:val="105"/>
        </w:rPr>
        <w:t>The Victorian Charter of Human Rights and Responsibilities and the ACT Human Rights Act provide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people with the ri</w:t>
      </w:r>
      <w:r>
        <w:rPr>
          <w:color w:val="212121"/>
          <w:w w:val="105"/>
        </w:rPr>
        <w:t>ght to a fair hearing. Extra protections are also provided to children who are in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contact with the criminal justice system. Preventing children who are detained without charge from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being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detained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adults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providing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accused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child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must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brou</w:t>
      </w:r>
      <w:r>
        <w:rPr>
          <w:color w:val="212121"/>
          <w:w w:val="105"/>
        </w:rPr>
        <w:t>ght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trial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quickly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121"/>
          <w:w w:val="105"/>
        </w:rPr>
        <w:t xml:space="preserve"> </w:t>
      </w:r>
      <w:r>
        <w:rPr>
          <w:color w:val="212121"/>
          <w:w w:val="105"/>
        </w:rPr>
        <w:t>possible and that a child who has been convicted of an offence must be treated in a way that is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appropriate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for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his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or</w:t>
      </w:r>
      <w:r>
        <w:rPr>
          <w:color w:val="212121"/>
          <w:spacing w:val="-34"/>
          <w:w w:val="110"/>
        </w:rPr>
        <w:t xml:space="preserve"> </w:t>
      </w:r>
      <w:r>
        <w:rPr>
          <w:color w:val="212121"/>
          <w:w w:val="110"/>
        </w:rPr>
        <w:t>her</w:t>
      </w:r>
      <w:r>
        <w:rPr>
          <w:color w:val="212121"/>
          <w:spacing w:val="-33"/>
          <w:w w:val="110"/>
        </w:rPr>
        <w:t xml:space="preserve"> </w:t>
      </w:r>
      <w:r>
        <w:rPr>
          <w:color w:val="212121"/>
          <w:w w:val="110"/>
        </w:rPr>
        <w:t>age.</w:t>
      </w:r>
    </w:p>
    <w:p w14:paraId="1D98967D" w14:textId="77777777" w:rsidR="00F37089" w:rsidRDefault="00F37089">
      <w:pPr>
        <w:spacing w:line="331" w:lineRule="auto"/>
        <w:sectPr w:rsidR="00F37089">
          <w:footerReference w:type="default" r:id="rId7"/>
          <w:type w:val="continuous"/>
          <w:pgSz w:w="22390" w:h="31660"/>
          <w:pgMar w:top="1520" w:right="2020" w:bottom="2760" w:left="2100" w:header="720" w:footer="2563" w:gutter="0"/>
          <w:cols w:space="720"/>
        </w:sectPr>
      </w:pPr>
    </w:p>
    <w:p w14:paraId="01D1F881" w14:textId="77777777" w:rsidR="00F37089" w:rsidRDefault="00A41751">
      <w:pPr>
        <w:pStyle w:val="Heading1"/>
        <w:jc w:val="both"/>
      </w:pPr>
      <w:r>
        <w:rPr>
          <w:color w:val="212121"/>
          <w:w w:val="105"/>
        </w:rPr>
        <w:lastRenderedPageBreak/>
        <w:t>Human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action</w:t>
      </w:r>
    </w:p>
    <w:p w14:paraId="6F371E17" w14:textId="77777777" w:rsidR="00F37089" w:rsidRDefault="00A41751">
      <w:pPr>
        <w:spacing w:before="337"/>
        <w:ind w:left="139"/>
        <w:jc w:val="both"/>
        <w:rPr>
          <w:b/>
          <w:sz w:val="35"/>
        </w:rPr>
      </w:pPr>
      <w:r>
        <w:rPr>
          <w:b/>
          <w:color w:val="212121"/>
          <w:sz w:val="35"/>
        </w:rPr>
        <w:t>The right</w:t>
      </w:r>
      <w:r>
        <w:rPr>
          <w:b/>
          <w:color w:val="212121"/>
          <w:spacing w:val="1"/>
          <w:sz w:val="35"/>
        </w:rPr>
        <w:t xml:space="preserve"> </w:t>
      </w:r>
      <w:r>
        <w:rPr>
          <w:b/>
          <w:color w:val="212121"/>
          <w:sz w:val="35"/>
        </w:rPr>
        <w:t>to</w:t>
      </w:r>
      <w:r>
        <w:rPr>
          <w:b/>
          <w:color w:val="212121"/>
          <w:spacing w:val="1"/>
          <w:sz w:val="35"/>
        </w:rPr>
        <w:t xml:space="preserve"> </w:t>
      </w:r>
      <w:r>
        <w:rPr>
          <w:b/>
          <w:color w:val="212121"/>
          <w:sz w:val="35"/>
        </w:rPr>
        <w:t>support</w:t>
      </w:r>
      <w:r>
        <w:rPr>
          <w:b/>
          <w:color w:val="212121"/>
          <w:spacing w:val="1"/>
          <w:sz w:val="35"/>
        </w:rPr>
        <w:t xml:space="preserve"> </w:t>
      </w:r>
      <w:r>
        <w:rPr>
          <w:b/>
          <w:color w:val="212121"/>
          <w:sz w:val="35"/>
        </w:rPr>
        <w:t>in</w:t>
      </w:r>
      <w:r>
        <w:rPr>
          <w:b/>
          <w:color w:val="212121"/>
          <w:spacing w:val="1"/>
          <w:sz w:val="35"/>
        </w:rPr>
        <w:t xml:space="preserve"> </w:t>
      </w:r>
      <w:r>
        <w:rPr>
          <w:b/>
          <w:color w:val="212121"/>
          <w:sz w:val="35"/>
        </w:rPr>
        <w:t>giving</w:t>
      </w:r>
      <w:r>
        <w:rPr>
          <w:b/>
          <w:color w:val="212121"/>
          <w:spacing w:val="1"/>
          <w:sz w:val="35"/>
        </w:rPr>
        <w:t xml:space="preserve"> </w:t>
      </w:r>
      <w:r>
        <w:rPr>
          <w:b/>
          <w:color w:val="212121"/>
          <w:sz w:val="35"/>
        </w:rPr>
        <w:t>evidence for</w:t>
      </w:r>
      <w:r>
        <w:rPr>
          <w:b/>
          <w:color w:val="212121"/>
          <w:spacing w:val="1"/>
          <w:sz w:val="35"/>
        </w:rPr>
        <w:t xml:space="preserve"> </w:t>
      </w:r>
      <w:r>
        <w:rPr>
          <w:b/>
          <w:color w:val="212121"/>
          <w:sz w:val="35"/>
        </w:rPr>
        <w:t>legal</w:t>
      </w:r>
      <w:r>
        <w:rPr>
          <w:b/>
          <w:color w:val="212121"/>
          <w:spacing w:val="1"/>
          <w:sz w:val="35"/>
        </w:rPr>
        <w:t xml:space="preserve"> </w:t>
      </w:r>
      <w:r>
        <w:rPr>
          <w:b/>
          <w:color w:val="212121"/>
          <w:sz w:val="35"/>
        </w:rPr>
        <w:t>proceedings</w:t>
      </w:r>
    </w:p>
    <w:p w14:paraId="308A3F29" w14:textId="77777777" w:rsidR="00F37089" w:rsidRDefault="00A41751">
      <w:pPr>
        <w:spacing w:before="181" w:line="343" w:lineRule="auto"/>
        <w:ind w:left="139" w:right="611"/>
        <w:jc w:val="both"/>
        <w:rPr>
          <w:sz w:val="35"/>
        </w:rPr>
      </w:pPr>
      <w:r>
        <w:rPr>
          <w:color w:val="212121"/>
          <w:w w:val="105"/>
          <w:sz w:val="35"/>
        </w:rPr>
        <w:t>A court deemed an assault victim’s evidence unreliable because he had schizophrenia – despite the victim</w:t>
      </w:r>
      <w:r>
        <w:rPr>
          <w:color w:val="212121"/>
          <w:spacing w:val="1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identifying his assailants and having physical evidence of the extent of the crime. On appeal, it was found</w:t>
      </w:r>
      <w:r>
        <w:rPr>
          <w:color w:val="212121"/>
          <w:spacing w:val="1"/>
          <w:w w:val="105"/>
          <w:sz w:val="35"/>
        </w:rPr>
        <w:t xml:space="preserve"> </w:t>
      </w:r>
      <w:r>
        <w:rPr>
          <w:color w:val="212121"/>
          <w:w w:val="110"/>
          <w:sz w:val="35"/>
        </w:rPr>
        <w:t>that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lower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court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had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not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properly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considered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UK’s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Human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Act.</w:t>
      </w:r>
    </w:p>
    <w:p w14:paraId="42A5DA8A" w14:textId="77777777" w:rsidR="00F37089" w:rsidRDefault="00F37089">
      <w:pPr>
        <w:pStyle w:val="BodyText"/>
        <w:spacing w:before="11"/>
        <w:rPr>
          <w:sz w:val="49"/>
        </w:rPr>
      </w:pPr>
    </w:p>
    <w:p w14:paraId="6FBDC762" w14:textId="77777777" w:rsidR="00F37089" w:rsidRDefault="00A41751">
      <w:pPr>
        <w:spacing w:before="1" w:line="343" w:lineRule="auto"/>
        <w:ind w:left="139"/>
        <w:rPr>
          <w:sz w:val="35"/>
        </w:rPr>
      </w:pPr>
      <w:r>
        <w:rPr>
          <w:color w:val="212121"/>
          <w:w w:val="105"/>
          <w:sz w:val="35"/>
        </w:rPr>
        <w:t>The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Judge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stated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there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is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“a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positive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obligation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on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state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to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provide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protection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through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its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legal</w:t>
      </w:r>
      <w:r>
        <w:rPr>
          <w:color w:val="212121"/>
          <w:spacing w:val="1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system</w:t>
      </w:r>
      <w:r>
        <w:rPr>
          <w:color w:val="212121"/>
          <w:spacing w:val="-112"/>
          <w:w w:val="105"/>
          <w:sz w:val="35"/>
        </w:rPr>
        <w:t xml:space="preserve"> </w:t>
      </w:r>
      <w:r>
        <w:rPr>
          <w:color w:val="212121"/>
          <w:w w:val="110"/>
          <w:sz w:val="35"/>
        </w:rPr>
        <w:t>against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person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suffering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such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ill-treatment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at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hands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others.”</w:t>
      </w:r>
    </w:p>
    <w:p w14:paraId="5E96DFFA" w14:textId="77777777" w:rsidR="00F37089" w:rsidRDefault="00A41751">
      <w:pPr>
        <w:spacing w:before="425" w:line="600" w:lineRule="atLeast"/>
        <w:ind w:left="139"/>
        <w:rPr>
          <w:sz w:val="35"/>
        </w:rPr>
      </w:pPr>
      <w:r>
        <w:rPr>
          <w:color w:val="212121"/>
          <w:w w:val="110"/>
          <w:sz w:val="35"/>
        </w:rPr>
        <w:t>This judgement prompted the introduction new policies and guidance for prosecutors on how to support</w:t>
      </w:r>
      <w:r>
        <w:rPr>
          <w:color w:val="212121"/>
          <w:spacing w:val="1"/>
          <w:w w:val="110"/>
          <w:sz w:val="35"/>
        </w:rPr>
        <w:t xml:space="preserve"> </w:t>
      </w:r>
      <w:r>
        <w:rPr>
          <w:color w:val="212121"/>
          <w:w w:val="105"/>
          <w:sz w:val="35"/>
        </w:rPr>
        <w:t>victims</w:t>
      </w:r>
      <w:r>
        <w:rPr>
          <w:color w:val="212121"/>
          <w:spacing w:val="2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and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witnesses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with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experience</w:t>
      </w:r>
      <w:r>
        <w:rPr>
          <w:color w:val="212121"/>
          <w:spacing w:val="2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of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mental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distress,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and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how</w:t>
      </w:r>
      <w:r>
        <w:rPr>
          <w:color w:val="212121"/>
          <w:spacing w:val="2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to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use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psychiatric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evidence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appropriately</w:t>
      </w:r>
      <w:r>
        <w:rPr>
          <w:color w:val="212121"/>
          <w:spacing w:val="-112"/>
          <w:w w:val="105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assess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credibility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and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reliability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witness.</w:t>
      </w:r>
    </w:p>
    <w:p w14:paraId="5D1B70E1" w14:textId="77777777" w:rsidR="00F37089" w:rsidRDefault="00A41751">
      <w:pPr>
        <w:spacing w:before="129"/>
        <w:ind w:left="179"/>
        <w:rPr>
          <w:rFonts w:ascii="Calibri"/>
          <w:sz w:val="30"/>
        </w:rPr>
      </w:pPr>
      <w:proofErr w:type="spellStart"/>
      <w:r>
        <w:rPr>
          <w:rFonts w:ascii="Calibri"/>
          <w:color w:val="AAADA6"/>
          <w:w w:val="110"/>
          <w:sz w:val="30"/>
        </w:rPr>
        <w:t>SSource</w:t>
      </w:r>
      <w:proofErr w:type="spellEnd"/>
      <w:r>
        <w:rPr>
          <w:rFonts w:ascii="Calibri"/>
          <w:color w:val="AAADA6"/>
          <w:w w:val="110"/>
          <w:sz w:val="30"/>
        </w:rPr>
        <w:t>:</w:t>
      </w:r>
      <w:r>
        <w:rPr>
          <w:rFonts w:ascii="Calibri"/>
          <w:color w:val="AAADA6"/>
          <w:spacing w:val="1"/>
          <w:w w:val="110"/>
          <w:sz w:val="30"/>
        </w:rPr>
        <w:t xml:space="preserve"> </w:t>
      </w:r>
      <w:r>
        <w:rPr>
          <w:rFonts w:ascii="Calibri"/>
          <w:color w:val="AAADA6"/>
          <w:w w:val="110"/>
          <w:sz w:val="30"/>
        </w:rPr>
        <w:t>R</w:t>
      </w:r>
      <w:r>
        <w:rPr>
          <w:rFonts w:ascii="Calibri"/>
          <w:color w:val="AAADA6"/>
          <w:spacing w:val="1"/>
          <w:w w:val="110"/>
          <w:sz w:val="30"/>
        </w:rPr>
        <w:t xml:space="preserve"> </w:t>
      </w:r>
      <w:r>
        <w:rPr>
          <w:rFonts w:ascii="Calibri"/>
          <w:color w:val="AAADA6"/>
          <w:w w:val="110"/>
          <w:sz w:val="30"/>
        </w:rPr>
        <w:t>(B)</w:t>
      </w:r>
      <w:r>
        <w:rPr>
          <w:rFonts w:ascii="Calibri"/>
          <w:color w:val="AAADA6"/>
          <w:spacing w:val="1"/>
          <w:w w:val="110"/>
          <w:sz w:val="30"/>
        </w:rPr>
        <w:t xml:space="preserve"> </w:t>
      </w:r>
      <w:r>
        <w:rPr>
          <w:rFonts w:ascii="Calibri"/>
          <w:color w:val="AAADA6"/>
          <w:w w:val="110"/>
          <w:sz w:val="30"/>
        </w:rPr>
        <w:t>v</w:t>
      </w:r>
      <w:r>
        <w:rPr>
          <w:rFonts w:ascii="Calibri"/>
          <w:color w:val="AAADA6"/>
          <w:spacing w:val="1"/>
          <w:w w:val="110"/>
          <w:sz w:val="30"/>
        </w:rPr>
        <w:t xml:space="preserve"> </w:t>
      </w:r>
      <w:r>
        <w:rPr>
          <w:rFonts w:ascii="Calibri"/>
          <w:color w:val="AAADA6"/>
          <w:w w:val="110"/>
          <w:sz w:val="30"/>
        </w:rPr>
        <w:t>DPP</w:t>
      </w:r>
      <w:r>
        <w:rPr>
          <w:rFonts w:ascii="Calibri"/>
          <w:color w:val="AAADA6"/>
          <w:spacing w:val="1"/>
          <w:w w:val="110"/>
          <w:sz w:val="30"/>
        </w:rPr>
        <w:t xml:space="preserve"> </w:t>
      </w:r>
      <w:r>
        <w:rPr>
          <w:rFonts w:ascii="Calibri"/>
          <w:color w:val="AAADA6"/>
          <w:w w:val="110"/>
          <w:sz w:val="30"/>
        </w:rPr>
        <w:t>(2009)</w:t>
      </w:r>
      <w:r>
        <w:rPr>
          <w:rFonts w:ascii="Calibri"/>
          <w:color w:val="AAADA6"/>
          <w:spacing w:val="1"/>
          <w:w w:val="110"/>
          <w:sz w:val="30"/>
        </w:rPr>
        <w:t xml:space="preserve"> </w:t>
      </w:r>
      <w:r>
        <w:rPr>
          <w:rFonts w:ascii="Calibri"/>
          <w:color w:val="AAADA6"/>
          <w:w w:val="110"/>
          <w:sz w:val="30"/>
        </w:rPr>
        <w:t>EWHC</w:t>
      </w:r>
      <w:r>
        <w:rPr>
          <w:rFonts w:ascii="Calibri"/>
          <w:color w:val="AAADA6"/>
          <w:spacing w:val="1"/>
          <w:w w:val="110"/>
          <w:sz w:val="30"/>
        </w:rPr>
        <w:t xml:space="preserve"> </w:t>
      </w:r>
      <w:r>
        <w:rPr>
          <w:rFonts w:ascii="Calibri"/>
          <w:color w:val="AAADA6"/>
          <w:w w:val="110"/>
          <w:sz w:val="30"/>
        </w:rPr>
        <w:t>106</w:t>
      </w:r>
    </w:p>
    <w:p w14:paraId="00C659A2" w14:textId="77777777" w:rsidR="00F37089" w:rsidRDefault="00F37089">
      <w:pPr>
        <w:pStyle w:val="BodyText"/>
        <w:rPr>
          <w:rFonts w:ascii="Calibri"/>
          <w:sz w:val="20"/>
        </w:rPr>
      </w:pPr>
    </w:p>
    <w:p w14:paraId="546952EC" w14:textId="77777777" w:rsidR="00F37089" w:rsidRDefault="00F37089">
      <w:pPr>
        <w:pStyle w:val="BodyText"/>
        <w:rPr>
          <w:rFonts w:ascii="Calibri"/>
          <w:sz w:val="20"/>
        </w:rPr>
      </w:pPr>
    </w:p>
    <w:p w14:paraId="679F14FB" w14:textId="77777777" w:rsidR="00F37089" w:rsidRDefault="00F37089">
      <w:pPr>
        <w:pStyle w:val="BodyText"/>
        <w:spacing w:before="1"/>
        <w:rPr>
          <w:rFonts w:ascii="Calibri"/>
          <w:sz w:val="23"/>
        </w:rPr>
      </w:pPr>
    </w:p>
    <w:p w14:paraId="5CF4C00B" w14:textId="77777777" w:rsidR="00F37089" w:rsidRDefault="00A41751">
      <w:pPr>
        <w:spacing w:before="131"/>
        <w:ind w:left="139"/>
        <w:rPr>
          <w:b/>
          <w:sz w:val="35"/>
        </w:rPr>
      </w:pPr>
      <w:r>
        <w:rPr>
          <w:b/>
          <w:color w:val="212121"/>
          <w:sz w:val="35"/>
        </w:rPr>
        <w:t>Free</w:t>
      </w:r>
      <w:r>
        <w:rPr>
          <w:b/>
          <w:color w:val="212121"/>
          <w:spacing w:val="-7"/>
          <w:sz w:val="35"/>
        </w:rPr>
        <w:t xml:space="preserve"> </w:t>
      </w:r>
      <w:r>
        <w:rPr>
          <w:b/>
          <w:color w:val="212121"/>
          <w:sz w:val="35"/>
        </w:rPr>
        <w:t>legal</w:t>
      </w:r>
      <w:r>
        <w:rPr>
          <w:b/>
          <w:color w:val="212121"/>
          <w:spacing w:val="-7"/>
          <w:sz w:val="35"/>
        </w:rPr>
        <w:t xml:space="preserve"> </w:t>
      </w:r>
      <w:r>
        <w:rPr>
          <w:b/>
          <w:color w:val="212121"/>
          <w:sz w:val="35"/>
        </w:rPr>
        <w:t>services</w:t>
      </w:r>
    </w:p>
    <w:p w14:paraId="34783E30" w14:textId="77777777" w:rsidR="00F37089" w:rsidRDefault="00A41751">
      <w:pPr>
        <w:spacing w:before="4" w:line="600" w:lineRule="atLeast"/>
        <w:ind w:left="139" w:right="118"/>
        <w:rPr>
          <w:sz w:val="35"/>
        </w:rPr>
      </w:pPr>
      <w:r>
        <w:rPr>
          <w:color w:val="212121"/>
          <w:w w:val="105"/>
          <w:sz w:val="35"/>
        </w:rPr>
        <w:t>The Victorian Department of Innovation, Industry and Regional Development have established the</w:t>
      </w:r>
      <w:r>
        <w:rPr>
          <w:color w:val="212121"/>
          <w:spacing w:val="1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International</w:t>
      </w:r>
      <w:r>
        <w:rPr>
          <w:color w:val="212121"/>
          <w:spacing w:val="2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Student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Care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Service</w:t>
      </w:r>
      <w:r>
        <w:rPr>
          <w:color w:val="212121"/>
          <w:spacing w:val="2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to</w:t>
      </w:r>
      <w:r>
        <w:rPr>
          <w:color w:val="212121"/>
          <w:spacing w:val="27"/>
          <w:w w:val="105"/>
          <w:sz w:val="35"/>
        </w:rPr>
        <w:t xml:space="preserve"> </w:t>
      </w:r>
      <w:proofErr w:type="gramStart"/>
      <w:r>
        <w:rPr>
          <w:color w:val="212121"/>
          <w:w w:val="105"/>
          <w:sz w:val="35"/>
        </w:rPr>
        <w:t>provide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assistance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to</w:t>
      </w:r>
      <w:proofErr w:type="gramEnd"/>
      <w:r>
        <w:rPr>
          <w:color w:val="212121"/>
          <w:spacing w:val="2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international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students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including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legal</w:t>
      </w:r>
      <w:r>
        <w:rPr>
          <w:color w:val="212121"/>
          <w:spacing w:val="2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advice</w:t>
      </w:r>
      <w:r>
        <w:rPr>
          <w:color w:val="212121"/>
          <w:spacing w:val="27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and</w:t>
      </w:r>
      <w:r>
        <w:rPr>
          <w:color w:val="212121"/>
          <w:spacing w:val="-112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welfare</w:t>
      </w:r>
      <w:r>
        <w:rPr>
          <w:color w:val="212121"/>
          <w:spacing w:val="2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assistance.</w:t>
      </w:r>
      <w:r>
        <w:rPr>
          <w:color w:val="212121"/>
          <w:spacing w:val="2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2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Department</w:t>
      </w:r>
      <w:r>
        <w:rPr>
          <w:color w:val="212121"/>
          <w:spacing w:val="2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used</w:t>
      </w:r>
      <w:r>
        <w:rPr>
          <w:color w:val="212121"/>
          <w:spacing w:val="2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2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Charter</w:t>
      </w:r>
      <w:r>
        <w:rPr>
          <w:color w:val="212121"/>
          <w:spacing w:val="2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of</w:t>
      </w:r>
      <w:r>
        <w:rPr>
          <w:color w:val="212121"/>
          <w:spacing w:val="2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Human</w:t>
      </w:r>
      <w:r>
        <w:rPr>
          <w:color w:val="212121"/>
          <w:spacing w:val="2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Rights</w:t>
      </w:r>
      <w:r>
        <w:rPr>
          <w:color w:val="212121"/>
          <w:spacing w:val="2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and</w:t>
      </w:r>
      <w:r>
        <w:rPr>
          <w:color w:val="212121"/>
          <w:spacing w:val="2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Responsibilities</w:t>
      </w:r>
      <w:r>
        <w:rPr>
          <w:color w:val="212121"/>
          <w:spacing w:val="2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as</w:t>
      </w:r>
      <w:r>
        <w:rPr>
          <w:color w:val="212121"/>
          <w:spacing w:val="2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</w:t>
      </w:r>
      <w:r>
        <w:rPr>
          <w:color w:val="212121"/>
          <w:spacing w:val="2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framework</w:t>
      </w:r>
      <w:r>
        <w:rPr>
          <w:color w:val="212121"/>
          <w:spacing w:val="-112"/>
          <w:w w:val="105"/>
          <w:sz w:val="35"/>
        </w:rPr>
        <w:t xml:space="preserve"> </w:t>
      </w:r>
      <w:r>
        <w:rPr>
          <w:color w:val="212121"/>
          <w:w w:val="110"/>
          <w:sz w:val="35"/>
        </w:rPr>
        <w:t>when</w:t>
      </w:r>
      <w:r>
        <w:rPr>
          <w:color w:val="212121"/>
          <w:spacing w:val="-29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developing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this</w:t>
      </w:r>
      <w:r>
        <w:rPr>
          <w:color w:val="212121"/>
          <w:spacing w:val="-28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service.</w:t>
      </w:r>
    </w:p>
    <w:p w14:paraId="03F68943" w14:textId="77777777" w:rsidR="00F37089" w:rsidRDefault="00A41751">
      <w:pPr>
        <w:spacing w:before="11" w:line="259" w:lineRule="auto"/>
        <w:ind w:left="100"/>
        <w:rPr>
          <w:rFonts w:ascii="Calibri" w:hAnsi="Calibri"/>
          <w:sz w:val="30"/>
        </w:rPr>
      </w:pPr>
      <w:r>
        <w:rPr>
          <w:rFonts w:ascii="Calibri" w:hAnsi="Calibri"/>
          <w:color w:val="AAADA6"/>
          <w:w w:val="105"/>
          <w:sz w:val="30"/>
        </w:rPr>
        <w:t>Source:</w:t>
      </w:r>
      <w:r>
        <w:rPr>
          <w:rFonts w:ascii="Calibri" w:hAnsi="Calibri"/>
          <w:color w:val="AAADA6"/>
          <w:spacing w:val="41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Victorian</w:t>
      </w:r>
      <w:r>
        <w:rPr>
          <w:rFonts w:ascii="Calibri" w:hAnsi="Calibri"/>
          <w:color w:val="AAADA6"/>
          <w:spacing w:val="42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Equal</w:t>
      </w:r>
      <w:r>
        <w:rPr>
          <w:rFonts w:ascii="Calibri" w:hAnsi="Calibri"/>
          <w:color w:val="AAADA6"/>
          <w:spacing w:val="41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Opportunity</w:t>
      </w:r>
      <w:r>
        <w:rPr>
          <w:rFonts w:ascii="Calibri" w:hAnsi="Calibri"/>
          <w:color w:val="AAADA6"/>
          <w:spacing w:val="42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and</w:t>
      </w:r>
      <w:r>
        <w:rPr>
          <w:rFonts w:ascii="Calibri" w:hAnsi="Calibri"/>
          <w:color w:val="AAADA6"/>
          <w:spacing w:val="41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Human</w:t>
      </w:r>
      <w:r>
        <w:rPr>
          <w:rFonts w:ascii="Calibri" w:hAnsi="Calibri"/>
          <w:color w:val="AAADA6"/>
          <w:spacing w:val="42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Rights</w:t>
      </w:r>
      <w:r>
        <w:rPr>
          <w:rFonts w:ascii="Calibri" w:hAnsi="Calibri"/>
          <w:color w:val="AAADA6"/>
          <w:spacing w:val="41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Commission</w:t>
      </w:r>
      <w:r>
        <w:rPr>
          <w:rFonts w:ascii="Calibri" w:hAnsi="Calibri"/>
          <w:color w:val="AAADA6"/>
          <w:spacing w:val="42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–</w:t>
      </w:r>
      <w:r>
        <w:rPr>
          <w:rFonts w:ascii="Calibri" w:hAnsi="Calibri"/>
          <w:color w:val="AAADA6"/>
          <w:spacing w:val="42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Submissions</w:t>
      </w:r>
      <w:r>
        <w:rPr>
          <w:rFonts w:ascii="Calibri" w:hAnsi="Calibri"/>
          <w:color w:val="AAADA6"/>
          <w:spacing w:val="41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to</w:t>
      </w:r>
      <w:r>
        <w:rPr>
          <w:rFonts w:ascii="Calibri" w:hAnsi="Calibri"/>
          <w:color w:val="AAADA6"/>
          <w:spacing w:val="42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the</w:t>
      </w:r>
      <w:r>
        <w:rPr>
          <w:rFonts w:ascii="Calibri" w:hAnsi="Calibri"/>
          <w:color w:val="AAADA6"/>
          <w:spacing w:val="41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Four</w:t>
      </w:r>
      <w:r>
        <w:rPr>
          <w:rFonts w:ascii="Calibri" w:hAnsi="Calibri"/>
          <w:color w:val="AAADA6"/>
          <w:spacing w:val="42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Year</w:t>
      </w:r>
      <w:r>
        <w:rPr>
          <w:rFonts w:ascii="Calibri" w:hAnsi="Calibri"/>
          <w:color w:val="AAADA6"/>
          <w:spacing w:val="41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Review</w:t>
      </w:r>
      <w:r>
        <w:rPr>
          <w:rFonts w:ascii="Calibri" w:hAnsi="Calibri"/>
          <w:color w:val="AAADA6"/>
          <w:spacing w:val="42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of</w:t>
      </w:r>
      <w:r>
        <w:rPr>
          <w:rFonts w:ascii="Calibri" w:hAnsi="Calibri"/>
          <w:color w:val="AAADA6"/>
          <w:spacing w:val="42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the</w:t>
      </w:r>
      <w:r>
        <w:rPr>
          <w:rFonts w:ascii="Calibri" w:hAnsi="Calibri"/>
          <w:color w:val="AAADA6"/>
          <w:spacing w:val="41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Charter</w:t>
      </w:r>
      <w:r>
        <w:rPr>
          <w:rFonts w:ascii="Calibri" w:hAnsi="Calibri"/>
          <w:color w:val="AAADA6"/>
          <w:spacing w:val="42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of</w:t>
      </w:r>
      <w:r>
        <w:rPr>
          <w:rFonts w:ascii="Calibri" w:hAnsi="Calibri"/>
          <w:color w:val="AAADA6"/>
          <w:spacing w:val="41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Human</w:t>
      </w:r>
      <w:r>
        <w:rPr>
          <w:rFonts w:ascii="Calibri" w:hAnsi="Calibri"/>
          <w:color w:val="AAADA6"/>
          <w:spacing w:val="1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Rights</w:t>
      </w:r>
      <w:r>
        <w:rPr>
          <w:rFonts w:ascii="Calibri" w:hAnsi="Calibri"/>
          <w:color w:val="AAADA6"/>
          <w:spacing w:val="29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and</w:t>
      </w:r>
      <w:r>
        <w:rPr>
          <w:rFonts w:ascii="Calibri" w:hAnsi="Calibri"/>
          <w:color w:val="AAADA6"/>
          <w:spacing w:val="29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Responsibilities</w:t>
      </w:r>
      <w:r>
        <w:rPr>
          <w:rFonts w:ascii="Calibri" w:hAnsi="Calibri"/>
          <w:color w:val="AAADA6"/>
          <w:spacing w:val="29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Act</w:t>
      </w:r>
      <w:r>
        <w:rPr>
          <w:rFonts w:ascii="Calibri" w:hAnsi="Calibri"/>
          <w:color w:val="AAADA6"/>
          <w:spacing w:val="29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2006</w:t>
      </w:r>
      <w:r>
        <w:rPr>
          <w:rFonts w:ascii="Calibri" w:hAnsi="Calibri"/>
          <w:color w:val="AAADA6"/>
          <w:spacing w:val="30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(1</w:t>
      </w:r>
      <w:r>
        <w:rPr>
          <w:rFonts w:ascii="Calibri" w:hAnsi="Calibri"/>
          <w:color w:val="AAADA6"/>
          <w:spacing w:val="29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July,</w:t>
      </w:r>
      <w:r>
        <w:rPr>
          <w:rFonts w:ascii="Calibri" w:hAnsi="Calibri"/>
          <w:color w:val="AAADA6"/>
          <w:spacing w:val="29"/>
          <w:w w:val="105"/>
          <w:sz w:val="30"/>
        </w:rPr>
        <w:t xml:space="preserve"> </w:t>
      </w:r>
      <w:r>
        <w:rPr>
          <w:rFonts w:ascii="Calibri" w:hAnsi="Calibri"/>
          <w:color w:val="AAADA6"/>
          <w:w w:val="105"/>
          <w:sz w:val="30"/>
        </w:rPr>
        <w:t>2011)</w:t>
      </w:r>
      <w:r>
        <w:rPr>
          <w:rFonts w:ascii="Calibri" w:hAnsi="Calibri"/>
          <w:color w:val="AAADA6"/>
          <w:spacing w:val="29"/>
          <w:w w:val="105"/>
          <w:sz w:val="30"/>
        </w:rPr>
        <w:t xml:space="preserve"> </w:t>
      </w:r>
      <w:hyperlink r:id="rId8">
        <w:r>
          <w:rPr>
            <w:rFonts w:ascii="Calibri" w:hAnsi="Calibri"/>
            <w:color w:val="AAADA6"/>
            <w:w w:val="105"/>
            <w:sz w:val="30"/>
          </w:rPr>
          <w:t>http://hrlc.org.au/files/VictorianCharter_in_Action_CASESTUDIES_march2012.pdf</w:t>
        </w:r>
      </w:hyperlink>
    </w:p>
    <w:p w14:paraId="23FC904E" w14:textId="77777777" w:rsidR="00F37089" w:rsidRDefault="00A41751">
      <w:pPr>
        <w:spacing w:line="365" w:lineRule="exact"/>
        <w:ind w:left="100"/>
        <w:rPr>
          <w:rFonts w:ascii="Calibri"/>
          <w:sz w:val="30"/>
        </w:rPr>
      </w:pPr>
      <w:r>
        <w:rPr>
          <w:rFonts w:ascii="Calibri"/>
          <w:color w:val="AAADA6"/>
          <w:w w:val="110"/>
          <w:sz w:val="30"/>
        </w:rPr>
        <w:t>(Case</w:t>
      </w:r>
      <w:r>
        <w:rPr>
          <w:rFonts w:ascii="Calibri"/>
          <w:color w:val="AAADA6"/>
          <w:spacing w:val="-2"/>
          <w:w w:val="110"/>
          <w:sz w:val="30"/>
        </w:rPr>
        <w:t xml:space="preserve"> </w:t>
      </w:r>
      <w:r>
        <w:rPr>
          <w:rFonts w:ascii="Calibri"/>
          <w:color w:val="AAADA6"/>
          <w:w w:val="110"/>
          <w:sz w:val="30"/>
        </w:rPr>
        <w:t>Study</w:t>
      </w:r>
      <w:r>
        <w:rPr>
          <w:rFonts w:ascii="Calibri"/>
          <w:color w:val="AAADA6"/>
          <w:spacing w:val="-1"/>
          <w:w w:val="110"/>
          <w:sz w:val="30"/>
        </w:rPr>
        <w:t xml:space="preserve"> </w:t>
      </w:r>
      <w:r>
        <w:rPr>
          <w:rFonts w:ascii="Calibri"/>
          <w:color w:val="AAADA6"/>
          <w:w w:val="110"/>
          <w:sz w:val="30"/>
        </w:rPr>
        <w:t>17).</w:t>
      </w:r>
    </w:p>
    <w:sectPr w:rsidR="00F37089">
      <w:pgSz w:w="22390" w:h="31660"/>
      <w:pgMar w:top="3080" w:right="2020" w:bottom="2760" w:left="2100" w:header="0" w:footer="2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71A2" w14:textId="77777777" w:rsidR="00A41751" w:rsidRDefault="00A41751">
      <w:r>
        <w:separator/>
      </w:r>
    </w:p>
  </w:endnote>
  <w:endnote w:type="continuationSeparator" w:id="0">
    <w:p w14:paraId="7D3C971B" w14:textId="77777777" w:rsidR="00A41751" w:rsidRDefault="00A4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DE84" w14:textId="77777777" w:rsidR="00F37089" w:rsidRDefault="00A4175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9440" behindDoc="1" locked="0" layoutInCell="1" allowOverlap="1" wp14:anchorId="5F502D3C" wp14:editId="21E434D6">
          <wp:simplePos x="0" y="0"/>
          <wp:positionH relativeFrom="page">
            <wp:posOffset>0</wp:posOffset>
          </wp:positionH>
          <wp:positionV relativeFrom="page">
            <wp:posOffset>18349681</wp:posOffset>
          </wp:positionV>
          <wp:extent cx="14208069" cy="17544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08069" cy="1754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4D4C" w14:textId="77777777" w:rsidR="00A41751" w:rsidRDefault="00A41751">
      <w:r>
        <w:separator/>
      </w:r>
    </w:p>
  </w:footnote>
  <w:footnote w:type="continuationSeparator" w:id="0">
    <w:p w14:paraId="4AF722A8" w14:textId="77777777" w:rsidR="00A41751" w:rsidRDefault="00A4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7A5D"/>
    <w:multiLevelType w:val="hybridMultilevel"/>
    <w:tmpl w:val="1D0215C8"/>
    <w:lvl w:ilvl="0" w:tplc="D818CDA0">
      <w:numFmt w:val="bullet"/>
      <w:lvlText w:val="•"/>
      <w:lvlJc w:val="left"/>
      <w:pPr>
        <w:ind w:left="380" w:hanging="242"/>
      </w:pPr>
      <w:rPr>
        <w:rFonts w:ascii="Tahoma" w:eastAsia="Tahoma" w:hAnsi="Tahoma" w:cs="Tahoma" w:hint="default"/>
        <w:color w:val="212121"/>
        <w:w w:val="82"/>
        <w:sz w:val="38"/>
        <w:szCs w:val="38"/>
      </w:rPr>
    </w:lvl>
    <w:lvl w:ilvl="1" w:tplc="E800D674">
      <w:numFmt w:val="bullet"/>
      <w:lvlText w:val="•"/>
      <w:lvlJc w:val="left"/>
      <w:pPr>
        <w:ind w:left="2168" w:hanging="242"/>
      </w:pPr>
      <w:rPr>
        <w:rFonts w:hint="default"/>
      </w:rPr>
    </w:lvl>
    <w:lvl w:ilvl="2" w:tplc="DCB6D61A">
      <w:numFmt w:val="bullet"/>
      <w:lvlText w:val="•"/>
      <w:lvlJc w:val="left"/>
      <w:pPr>
        <w:ind w:left="3956" w:hanging="242"/>
      </w:pPr>
      <w:rPr>
        <w:rFonts w:hint="default"/>
      </w:rPr>
    </w:lvl>
    <w:lvl w:ilvl="3" w:tplc="3E0826E6">
      <w:numFmt w:val="bullet"/>
      <w:lvlText w:val="•"/>
      <w:lvlJc w:val="left"/>
      <w:pPr>
        <w:ind w:left="5744" w:hanging="242"/>
      </w:pPr>
      <w:rPr>
        <w:rFonts w:hint="default"/>
      </w:rPr>
    </w:lvl>
    <w:lvl w:ilvl="4" w:tplc="A9FE0F1A">
      <w:numFmt w:val="bullet"/>
      <w:lvlText w:val="•"/>
      <w:lvlJc w:val="left"/>
      <w:pPr>
        <w:ind w:left="7532" w:hanging="242"/>
      </w:pPr>
      <w:rPr>
        <w:rFonts w:hint="default"/>
      </w:rPr>
    </w:lvl>
    <w:lvl w:ilvl="5" w:tplc="BDD07B62">
      <w:numFmt w:val="bullet"/>
      <w:lvlText w:val="•"/>
      <w:lvlJc w:val="left"/>
      <w:pPr>
        <w:ind w:left="9320" w:hanging="242"/>
      </w:pPr>
      <w:rPr>
        <w:rFonts w:hint="default"/>
      </w:rPr>
    </w:lvl>
    <w:lvl w:ilvl="6" w:tplc="C8E6DE10">
      <w:numFmt w:val="bullet"/>
      <w:lvlText w:val="•"/>
      <w:lvlJc w:val="left"/>
      <w:pPr>
        <w:ind w:left="11108" w:hanging="242"/>
      </w:pPr>
      <w:rPr>
        <w:rFonts w:hint="default"/>
      </w:rPr>
    </w:lvl>
    <w:lvl w:ilvl="7" w:tplc="CB948D54">
      <w:numFmt w:val="bullet"/>
      <w:lvlText w:val="•"/>
      <w:lvlJc w:val="left"/>
      <w:pPr>
        <w:ind w:left="12896" w:hanging="242"/>
      </w:pPr>
      <w:rPr>
        <w:rFonts w:hint="default"/>
      </w:rPr>
    </w:lvl>
    <w:lvl w:ilvl="8" w:tplc="45400806">
      <w:numFmt w:val="bullet"/>
      <w:lvlText w:val="•"/>
      <w:lvlJc w:val="left"/>
      <w:pPr>
        <w:ind w:left="14684" w:hanging="2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089"/>
    <w:rsid w:val="004F611E"/>
    <w:rsid w:val="00A41751"/>
    <w:rsid w:val="00F3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3DBC"/>
  <w15:docId w15:val="{C8718DA4-F441-48DE-A617-017673F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228"/>
      <w:ind w:left="139"/>
      <w:outlineLvl w:val="0"/>
    </w:pPr>
    <w:rPr>
      <w:sz w:val="53"/>
      <w:szCs w:val="53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8"/>
      <w:szCs w:val="38"/>
    </w:rPr>
  </w:style>
  <w:style w:type="paragraph" w:styleId="Title">
    <w:name w:val="Title"/>
    <w:basedOn w:val="Normal"/>
    <w:uiPriority w:val="10"/>
    <w:qFormat/>
    <w:pPr>
      <w:spacing w:before="140"/>
      <w:ind w:left="125"/>
    </w:pPr>
    <w:rPr>
      <w:b/>
      <w:bCs/>
      <w:sz w:val="91"/>
      <w:szCs w:val="91"/>
    </w:rPr>
  </w:style>
  <w:style w:type="paragraph" w:styleId="ListParagraph">
    <w:name w:val="List Paragraph"/>
    <w:basedOn w:val="Normal"/>
    <w:uiPriority w:val="1"/>
    <w:qFormat/>
    <w:pPr>
      <w:spacing w:before="173"/>
      <w:ind w:left="380" w:hanging="2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lc.org.au/files/VictorianCharter_in_Action_CASESTUDIES_march2012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Justice</dc:title>
  <dc:creator>Aimee McVeigh</dc:creator>
  <cp:keywords>DADCieBJVxM</cp:keywords>
  <cp:lastModifiedBy>Shannon Bell</cp:lastModifiedBy>
  <cp:revision>2</cp:revision>
  <dcterms:created xsi:type="dcterms:W3CDTF">2021-04-19T02:43:00Z</dcterms:created>
  <dcterms:modified xsi:type="dcterms:W3CDTF">2021-04-19T02:43:00Z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2021-04-19T00:00:00Z</vt:filetime>
  </property>
</Properties>
</file>