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899E" w14:textId="77777777" w:rsidR="008200DE" w:rsidRDefault="006535E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197227" wp14:editId="373D21A1">
            <wp:simplePos x="0" y="0"/>
            <wp:positionH relativeFrom="page">
              <wp:posOffset>0</wp:posOffset>
            </wp:positionH>
            <wp:positionV relativeFrom="page">
              <wp:posOffset>18349681</wp:posOffset>
            </wp:positionV>
            <wp:extent cx="14208069" cy="17544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8069" cy="175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Queensland</w:t>
      </w:r>
    </w:p>
    <w:p w14:paraId="2C905CA6" w14:textId="77777777" w:rsidR="008200DE" w:rsidRDefault="006535E1">
      <w:pPr>
        <w:spacing w:before="32" w:line="218" w:lineRule="auto"/>
        <w:ind w:left="113"/>
        <w:rPr>
          <w:sz w:val="53"/>
        </w:rPr>
      </w:pPr>
      <w:r>
        <w:rPr>
          <w:color w:val="212121"/>
          <w:w w:val="95"/>
          <w:sz w:val="53"/>
        </w:rPr>
        <w:t>How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could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a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Human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Rights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Act</w:t>
      </w:r>
      <w:r>
        <w:rPr>
          <w:color w:val="212121"/>
          <w:spacing w:val="6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assist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people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who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are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Lesbian,</w:t>
      </w:r>
      <w:r>
        <w:rPr>
          <w:color w:val="212121"/>
          <w:spacing w:val="5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Gay,</w:t>
      </w:r>
      <w:r>
        <w:rPr>
          <w:color w:val="212121"/>
          <w:spacing w:val="-156"/>
          <w:w w:val="95"/>
          <w:sz w:val="53"/>
        </w:rPr>
        <w:t xml:space="preserve"> </w:t>
      </w:r>
      <w:r>
        <w:rPr>
          <w:color w:val="212121"/>
          <w:sz w:val="53"/>
        </w:rPr>
        <w:t>Bisexual,</w:t>
      </w:r>
      <w:r>
        <w:rPr>
          <w:color w:val="212121"/>
          <w:spacing w:val="-38"/>
          <w:sz w:val="53"/>
        </w:rPr>
        <w:t xml:space="preserve"> </w:t>
      </w:r>
      <w:proofErr w:type="gramStart"/>
      <w:r>
        <w:rPr>
          <w:color w:val="212121"/>
          <w:sz w:val="53"/>
        </w:rPr>
        <w:t>Transgender</w:t>
      </w:r>
      <w:proofErr w:type="gramEnd"/>
      <w:r>
        <w:rPr>
          <w:color w:val="212121"/>
          <w:spacing w:val="-37"/>
          <w:sz w:val="53"/>
        </w:rPr>
        <w:t xml:space="preserve"> </w:t>
      </w:r>
      <w:r>
        <w:rPr>
          <w:color w:val="212121"/>
          <w:sz w:val="53"/>
        </w:rPr>
        <w:t>or</w:t>
      </w:r>
      <w:r>
        <w:rPr>
          <w:color w:val="212121"/>
          <w:spacing w:val="-37"/>
          <w:sz w:val="53"/>
        </w:rPr>
        <w:t xml:space="preserve"> </w:t>
      </w:r>
      <w:r>
        <w:rPr>
          <w:color w:val="212121"/>
          <w:sz w:val="53"/>
        </w:rPr>
        <w:t>Intersex</w:t>
      </w:r>
      <w:r>
        <w:rPr>
          <w:color w:val="212121"/>
          <w:spacing w:val="-37"/>
          <w:sz w:val="53"/>
        </w:rPr>
        <w:t xml:space="preserve"> </w:t>
      </w:r>
      <w:r>
        <w:rPr>
          <w:color w:val="212121"/>
          <w:sz w:val="53"/>
        </w:rPr>
        <w:t>(LGBTI)?</w:t>
      </w:r>
    </w:p>
    <w:p w14:paraId="393F1583" w14:textId="77777777" w:rsidR="008200DE" w:rsidRDefault="006535E1">
      <w:pPr>
        <w:pStyle w:val="Heading1"/>
        <w:spacing w:before="329" w:line="259" w:lineRule="auto"/>
      </w:pPr>
      <w:r>
        <w:rPr>
          <w:color w:val="212121"/>
          <w:w w:val="95"/>
        </w:rPr>
        <w:t xml:space="preserve">A Human Rights Act will help to create a fair, </w:t>
      </w:r>
      <w:proofErr w:type="gramStart"/>
      <w:r>
        <w:rPr>
          <w:color w:val="212121"/>
          <w:w w:val="95"/>
        </w:rPr>
        <w:t>just</w:t>
      </w:r>
      <w:proofErr w:type="gramEnd"/>
      <w:r>
        <w:rPr>
          <w:color w:val="212121"/>
          <w:w w:val="95"/>
        </w:rPr>
        <w:t xml:space="preserve"> and equal society for everyone. When human rights</w:t>
      </w:r>
      <w:r>
        <w:rPr>
          <w:color w:val="212121"/>
          <w:spacing w:val="-112"/>
          <w:w w:val="95"/>
        </w:rPr>
        <w:t xml:space="preserve"> </w:t>
      </w:r>
      <w:r>
        <w:rPr>
          <w:color w:val="212121"/>
          <w:w w:val="95"/>
        </w:rPr>
        <w:t xml:space="preserve">are protected by </w:t>
      </w:r>
      <w:proofErr w:type="gramStart"/>
      <w:r>
        <w:rPr>
          <w:color w:val="212121"/>
          <w:w w:val="95"/>
        </w:rPr>
        <w:t>law</w:t>
      </w:r>
      <w:proofErr w:type="gramEnd"/>
      <w:r>
        <w:rPr>
          <w:color w:val="212121"/>
          <w:w w:val="95"/>
        </w:rPr>
        <w:t xml:space="preserve"> they help to ensure that we are all treated fairly, and with dignity, equality and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respect.</w:t>
      </w:r>
    </w:p>
    <w:p w14:paraId="442907D3" w14:textId="77777777" w:rsidR="008200DE" w:rsidRDefault="008200DE">
      <w:pPr>
        <w:pStyle w:val="BodyText"/>
        <w:spacing w:before="6"/>
        <w:rPr>
          <w:sz w:val="39"/>
        </w:rPr>
      </w:pPr>
    </w:p>
    <w:p w14:paraId="751DFD32" w14:textId="77777777" w:rsidR="008200DE" w:rsidRDefault="006535E1">
      <w:pPr>
        <w:spacing w:line="259" w:lineRule="auto"/>
        <w:ind w:left="120"/>
        <w:rPr>
          <w:sz w:val="38"/>
        </w:rPr>
      </w:pPr>
      <w:r>
        <w:rPr>
          <w:color w:val="212121"/>
          <w:w w:val="95"/>
          <w:sz w:val="38"/>
        </w:rPr>
        <w:t xml:space="preserve">Protections offered by a Human Rights Act will also have relevance for </w:t>
      </w:r>
      <w:proofErr w:type="gramStart"/>
      <w:r>
        <w:rPr>
          <w:color w:val="212121"/>
          <w:w w:val="95"/>
          <w:sz w:val="38"/>
        </w:rPr>
        <w:t>particular groups</w:t>
      </w:r>
      <w:proofErr w:type="gramEnd"/>
      <w:r>
        <w:rPr>
          <w:color w:val="212121"/>
          <w:w w:val="95"/>
          <w:sz w:val="38"/>
        </w:rPr>
        <w:t xml:space="preserve"> of people –</w:t>
      </w:r>
      <w:r>
        <w:rPr>
          <w:color w:val="212121"/>
          <w:spacing w:val="-112"/>
          <w:w w:val="95"/>
          <w:sz w:val="38"/>
        </w:rPr>
        <w:t xml:space="preserve"> </w:t>
      </w:r>
      <w:r>
        <w:rPr>
          <w:color w:val="212121"/>
          <w:sz w:val="38"/>
        </w:rPr>
        <w:t>such</w:t>
      </w:r>
      <w:r>
        <w:rPr>
          <w:color w:val="212121"/>
          <w:spacing w:val="-23"/>
          <w:sz w:val="38"/>
        </w:rPr>
        <w:t xml:space="preserve"> </w:t>
      </w:r>
      <w:r>
        <w:rPr>
          <w:color w:val="212121"/>
          <w:sz w:val="38"/>
        </w:rPr>
        <w:t>as</w:t>
      </w:r>
      <w:r>
        <w:rPr>
          <w:color w:val="212121"/>
          <w:spacing w:val="-23"/>
          <w:sz w:val="38"/>
        </w:rPr>
        <w:t xml:space="preserve"> </w:t>
      </w:r>
      <w:r>
        <w:rPr>
          <w:color w:val="212121"/>
          <w:sz w:val="38"/>
        </w:rPr>
        <w:t>people</w:t>
      </w:r>
      <w:r>
        <w:rPr>
          <w:color w:val="212121"/>
          <w:spacing w:val="-23"/>
          <w:sz w:val="38"/>
        </w:rPr>
        <w:t xml:space="preserve"> </w:t>
      </w:r>
      <w:r>
        <w:rPr>
          <w:color w:val="212121"/>
          <w:sz w:val="38"/>
        </w:rPr>
        <w:t>who</w:t>
      </w:r>
      <w:r>
        <w:rPr>
          <w:color w:val="212121"/>
          <w:spacing w:val="-23"/>
          <w:sz w:val="38"/>
        </w:rPr>
        <w:t xml:space="preserve"> </w:t>
      </w:r>
      <w:r>
        <w:rPr>
          <w:color w:val="212121"/>
          <w:sz w:val="38"/>
        </w:rPr>
        <w:t>are</w:t>
      </w:r>
      <w:r>
        <w:rPr>
          <w:color w:val="212121"/>
          <w:spacing w:val="-23"/>
          <w:sz w:val="38"/>
        </w:rPr>
        <w:t xml:space="preserve"> </w:t>
      </w:r>
      <w:r>
        <w:rPr>
          <w:color w:val="212121"/>
          <w:sz w:val="38"/>
        </w:rPr>
        <w:t>LGBTI.</w:t>
      </w:r>
    </w:p>
    <w:p w14:paraId="1A875550" w14:textId="77777777" w:rsidR="008200DE" w:rsidRDefault="008200DE">
      <w:pPr>
        <w:pStyle w:val="BodyText"/>
        <w:spacing w:before="11"/>
        <w:rPr>
          <w:sz w:val="39"/>
        </w:rPr>
      </w:pPr>
    </w:p>
    <w:p w14:paraId="54E09223" w14:textId="77777777" w:rsidR="008200DE" w:rsidRDefault="006535E1">
      <w:pPr>
        <w:pStyle w:val="BodyText"/>
        <w:spacing w:before="1" w:line="268" w:lineRule="auto"/>
        <w:ind w:left="120"/>
      </w:pPr>
      <w:r>
        <w:rPr>
          <w:color w:val="212121"/>
          <w:w w:val="95"/>
        </w:rPr>
        <w:t>This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factsheet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provides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examples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how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legislation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other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places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has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improved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lives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</w:rPr>
        <w:t>people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LGBTI.</w:t>
      </w:r>
    </w:p>
    <w:p w14:paraId="46532BC5" w14:textId="77777777" w:rsidR="008200DE" w:rsidRDefault="008200DE">
      <w:pPr>
        <w:pStyle w:val="BodyText"/>
        <w:spacing w:before="10"/>
        <w:rPr>
          <w:sz w:val="41"/>
        </w:rPr>
      </w:pPr>
    </w:p>
    <w:p w14:paraId="7FC30359" w14:textId="77777777" w:rsidR="008200DE" w:rsidRDefault="006535E1">
      <w:pPr>
        <w:pStyle w:val="Heading2"/>
        <w:spacing w:before="0"/>
      </w:pPr>
      <w:r>
        <w:rPr>
          <w:color w:val="212121"/>
        </w:rPr>
        <w:t>Access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superannuation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death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benefits</w:t>
      </w:r>
    </w:p>
    <w:p w14:paraId="776464EA" w14:textId="77777777" w:rsidR="008200DE" w:rsidRDefault="006535E1">
      <w:pPr>
        <w:pStyle w:val="BodyText"/>
        <w:spacing w:before="148" w:line="268" w:lineRule="auto"/>
        <w:ind w:left="120" w:right="91"/>
      </w:pPr>
      <w:r>
        <w:rPr>
          <w:color w:val="212121"/>
          <w:w w:val="95"/>
        </w:rPr>
        <w:t>Amendments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law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Victoria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allowed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same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sex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couples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access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superannuation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death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benefits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from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another.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Because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amendments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operated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prospectively,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discriminated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against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older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people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same sex relationships. An older woman and her advocate wrote to the Human Rights Unit at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Department of Justice advocating for an amendment to the law based on the claim that the amendments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should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consistent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Charter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Resp</w:t>
      </w:r>
      <w:r>
        <w:rPr>
          <w:color w:val="212121"/>
          <w:w w:val="95"/>
        </w:rPr>
        <w:t>onsibilities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Act.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20"/>
          <w:w w:val="95"/>
        </w:rPr>
        <w:t xml:space="preserve"> </w:t>
      </w:r>
      <w:proofErr w:type="gramStart"/>
      <w:r>
        <w:rPr>
          <w:color w:val="212121"/>
          <w:w w:val="95"/>
        </w:rPr>
        <w:t>result</w:t>
      </w:r>
      <w:proofErr w:type="gramEnd"/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an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amendment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to the law was made so that same sex couples could access superannuation death benefits both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retrospectively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prospectively.</w:t>
      </w:r>
    </w:p>
    <w:p w14:paraId="61806150" w14:textId="77777777" w:rsidR="008200DE" w:rsidRDefault="006535E1">
      <w:pPr>
        <w:spacing w:before="76"/>
        <w:ind w:left="120"/>
        <w:rPr>
          <w:rFonts w:ascii="Arial"/>
          <w:sz w:val="28"/>
        </w:rPr>
      </w:pPr>
      <w:r>
        <w:rPr>
          <w:rFonts w:ascii="Arial"/>
          <w:color w:val="AAADA6"/>
          <w:sz w:val="28"/>
        </w:rPr>
        <w:t>Source:</w:t>
      </w:r>
      <w:r>
        <w:rPr>
          <w:rFonts w:ascii="Arial"/>
          <w:color w:val="AAADA6"/>
          <w:spacing w:val="1"/>
          <w:sz w:val="28"/>
        </w:rPr>
        <w:t xml:space="preserve"> </w:t>
      </w:r>
      <w:r>
        <w:rPr>
          <w:rFonts w:ascii="Arial"/>
          <w:color w:val="AAADA6"/>
          <w:sz w:val="28"/>
        </w:rPr>
        <w:t>Public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Interest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Law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Clearing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House: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Submission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for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Review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of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the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Victorian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Charter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of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Human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Rights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and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Responsibilities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Act</w:t>
      </w:r>
      <w:r>
        <w:rPr>
          <w:rFonts w:ascii="Arial"/>
          <w:color w:val="AAADA6"/>
          <w:spacing w:val="2"/>
          <w:sz w:val="28"/>
        </w:rPr>
        <w:t xml:space="preserve"> </w:t>
      </w:r>
      <w:r>
        <w:rPr>
          <w:rFonts w:ascii="Arial"/>
          <w:color w:val="AAADA6"/>
          <w:sz w:val="28"/>
        </w:rPr>
        <w:t>2006</w:t>
      </w:r>
    </w:p>
    <w:p w14:paraId="15222118" w14:textId="77777777" w:rsidR="008200DE" w:rsidRDefault="006535E1">
      <w:pPr>
        <w:spacing w:before="55"/>
        <w:ind w:left="120"/>
        <w:rPr>
          <w:rFonts w:ascii="Arial"/>
          <w:sz w:val="30"/>
        </w:rPr>
      </w:pPr>
      <w:r>
        <w:rPr>
          <w:rFonts w:ascii="Arial"/>
          <w:color w:val="AAADA6"/>
          <w:w w:val="95"/>
          <w:sz w:val="30"/>
        </w:rPr>
        <w:t>&lt;</w:t>
      </w:r>
      <w:hyperlink r:id="rId5">
        <w:r>
          <w:rPr>
            <w:rFonts w:ascii="Arial"/>
            <w:color w:val="AAADA6"/>
            <w:w w:val="95"/>
            <w:sz w:val="30"/>
          </w:rPr>
          <w:t>http://hrlc.org.au/files/VictorianCharter_in_Action_CASESTUDIES_march2012.pdf</w:t>
        </w:r>
      </w:hyperlink>
      <w:r>
        <w:rPr>
          <w:rFonts w:ascii="Arial"/>
          <w:color w:val="AAADA6"/>
          <w:w w:val="95"/>
          <w:sz w:val="30"/>
        </w:rPr>
        <w:t>&gt;</w:t>
      </w:r>
      <w:r>
        <w:rPr>
          <w:rFonts w:ascii="Arial"/>
          <w:color w:val="AAADA6"/>
          <w:spacing w:val="41"/>
          <w:w w:val="95"/>
          <w:sz w:val="30"/>
        </w:rPr>
        <w:t xml:space="preserve"> </w:t>
      </w:r>
      <w:r>
        <w:rPr>
          <w:rFonts w:ascii="Arial"/>
          <w:color w:val="AAADA6"/>
          <w:w w:val="95"/>
          <w:sz w:val="30"/>
        </w:rPr>
        <w:t>(Case</w:t>
      </w:r>
      <w:r>
        <w:rPr>
          <w:rFonts w:ascii="Arial"/>
          <w:color w:val="AAADA6"/>
          <w:spacing w:val="41"/>
          <w:w w:val="95"/>
          <w:sz w:val="30"/>
        </w:rPr>
        <w:t xml:space="preserve"> </w:t>
      </w:r>
      <w:r>
        <w:rPr>
          <w:rFonts w:ascii="Arial"/>
          <w:color w:val="AAADA6"/>
          <w:w w:val="95"/>
          <w:sz w:val="30"/>
        </w:rPr>
        <w:t>Study</w:t>
      </w:r>
      <w:r>
        <w:rPr>
          <w:rFonts w:ascii="Arial"/>
          <w:color w:val="AAADA6"/>
          <w:spacing w:val="41"/>
          <w:w w:val="95"/>
          <w:sz w:val="30"/>
        </w:rPr>
        <w:t xml:space="preserve"> </w:t>
      </w:r>
      <w:r>
        <w:rPr>
          <w:rFonts w:ascii="Arial"/>
          <w:color w:val="AAADA6"/>
          <w:w w:val="95"/>
          <w:sz w:val="30"/>
        </w:rPr>
        <w:t>6).</w:t>
      </w:r>
    </w:p>
    <w:p w14:paraId="595C3FD4" w14:textId="77777777" w:rsidR="008200DE" w:rsidRDefault="008200DE">
      <w:pPr>
        <w:pStyle w:val="BodyText"/>
        <w:rPr>
          <w:rFonts w:ascii="Arial"/>
          <w:sz w:val="20"/>
        </w:rPr>
      </w:pPr>
    </w:p>
    <w:p w14:paraId="43098500" w14:textId="77777777" w:rsidR="008200DE" w:rsidRDefault="008200DE">
      <w:pPr>
        <w:pStyle w:val="BodyText"/>
        <w:rPr>
          <w:rFonts w:ascii="Arial"/>
          <w:sz w:val="20"/>
        </w:rPr>
      </w:pPr>
    </w:p>
    <w:p w14:paraId="5F403ACC" w14:textId="77777777" w:rsidR="008200DE" w:rsidRDefault="008200DE">
      <w:pPr>
        <w:pStyle w:val="BodyText"/>
        <w:rPr>
          <w:rFonts w:ascii="Arial"/>
          <w:sz w:val="20"/>
        </w:rPr>
      </w:pPr>
    </w:p>
    <w:p w14:paraId="3E1C903B" w14:textId="77777777" w:rsidR="008200DE" w:rsidRDefault="008200DE">
      <w:pPr>
        <w:pStyle w:val="BodyText"/>
        <w:spacing w:before="6"/>
        <w:rPr>
          <w:rFonts w:ascii="Arial"/>
          <w:sz w:val="20"/>
        </w:rPr>
      </w:pPr>
    </w:p>
    <w:p w14:paraId="68D60564" w14:textId="77777777" w:rsidR="008200DE" w:rsidRDefault="006535E1">
      <w:pPr>
        <w:pStyle w:val="Heading2"/>
      </w:pPr>
      <w:r>
        <w:rPr>
          <w:color w:val="212121"/>
        </w:rPr>
        <w:t>Non-discrimination</w:t>
      </w:r>
    </w:p>
    <w:p w14:paraId="7599C4FC" w14:textId="77777777" w:rsidR="008200DE" w:rsidRDefault="006535E1">
      <w:pPr>
        <w:pStyle w:val="BodyText"/>
        <w:spacing w:before="86" w:line="600" w:lineRule="atLeast"/>
        <w:ind w:left="120" w:right="91"/>
      </w:pPr>
      <w:r>
        <w:rPr>
          <w:color w:val="212121"/>
          <w:w w:val="95"/>
        </w:rPr>
        <w:t>A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gay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man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physical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disabilities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living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UK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approached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disability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service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provider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ask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if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support worker could accompany him to a gay pub. His request was denied even though the service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regularly supported heterosexual people to attend pubs and clubs of their choice. The man and his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advocate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successfully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used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his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not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discriminated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w w:val="95"/>
        </w:rPr>
        <w:t>gainst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respect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his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private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  <w:w w:val="95"/>
        </w:rPr>
        <w:t>life,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protected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UK’s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Act,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challenge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service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provider’s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decision.</w:t>
      </w:r>
    </w:p>
    <w:p w14:paraId="2726FAD3" w14:textId="77777777" w:rsidR="008200DE" w:rsidRDefault="006535E1">
      <w:pPr>
        <w:spacing w:line="228" w:lineRule="exact"/>
        <w:ind w:left="113"/>
        <w:rPr>
          <w:rFonts w:ascii="Arial" w:hAnsi="Arial"/>
          <w:sz w:val="30"/>
        </w:rPr>
      </w:pPr>
      <w:r>
        <w:rPr>
          <w:rFonts w:ascii="Arial" w:hAnsi="Arial"/>
          <w:color w:val="AAADA6"/>
          <w:spacing w:val="-1"/>
          <w:sz w:val="30"/>
        </w:rPr>
        <w:t>Source: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pacing w:val="-1"/>
          <w:sz w:val="30"/>
        </w:rPr>
        <w:t>BIHR,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pacing w:val="-1"/>
          <w:sz w:val="30"/>
        </w:rPr>
        <w:t>The</w:t>
      </w:r>
      <w:r>
        <w:rPr>
          <w:rFonts w:ascii="Arial" w:hAnsi="Arial"/>
          <w:color w:val="AAADA6"/>
          <w:spacing w:val="-19"/>
          <w:sz w:val="30"/>
        </w:rPr>
        <w:t xml:space="preserve"> </w:t>
      </w:r>
      <w:r>
        <w:rPr>
          <w:rFonts w:ascii="Arial" w:hAnsi="Arial"/>
          <w:color w:val="AAADA6"/>
          <w:spacing w:val="-1"/>
          <w:sz w:val="30"/>
        </w:rPr>
        <w:t>Human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pacing w:val="-1"/>
          <w:sz w:val="30"/>
        </w:rPr>
        <w:t>Rights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pacing w:val="-1"/>
          <w:sz w:val="30"/>
        </w:rPr>
        <w:t>Act</w:t>
      </w:r>
      <w:r>
        <w:rPr>
          <w:rFonts w:ascii="Arial" w:hAnsi="Arial"/>
          <w:color w:val="AAADA6"/>
          <w:spacing w:val="-19"/>
          <w:sz w:val="30"/>
        </w:rPr>
        <w:t xml:space="preserve"> </w:t>
      </w:r>
      <w:r>
        <w:rPr>
          <w:rFonts w:ascii="Arial" w:hAnsi="Arial"/>
          <w:color w:val="AAADA6"/>
          <w:spacing w:val="-1"/>
          <w:sz w:val="30"/>
        </w:rPr>
        <w:t>–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pacing w:val="-1"/>
          <w:sz w:val="30"/>
        </w:rPr>
        <w:t>Changing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pacing w:val="-1"/>
          <w:sz w:val="30"/>
        </w:rPr>
        <w:t>Lives,</w:t>
      </w:r>
      <w:r>
        <w:rPr>
          <w:rFonts w:ascii="Arial" w:hAnsi="Arial"/>
          <w:color w:val="AAADA6"/>
          <w:spacing w:val="-19"/>
          <w:sz w:val="30"/>
        </w:rPr>
        <w:t xml:space="preserve"> </w:t>
      </w:r>
      <w:r>
        <w:rPr>
          <w:rFonts w:ascii="Arial" w:hAnsi="Arial"/>
          <w:color w:val="AAADA6"/>
          <w:sz w:val="30"/>
        </w:rPr>
        <w:t>&lt;https://</w:t>
      </w:r>
      <w:hyperlink r:id="rId6">
        <w:r>
          <w:rPr>
            <w:rFonts w:ascii="Arial" w:hAnsi="Arial"/>
            <w:color w:val="AAADA6"/>
            <w:sz w:val="30"/>
          </w:rPr>
          <w:t>www.bihr.org.uk/changing-lives</w:t>
        </w:r>
      </w:hyperlink>
      <w:r>
        <w:rPr>
          <w:rFonts w:ascii="Arial" w:hAnsi="Arial"/>
          <w:color w:val="AAADA6"/>
          <w:sz w:val="30"/>
        </w:rPr>
        <w:t>&gt;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z w:val="30"/>
        </w:rPr>
        <w:t>(Case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z w:val="30"/>
        </w:rPr>
        <w:t>Study</w:t>
      </w:r>
      <w:r>
        <w:rPr>
          <w:rFonts w:ascii="Arial" w:hAnsi="Arial"/>
          <w:color w:val="AAADA6"/>
          <w:spacing w:val="-19"/>
          <w:sz w:val="30"/>
        </w:rPr>
        <w:t xml:space="preserve"> </w:t>
      </w:r>
      <w:r>
        <w:rPr>
          <w:rFonts w:ascii="Arial" w:hAnsi="Arial"/>
          <w:color w:val="AAADA6"/>
          <w:sz w:val="30"/>
        </w:rPr>
        <w:t>7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z w:val="30"/>
        </w:rPr>
        <w:t>p</w:t>
      </w:r>
      <w:r>
        <w:rPr>
          <w:rFonts w:ascii="Arial" w:hAnsi="Arial"/>
          <w:color w:val="AAADA6"/>
          <w:spacing w:val="-20"/>
          <w:sz w:val="30"/>
        </w:rPr>
        <w:t xml:space="preserve"> </w:t>
      </w:r>
      <w:r>
        <w:rPr>
          <w:rFonts w:ascii="Arial" w:hAnsi="Arial"/>
          <w:color w:val="AAADA6"/>
          <w:sz w:val="30"/>
        </w:rPr>
        <w:t>9).</w:t>
      </w:r>
    </w:p>
    <w:p w14:paraId="1D712D1F" w14:textId="77777777" w:rsidR="008200DE" w:rsidRDefault="008200DE">
      <w:pPr>
        <w:pStyle w:val="BodyText"/>
        <w:rPr>
          <w:rFonts w:ascii="Arial"/>
          <w:sz w:val="20"/>
        </w:rPr>
      </w:pPr>
    </w:p>
    <w:p w14:paraId="19DCC825" w14:textId="77777777" w:rsidR="008200DE" w:rsidRDefault="008200DE">
      <w:pPr>
        <w:pStyle w:val="BodyText"/>
        <w:rPr>
          <w:rFonts w:ascii="Arial"/>
          <w:sz w:val="20"/>
        </w:rPr>
      </w:pPr>
    </w:p>
    <w:p w14:paraId="45F6EAAA" w14:textId="77777777" w:rsidR="008200DE" w:rsidRDefault="008200DE">
      <w:pPr>
        <w:pStyle w:val="BodyText"/>
        <w:rPr>
          <w:rFonts w:ascii="Arial"/>
          <w:sz w:val="20"/>
        </w:rPr>
      </w:pPr>
    </w:p>
    <w:p w14:paraId="2C955094" w14:textId="77777777" w:rsidR="008200DE" w:rsidRDefault="008200DE">
      <w:pPr>
        <w:pStyle w:val="BodyText"/>
        <w:spacing w:before="8"/>
        <w:rPr>
          <w:rFonts w:ascii="Arial"/>
          <w:sz w:val="23"/>
        </w:rPr>
      </w:pPr>
    </w:p>
    <w:p w14:paraId="774108EA" w14:textId="77777777" w:rsidR="008200DE" w:rsidRDefault="006535E1">
      <w:pPr>
        <w:spacing w:before="131"/>
        <w:ind w:left="120"/>
        <w:rPr>
          <w:rFonts w:ascii="Tahoma"/>
          <w:b/>
          <w:sz w:val="35"/>
        </w:rPr>
      </w:pPr>
      <w:r>
        <w:rPr>
          <w:rFonts w:ascii="Tahoma"/>
          <w:b/>
          <w:color w:val="212121"/>
          <w:sz w:val="35"/>
        </w:rPr>
        <w:t>Which</w:t>
      </w:r>
      <w:r>
        <w:rPr>
          <w:rFonts w:ascii="Tahoma"/>
          <w:b/>
          <w:color w:val="212121"/>
          <w:spacing w:val="-12"/>
          <w:sz w:val="35"/>
        </w:rPr>
        <w:t xml:space="preserve"> </w:t>
      </w:r>
      <w:r>
        <w:rPr>
          <w:rFonts w:ascii="Tahoma"/>
          <w:b/>
          <w:color w:val="212121"/>
          <w:sz w:val="35"/>
        </w:rPr>
        <w:t>rights?</w:t>
      </w:r>
    </w:p>
    <w:p w14:paraId="15000055" w14:textId="77777777" w:rsidR="008200DE" w:rsidRDefault="006535E1">
      <w:pPr>
        <w:pStyle w:val="Heading1"/>
        <w:spacing w:before="142" w:line="259" w:lineRule="auto"/>
        <w:ind w:right="91"/>
      </w:pPr>
      <w:r>
        <w:rPr>
          <w:color w:val="212121"/>
          <w:w w:val="95"/>
        </w:rPr>
        <w:t>The case studies above show that the rights that protect everyone have been used to protect the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rights of people who are LGBTI. Many of these rights originally come from the United Nations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International Covenant on Civil and Political Rights. </w:t>
      </w:r>
      <w:proofErr w:type="gramStart"/>
      <w:r>
        <w:rPr>
          <w:color w:val="212121"/>
          <w:w w:val="95"/>
        </w:rPr>
        <w:t>In order for</w:t>
      </w:r>
      <w:proofErr w:type="gramEnd"/>
      <w:r>
        <w:rPr>
          <w:color w:val="212121"/>
          <w:w w:val="95"/>
        </w:rPr>
        <w:t xml:space="preserve"> </w:t>
      </w:r>
      <w:r>
        <w:rPr>
          <w:color w:val="212121"/>
          <w:w w:val="95"/>
        </w:rPr>
        <w:t>the rights contained in International</w:t>
      </w:r>
      <w:r>
        <w:rPr>
          <w:color w:val="212121"/>
          <w:spacing w:val="-112"/>
          <w:w w:val="95"/>
        </w:rPr>
        <w:t xml:space="preserve"> </w:t>
      </w:r>
      <w:r>
        <w:rPr>
          <w:color w:val="212121"/>
          <w:w w:val="95"/>
        </w:rPr>
        <w:t>Covenant on Civil and Political Rights to be enforceable in Queensland they need to be protected in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law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example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Queensland</w:t>
      </w:r>
    </w:p>
    <w:sectPr w:rsidR="008200DE">
      <w:type w:val="continuous"/>
      <w:pgSz w:w="22390" w:h="31660"/>
      <w:pgMar w:top="980" w:right="2240" w:bottom="0" w:left="2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0DE"/>
    <w:rsid w:val="006535E1"/>
    <w:rsid w:val="008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0A3F"/>
  <w15:docId w15:val="{E7FB5B8E-6047-4E51-AFE9-98A9B75B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120"/>
      <w:outlineLvl w:val="1"/>
    </w:pPr>
    <w:rPr>
      <w:rFonts w:ascii="Tahoma" w:eastAsia="Tahoma" w:hAnsi="Tahoma" w:cs="Tahoma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Title">
    <w:name w:val="Title"/>
    <w:basedOn w:val="Normal"/>
    <w:uiPriority w:val="10"/>
    <w:qFormat/>
    <w:pPr>
      <w:spacing w:before="143" w:line="1078" w:lineRule="exact"/>
      <w:ind w:left="185"/>
    </w:pPr>
    <w:rPr>
      <w:rFonts w:ascii="Tahoma" w:eastAsia="Tahoma" w:hAnsi="Tahoma" w:cs="Tahoma"/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hr.org.uk/changing-lives" TargetMode="External"/><Relationship Id="rId5" Type="http://schemas.openxmlformats.org/officeDocument/2006/relationships/hyperlink" Target="http://hrlc.org.au/files/VictorianCharter_in_Action_CASESTUDIES_march201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LGBTI</dc:title>
  <dc:creator>Aimee McVeigh</dc:creator>
  <cp:keywords>DADCiml2aoc</cp:keywords>
  <cp:lastModifiedBy>Shannon Bell</cp:lastModifiedBy>
  <cp:revision>2</cp:revision>
  <dcterms:created xsi:type="dcterms:W3CDTF">2021-04-19T03:03:00Z</dcterms:created>
  <dcterms:modified xsi:type="dcterms:W3CDTF">2021-04-19T03:03:00Z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