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77777777" w:rsidR="007A3268" w:rsidRPr="005079CE" w:rsidRDefault="007A3268" w:rsidP="007A3268">
      <w:pPr>
        <w:rPr>
          <w:rFonts w:ascii="Arial" w:hAnsi="Arial" w:cs="Arial"/>
          <w:szCs w:val="22"/>
        </w:rPr>
      </w:pPr>
    </w:p>
    <w:p w14:paraId="57A08196" w14:textId="77777777" w:rsidR="007A3268" w:rsidRDefault="007A3268" w:rsidP="007A3268">
      <w:pPr>
        <w:rPr>
          <w:rFonts w:ascii="Arial" w:hAnsi="Arial" w:cs="Arial"/>
          <w:szCs w:val="22"/>
        </w:rPr>
      </w:pPr>
    </w:p>
    <w:p w14:paraId="13FF3F13" w14:textId="0148CC11" w:rsidR="0262D6C5" w:rsidRDefault="00876657" w:rsidP="1AFA847E">
      <w:pPr>
        <w:spacing w:after="120"/>
        <w:jc w:val="center"/>
        <w:rPr>
          <w:rStyle w:val="BookTitle"/>
          <w:rFonts w:ascii="Calibri" w:hAnsi="Calibri"/>
        </w:rPr>
      </w:pPr>
      <w:r>
        <w:rPr>
          <w:rStyle w:val="BookTitle"/>
          <w:rFonts w:cstheme="minorBidi"/>
        </w:rPr>
        <w:t>Fees and charges review</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50CB13D2" w:rsidR="00CF1A02" w:rsidRPr="00EB03E4" w:rsidRDefault="00876657" w:rsidP="00CF1A02">
      <w:pPr>
        <w:pStyle w:val="Heading1"/>
        <w:spacing w:before="0" w:after="120" w:line="240" w:lineRule="auto"/>
        <w:jc w:val="center"/>
        <w:rPr>
          <w:rFonts w:cstheme="minorHAnsi"/>
          <w:sz w:val="48"/>
          <w:szCs w:val="48"/>
        </w:rPr>
      </w:pPr>
      <w:r>
        <w:rPr>
          <w:rFonts w:cstheme="minorHAnsi"/>
          <w:sz w:val="48"/>
          <w:szCs w:val="48"/>
        </w:rPr>
        <w:t>The Public Trustee of Queensland</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0F3C20DE" w:rsidR="00CF1A02" w:rsidRPr="00EB03E4" w:rsidRDefault="00876657" w:rsidP="00CF1A02">
      <w:pPr>
        <w:pStyle w:val="Heading1"/>
        <w:spacing w:before="0" w:after="120" w:line="240" w:lineRule="auto"/>
        <w:jc w:val="center"/>
        <w:rPr>
          <w:rFonts w:cstheme="minorHAnsi"/>
          <w:color w:val="FF0000"/>
          <w:sz w:val="36"/>
          <w:szCs w:val="36"/>
        </w:rPr>
      </w:pPr>
      <w:r>
        <w:rPr>
          <w:rFonts w:cstheme="minorHAnsi"/>
          <w:color w:val="FF0000"/>
          <w:sz w:val="36"/>
          <w:szCs w:val="36"/>
        </w:rPr>
        <w:t>August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272423B6" w14:textId="10C59E46"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1D5C2DAE" w14:textId="63D438DF" w:rsidR="000A1ABB" w:rsidRPr="00EB03E4" w:rsidRDefault="000A1ABB" w:rsidP="000A1ABB">
      <w:pPr>
        <w:pStyle w:val="Heading1"/>
        <w:spacing w:before="0" w:after="120" w:line="240" w:lineRule="auto"/>
        <w:rPr>
          <w:rFonts w:cstheme="minorHAnsi"/>
        </w:rPr>
      </w:pPr>
      <w:r w:rsidRPr="00EB03E4">
        <w:rPr>
          <w:rFonts w:cstheme="minorHAnsi"/>
        </w:rPr>
        <w:t>About Queensland Advocacy Incorporated</w:t>
      </w:r>
    </w:p>
    <w:p w14:paraId="745140F4" w14:textId="40A723BA" w:rsidR="000A1ABB" w:rsidRPr="00BC1C68" w:rsidRDefault="000A1ABB" w:rsidP="005256AE">
      <w:pPr>
        <w:spacing w:after="120" w:line="276" w:lineRule="auto"/>
        <w:rPr>
          <w:rFonts w:cstheme="minorHAnsi"/>
          <w:szCs w:val="22"/>
        </w:rPr>
      </w:pPr>
      <w:r w:rsidRPr="00BC1C68">
        <w:rPr>
          <w:rFonts w:cstheme="minorHAnsi"/>
          <w:szCs w:val="22"/>
        </w:rPr>
        <w:t>Queensland Advocacy Incorporated (</w:t>
      </w:r>
      <w:r w:rsidRPr="00BC1C68">
        <w:rPr>
          <w:rFonts w:cstheme="minorHAnsi"/>
          <w:b/>
          <w:szCs w:val="22"/>
        </w:rPr>
        <w:t>QAI</w:t>
      </w:r>
      <w:r w:rsidRPr="00BC1C68">
        <w:rPr>
          <w:rFonts w:cstheme="minorHAnsi"/>
          <w:szCs w:val="22"/>
        </w:rPr>
        <w:t xml:space="preserve">) is an independent, community-based advocacy organisation and community legal service that provides individual and systems advocacy for people with disability. Our mission is to </w:t>
      </w:r>
      <w:r w:rsidR="00223A05">
        <w:rPr>
          <w:rFonts w:cstheme="minorHAnsi"/>
          <w:szCs w:val="22"/>
        </w:rPr>
        <w:t>advocate</w:t>
      </w:r>
      <w:r w:rsidR="008C75EC">
        <w:rPr>
          <w:rFonts w:cstheme="minorHAnsi"/>
          <w:szCs w:val="22"/>
        </w:rPr>
        <w:t xml:space="preserve"> for the protection and advancement of the fundamental needs, rights and lives</w:t>
      </w:r>
      <w:r w:rsidRPr="00BC1C68">
        <w:rPr>
          <w:rFonts w:cstheme="minorHAnsi"/>
          <w:szCs w:val="22"/>
        </w:rPr>
        <w:t xml:space="preserve"> of the most vulnerable people with disability in Queensland. QAI’s board is comprised of a majority of persons with disability, whose wisdom and lived experience of disability is our foundation and guide.</w:t>
      </w:r>
    </w:p>
    <w:p w14:paraId="168B4275" w14:textId="6D621052" w:rsidR="00151EB8" w:rsidRPr="00876657" w:rsidRDefault="00151EB8" w:rsidP="005256AE">
      <w:pPr>
        <w:tabs>
          <w:tab w:val="clear" w:pos="288"/>
        </w:tabs>
        <w:spacing w:line="276" w:lineRule="auto"/>
        <w:textAlignment w:val="baseline"/>
        <w:rPr>
          <w:rFonts w:ascii="Calibri" w:eastAsia="Times New Roman" w:hAnsi="Calibri" w:cs="Calibri"/>
          <w:color w:val="000000"/>
          <w:szCs w:val="22"/>
          <w:lang w:eastAsia="en-AU"/>
        </w:rPr>
      </w:pPr>
      <w:r w:rsidRPr="00151EB8">
        <w:rPr>
          <w:rFonts w:ascii="Calibri" w:eastAsia="Times New Roman" w:hAnsi="Calibri" w:cs="Calibri"/>
          <w:szCs w:val="22"/>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151EB8">
        <w:rPr>
          <w:rFonts w:ascii="Calibri" w:eastAsia="Times New Roman" w:hAnsi="Calibri" w:cs="Calibri"/>
          <w:color w:val="000000"/>
          <w:szCs w:val="22"/>
          <w:lang w:eastAsia="en-AU"/>
        </w:rPr>
        <w:t>For over a decade, QAI has provided highly in-demand individual advocacy services. These services are currently provided through our three advocacy practices: the Human Rights Advocacy Practice</w:t>
      </w:r>
      <w:r w:rsidR="00876657">
        <w:rPr>
          <w:rFonts w:ascii="Calibri" w:eastAsia="Times New Roman" w:hAnsi="Calibri" w:cs="Calibri"/>
          <w:color w:val="000000"/>
          <w:szCs w:val="22"/>
          <w:lang w:eastAsia="en-AU"/>
        </w:rPr>
        <w:t xml:space="preserve"> (which provides legal advocacy in the areas of guardianship and administration, disability discrimination and human rights law, non-legal advocacy support with the Disability Royal Commission, the justice interface and education, and social work services); </w:t>
      </w:r>
      <w:r w:rsidRPr="00151EB8">
        <w:rPr>
          <w:rFonts w:ascii="Calibri" w:eastAsia="Times New Roman" w:hAnsi="Calibri" w:cs="Calibri"/>
          <w:color w:val="000000"/>
          <w:szCs w:val="22"/>
          <w:lang w:eastAsia="en-AU"/>
        </w:rPr>
        <w:t>the Mental Health Advocacy Practice (which supports people receiving involuntary treatment for mental illness); and the NDIS Advocacy Practice (which provides support for people challenging decisions of the National Disability Insurance Agency and decision support to access the NDIS). Our individual advocacy experience informs our understanding and prioritisation of systemic advocacy issues. </w:t>
      </w:r>
    </w:p>
    <w:p w14:paraId="05CC1E2A" w14:textId="67808B10" w:rsidR="008C19D8" w:rsidRPr="00BC1C68" w:rsidRDefault="008C19D8" w:rsidP="00876657">
      <w:pPr>
        <w:tabs>
          <w:tab w:val="clear" w:pos="288"/>
        </w:tabs>
        <w:spacing w:after="120"/>
        <w:rPr>
          <w:rFonts w:eastAsia="Calibri" w:cstheme="minorHAnsi"/>
          <w:szCs w:val="22"/>
          <w:lang w:eastAsia="en-US"/>
        </w:rPr>
      </w:pPr>
    </w:p>
    <w:p w14:paraId="2597563F" w14:textId="77777777" w:rsidR="00864664" w:rsidRPr="00EB03E4" w:rsidRDefault="00864664" w:rsidP="00864664">
      <w:pPr>
        <w:pStyle w:val="Heading1"/>
        <w:spacing w:before="240" w:after="120" w:line="240" w:lineRule="auto"/>
        <w:rPr>
          <w:rFonts w:cstheme="minorHAnsi"/>
        </w:rPr>
      </w:pPr>
      <w:r w:rsidRPr="00EB03E4">
        <w:rPr>
          <w:rFonts w:cstheme="minorHAnsi"/>
        </w:rPr>
        <w:t>QAI’s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6F0C5C1C">
        <w:tc>
          <w:tcPr>
            <w:tcW w:w="9962" w:type="dxa"/>
            <w:shd w:val="clear" w:color="auto" w:fill="BFBFBF" w:themeFill="background1" w:themeFillShade="BF"/>
          </w:tcPr>
          <w:p w14:paraId="39D46AAE" w14:textId="77777777" w:rsidR="00864664" w:rsidRPr="00EB03E4" w:rsidRDefault="00864664" w:rsidP="00B375C5">
            <w:pPr>
              <w:spacing w:after="120"/>
              <w:rPr>
                <w:rFonts w:cstheme="minorHAnsi"/>
                <w:b/>
              </w:rPr>
            </w:pPr>
            <w:bookmarkStart w:id="0" w:name="_Hlk79666905"/>
            <w:r w:rsidRPr="00EB03E4">
              <w:rPr>
                <w:rFonts w:cstheme="minorHAnsi"/>
                <w:b/>
              </w:rPr>
              <w:t>QAI recommends:</w:t>
            </w:r>
          </w:p>
          <w:p w14:paraId="71E4BBA2" w14:textId="6492DC29" w:rsidR="007335D5" w:rsidRPr="00AD5107" w:rsidRDefault="009A3359" w:rsidP="00AD5107">
            <w:pPr>
              <w:pStyle w:val="ListParagraph"/>
              <w:numPr>
                <w:ilvl w:val="0"/>
                <w:numId w:val="14"/>
              </w:numPr>
              <w:tabs>
                <w:tab w:val="clear" w:pos="288"/>
                <w:tab w:val="left" w:pos="314"/>
              </w:tabs>
              <w:spacing w:line="276" w:lineRule="auto"/>
              <w:ind w:left="314" w:hanging="284"/>
              <w:rPr>
                <w:rFonts w:cstheme="minorHAnsi"/>
              </w:rPr>
            </w:pPr>
            <w:r w:rsidRPr="00AD5107">
              <w:rPr>
                <w:rFonts w:eastAsia="Times New Roman"/>
                <w:lang w:eastAsia="en-AU"/>
              </w:rPr>
              <w:t>QAI supports the</w:t>
            </w:r>
            <w:r w:rsidR="00724A51" w:rsidRPr="00AD5107">
              <w:rPr>
                <w:rFonts w:eastAsia="Times New Roman"/>
                <w:lang w:eastAsia="en-AU"/>
              </w:rPr>
              <w:t xml:space="preserve"> full implementation of the </w:t>
            </w:r>
            <w:r w:rsidR="00E92798" w:rsidRPr="00AD5107">
              <w:rPr>
                <w:rFonts w:eastAsia="Times New Roman"/>
                <w:lang w:eastAsia="en-AU"/>
              </w:rPr>
              <w:t>recommendations contained in the Public Advocate’s</w:t>
            </w:r>
            <w:r w:rsidRPr="00AD5107">
              <w:rPr>
                <w:rFonts w:eastAsia="Times New Roman"/>
                <w:lang w:eastAsia="en-AU"/>
              </w:rPr>
              <w:t xml:space="preserve"> </w:t>
            </w:r>
            <w:r w:rsidR="00F81BFB" w:rsidRPr="00AD5107">
              <w:rPr>
                <w:rFonts w:eastAsia="Times New Roman"/>
                <w:lang w:eastAsia="en-AU"/>
              </w:rPr>
              <w:t xml:space="preserve">report </w:t>
            </w:r>
            <w:r w:rsidR="00F81BFB" w:rsidRPr="007335D5">
              <w:t>‘</w:t>
            </w:r>
            <w:r w:rsidR="00F81BFB" w:rsidRPr="00AD5107">
              <w:rPr>
                <w:i/>
              </w:rPr>
              <w:t>Preserving the financial futures of vulnerable Queenslanders: A review of the Public Trustee’s fees, charges and practices</w:t>
            </w:r>
            <w:r w:rsidR="00046151">
              <w:rPr>
                <w:i/>
              </w:rPr>
              <w:t>.</w:t>
            </w:r>
            <w:r w:rsidR="00F81BFB" w:rsidRPr="007335D5">
              <w:t>’</w:t>
            </w:r>
            <w:r w:rsidRPr="00AD5107">
              <w:rPr>
                <w:rFonts w:eastAsia="Times New Roman"/>
                <w:lang w:eastAsia="en-AU"/>
              </w:rPr>
              <w:t xml:space="preserve"> Recommendations 1 and 2 are directly applicable to the scope of this </w:t>
            </w:r>
            <w:r w:rsidR="00046151" w:rsidRPr="00AD5107">
              <w:rPr>
                <w:rFonts w:eastAsia="Times New Roman"/>
                <w:lang w:eastAsia="en-AU"/>
              </w:rPr>
              <w:t>review and</w:t>
            </w:r>
            <w:r w:rsidR="00156DC9" w:rsidRPr="00AD5107">
              <w:rPr>
                <w:rFonts w:eastAsia="Times New Roman"/>
                <w:lang w:eastAsia="en-AU"/>
              </w:rPr>
              <w:t xml:space="preserve"> are provided in full at the end of this submission</w:t>
            </w:r>
            <w:r w:rsidRPr="00AD5107">
              <w:rPr>
                <w:rFonts w:eastAsia="Times New Roman"/>
                <w:lang w:eastAsia="en-AU"/>
              </w:rPr>
              <w:t>.</w:t>
            </w:r>
          </w:p>
          <w:p w14:paraId="3E5D1F6C" w14:textId="26A11FFE" w:rsidR="007335D5" w:rsidRPr="00AD5107" w:rsidRDefault="00B1611A" w:rsidP="00AD5107">
            <w:pPr>
              <w:pStyle w:val="ListParagraph"/>
              <w:numPr>
                <w:ilvl w:val="0"/>
                <w:numId w:val="14"/>
              </w:numPr>
              <w:tabs>
                <w:tab w:val="clear" w:pos="288"/>
                <w:tab w:val="left" w:pos="314"/>
              </w:tabs>
              <w:spacing w:line="276" w:lineRule="auto"/>
              <w:ind w:left="314" w:hanging="284"/>
              <w:rPr>
                <w:rFonts w:cstheme="minorHAnsi"/>
              </w:rPr>
            </w:pPr>
            <w:r w:rsidRPr="00AD5107">
              <w:rPr>
                <w:rFonts w:eastAsia="Times New Roman"/>
                <w:lang w:eastAsia="en-AU"/>
              </w:rPr>
              <w:t xml:space="preserve">QAI </w:t>
            </w:r>
            <w:r w:rsidR="009C79C0" w:rsidRPr="00AD5107">
              <w:rPr>
                <w:rFonts w:eastAsia="Times New Roman"/>
                <w:lang w:eastAsia="en-AU"/>
              </w:rPr>
              <w:t xml:space="preserve">urges the </w:t>
            </w:r>
            <w:r w:rsidR="009A3359" w:rsidRPr="00AD5107">
              <w:rPr>
                <w:rFonts w:eastAsia="Times New Roman"/>
                <w:lang w:eastAsia="en-AU"/>
              </w:rPr>
              <w:t>implementation of a rights-based approach to working with people with impaired</w:t>
            </w:r>
            <w:r w:rsidR="00113701" w:rsidRPr="00AD5107">
              <w:rPr>
                <w:rFonts w:eastAsia="Times New Roman"/>
                <w:lang w:eastAsia="en-AU"/>
              </w:rPr>
              <w:t xml:space="preserve"> </w:t>
            </w:r>
            <w:r w:rsidR="009A3359" w:rsidRPr="00AD5107">
              <w:rPr>
                <w:rFonts w:eastAsia="Times New Roman"/>
                <w:lang w:eastAsia="en-AU"/>
              </w:rPr>
              <w:t>decision-making capacity, including implementation of supported decision-making practices as is required by the Convention on the Rights of Persons with Disabilities (CRPD). This involves ensuring that people with disability under financial administration of the Public Trustee are properly informed, consulted and involved in decision-making that affects them.</w:t>
            </w:r>
          </w:p>
          <w:p w14:paraId="69756615" w14:textId="51E444EB" w:rsidR="004F375C" w:rsidRPr="00AD5107" w:rsidRDefault="004F375C" w:rsidP="00AD5107">
            <w:pPr>
              <w:pStyle w:val="ListParagraph"/>
              <w:numPr>
                <w:ilvl w:val="0"/>
                <w:numId w:val="14"/>
              </w:numPr>
              <w:tabs>
                <w:tab w:val="clear" w:pos="288"/>
                <w:tab w:val="left" w:pos="314"/>
              </w:tabs>
              <w:spacing w:line="276" w:lineRule="auto"/>
              <w:ind w:left="314" w:hanging="284"/>
              <w:rPr>
                <w:rFonts w:cstheme="minorHAnsi"/>
              </w:rPr>
            </w:pPr>
            <w:r w:rsidRPr="00AD5107">
              <w:rPr>
                <w:rFonts w:cstheme="minorHAnsi"/>
              </w:rPr>
              <w:t>Th</w:t>
            </w:r>
            <w:r w:rsidR="006D0202">
              <w:rPr>
                <w:rFonts w:cstheme="minorHAnsi"/>
              </w:rPr>
              <w:t>at the</w:t>
            </w:r>
            <w:r w:rsidRPr="00AD5107">
              <w:rPr>
                <w:rFonts w:cstheme="minorHAnsi"/>
              </w:rPr>
              <w:t xml:space="preserve"> results of this review </w:t>
            </w:r>
            <w:r w:rsidR="006D0202">
              <w:rPr>
                <w:rFonts w:cstheme="minorHAnsi"/>
              </w:rPr>
              <w:t>are</w:t>
            </w:r>
            <w:r w:rsidRPr="00AD5107">
              <w:rPr>
                <w:rFonts w:cstheme="minorHAnsi"/>
              </w:rPr>
              <w:t xml:space="preserve"> independently reviewed</w:t>
            </w:r>
            <w:r w:rsidR="006D0202">
              <w:rPr>
                <w:rFonts w:cstheme="minorHAnsi"/>
              </w:rPr>
              <w:t xml:space="preserve"> and made publicly available</w:t>
            </w:r>
            <w:r w:rsidRPr="00AD5107">
              <w:rPr>
                <w:rFonts w:cstheme="minorHAnsi"/>
              </w:rPr>
              <w:t>.</w:t>
            </w:r>
          </w:p>
          <w:p w14:paraId="41674798" w14:textId="5B6C916B" w:rsidR="001B7CA7" w:rsidRPr="00AD5107" w:rsidRDefault="001B7CA7" w:rsidP="00AD5107">
            <w:pPr>
              <w:pStyle w:val="ListParagraph"/>
              <w:numPr>
                <w:ilvl w:val="0"/>
                <w:numId w:val="14"/>
              </w:numPr>
              <w:tabs>
                <w:tab w:val="clear" w:pos="288"/>
                <w:tab w:val="left" w:pos="314"/>
              </w:tabs>
              <w:spacing w:line="276" w:lineRule="auto"/>
              <w:ind w:left="314" w:hanging="284"/>
              <w:rPr>
                <w:rFonts w:cstheme="minorHAnsi"/>
              </w:rPr>
            </w:pPr>
            <w:r w:rsidRPr="61FC75CA">
              <w:t>The rationale behind certain fees</w:t>
            </w:r>
            <w:r>
              <w:t>, the inconsistent application of fees</w:t>
            </w:r>
            <w:r w:rsidR="002049C7">
              <w:t xml:space="preserve">, the </w:t>
            </w:r>
            <w:r w:rsidR="002049C7" w:rsidRPr="0EC67313">
              <w:t>accuracy and quality of information regarding fees</w:t>
            </w:r>
            <w:r w:rsidR="00FC079D">
              <w:t xml:space="preserve">, as well as the disproportionate impact of fees on clients with moderate income and assets, to </w:t>
            </w:r>
            <w:r w:rsidR="00642690">
              <w:t xml:space="preserve">be urgently </w:t>
            </w:r>
            <w:r w:rsidR="00FC079D">
              <w:t>reviewed</w:t>
            </w:r>
            <w:r w:rsidR="007A7CC5">
              <w:t>.</w:t>
            </w:r>
          </w:p>
          <w:p w14:paraId="7C6ED8C1" w14:textId="0CF7EB03" w:rsidR="00F33BB6" w:rsidRPr="00AD5107" w:rsidRDefault="00F33BB6" w:rsidP="00AD5107">
            <w:pPr>
              <w:pStyle w:val="ListParagraph"/>
              <w:numPr>
                <w:ilvl w:val="0"/>
                <w:numId w:val="14"/>
              </w:numPr>
              <w:tabs>
                <w:tab w:val="clear" w:pos="288"/>
                <w:tab w:val="left" w:pos="314"/>
              </w:tabs>
              <w:spacing w:line="276" w:lineRule="auto"/>
              <w:ind w:left="314" w:hanging="284"/>
              <w:rPr>
                <w:rFonts w:cstheme="minorBidi"/>
              </w:rPr>
            </w:pPr>
            <w:r>
              <w:t>Th</w:t>
            </w:r>
            <w:r w:rsidR="00E27098">
              <w:t>at th</w:t>
            </w:r>
            <w:r>
              <w:t>e Queensland government review its financial responsibilities towards supporting people deemed to have impaired decision-making capacity through subsidising the Public Trustee’s Community Service Obligations.</w:t>
            </w:r>
          </w:p>
          <w:p w14:paraId="40E995ED" w14:textId="5546C536" w:rsidR="00864664" w:rsidRPr="00AD5107" w:rsidRDefault="000E0756" w:rsidP="00AD5107">
            <w:pPr>
              <w:pStyle w:val="ListParagraph"/>
              <w:numPr>
                <w:ilvl w:val="0"/>
                <w:numId w:val="14"/>
              </w:numPr>
              <w:tabs>
                <w:tab w:val="clear" w:pos="288"/>
                <w:tab w:val="left" w:pos="314"/>
              </w:tabs>
              <w:spacing w:line="276" w:lineRule="auto"/>
              <w:ind w:left="314" w:hanging="284"/>
            </w:pPr>
            <w:r>
              <w:t>Extending the scope of the Public Trustee’s review to include the financial practices of the Public Trustee itself, not just the fees and charges applied to its clients. The use of revenue from client fees and charges to su</w:t>
            </w:r>
            <w:r w:rsidR="70BD3E01">
              <w:t>bsidise</w:t>
            </w:r>
            <w:r>
              <w:t xml:space="preserve"> other client services, </w:t>
            </w:r>
            <w:r w:rsidR="0CD2BA7D">
              <w:t>and the impact on</w:t>
            </w:r>
            <w:r>
              <w:t xml:space="preserve"> the Public Trustee’s compliance with its legal responsibilities as a fiduciary, must be urgently </w:t>
            </w:r>
            <w:r w:rsidR="244FB330">
              <w:t>consi</w:t>
            </w:r>
            <w:r>
              <w:t>d</w:t>
            </w:r>
            <w:r w:rsidR="244FB330">
              <w:t>ered</w:t>
            </w:r>
            <w:r>
              <w:t>.</w:t>
            </w:r>
          </w:p>
        </w:tc>
      </w:tr>
      <w:bookmarkEnd w:id="0"/>
    </w:tbl>
    <w:p w14:paraId="3F4ECFA4" w14:textId="77777777" w:rsidR="004533D8" w:rsidRPr="004533D8" w:rsidRDefault="004533D8" w:rsidP="00F85013">
      <w:pPr>
        <w:rPr>
          <w:lang w:eastAsia="en-US"/>
        </w:rPr>
      </w:pPr>
    </w:p>
    <w:p w14:paraId="6A7E078C" w14:textId="77777777" w:rsidR="008C19D8" w:rsidRPr="00EB03E4" w:rsidRDefault="008C19D8" w:rsidP="00C5365E">
      <w:pPr>
        <w:spacing w:after="120"/>
        <w:rPr>
          <w:rFonts w:cstheme="minorHAnsi"/>
        </w:rPr>
      </w:pPr>
    </w:p>
    <w:p w14:paraId="61409B0F" w14:textId="77777777" w:rsidR="008C19D8" w:rsidRPr="00EB03E4" w:rsidRDefault="008C19D8" w:rsidP="008C19D8">
      <w:pPr>
        <w:pStyle w:val="Heading1"/>
        <w:spacing w:before="240" w:after="120" w:line="240" w:lineRule="auto"/>
        <w:rPr>
          <w:rFonts w:cstheme="minorHAnsi"/>
        </w:rPr>
      </w:pPr>
      <w:r w:rsidRPr="00EB03E4">
        <w:rPr>
          <w:rFonts w:cstheme="minorHAnsi"/>
        </w:rPr>
        <w:t>Introduction</w:t>
      </w:r>
    </w:p>
    <w:p w14:paraId="63978C57" w14:textId="7661FDA2" w:rsidR="008C19D8" w:rsidRDefault="00B1376E" w:rsidP="00B1376E">
      <w:pPr>
        <w:spacing w:after="120" w:line="276" w:lineRule="auto"/>
        <w:rPr>
          <w:rFonts w:cstheme="minorBidi"/>
        </w:rPr>
      </w:pPr>
      <w:r w:rsidRPr="3EA8306A">
        <w:rPr>
          <w:rFonts w:cstheme="minorBidi"/>
        </w:rPr>
        <w:t>QAI w</w:t>
      </w:r>
      <w:r w:rsidR="001745A7" w:rsidRPr="00B1376E">
        <w:rPr>
          <w:rFonts w:cstheme="minorBidi"/>
        </w:rPr>
        <w:t>elcome</w:t>
      </w:r>
      <w:r w:rsidRPr="3EA8306A">
        <w:rPr>
          <w:rFonts w:cstheme="minorBidi"/>
        </w:rPr>
        <w:t>s</w:t>
      </w:r>
      <w:r w:rsidR="001745A7" w:rsidRPr="00B1376E">
        <w:rPr>
          <w:rFonts w:cstheme="minorBidi"/>
        </w:rPr>
        <w:t xml:space="preserve"> the opportunity to provide feedback on the</w:t>
      </w:r>
      <w:r w:rsidR="00927922" w:rsidRPr="00B1376E">
        <w:rPr>
          <w:rFonts w:cstheme="minorBidi"/>
        </w:rPr>
        <w:t xml:space="preserve"> </w:t>
      </w:r>
      <w:r w:rsidR="003D3D2C" w:rsidRPr="3EA8306A">
        <w:rPr>
          <w:rFonts w:cstheme="minorBidi"/>
        </w:rPr>
        <w:t xml:space="preserve">Public Trustee’s fees and charges regime. </w:t>
      </w:r>
      <w:r w:rsidR="006E2D72" w:rsidRPr="3EA8306A">
        <w:rPr>
          <w:rFonts w:cstheme="minorBidi"/>
        </w:rPr>
        <w:t xml:space="preserve">QAI has extensive experiencing supporting people with disability </w:t>
      </w:r>
      <w:r w:rsidR="0046051E" w:rsidRPr="3EA8306A">
        <w:rPr>
          <w:rFonts w:cstheme="minorBidi"/>
        </w:rPr>
        <w:t>whose financial affairs are managed by the Public Trustee.</w:t>
      </w:r>
      <w:r w:rsidR="00BF427A" w:rsidRPr="3EA8306A">
        <w:rPr>
          <w:rFonts w:cstheme="minorBidi"/>
        </w:rPr>
        <w:t xml:space="preserve"> We acknowledge th</w:t>
      </w:r>
      <w:r w:rsidR="00D5083D" w:rsidRPr="3EA8306A">
        <w:rPr>
          <w:rFonts w:cstheme="minorBidi"/>
        </w:rPr>
        <w:t>at th</w:t>
      </w:r>
      <w:r w:rsidR="00BF427A" w:rsidRPr="3EA8306A">
        <w:rPr>
          <w:rFonts w:cstheme="minorBidi"/>
        </w:rPr>
        <w:t>e vision of the Public Trustee is to further enhance and protect the dignity and interests of its consumers, and to ensure the ongoing provision of security and peace of mind for Queenslanders, however we have concerns regarding the extent to which this vision is realised in practice.</w:t>
      </w:r>
    </w:p>
    <w:p w14:paraId="713735EA" w14:textId="0FD57084" w:rsidR="00F22B51" w:rsidRDefault="00BF427A" w:rsidP="00F22B51">
      <w:pPr>
        <w:spacing w:after="120" w:line="276" w:lineRule="auto"/>
        <w:rPr>
          <w:rFonts w:cstheme="minorBidi"/>
        </w:rPr>
      </w:pPr>
      <w:r w:rsidRPr="6AF8B5A7">
        <w:rPr>
          <w:rFonts w:cstheme="minorBidi"/>
        </w:rPr>
        <w:t xml:space="preserve">Earlier this year, </w:t>
      </w:r>
      <w:r w:rsidR="005E688B" w:rsidRPr="6AF8B5A7">
        <w:rPr>
          <w:rFonts w:cstheme="minorBidi"/>
        </w:rPr>
        <w:t>the Public Advocate released a report ‘</w:t>
      </w:r>
      <w:r w:rsidR="005E688B" w:rsidRPr="6AF8B5A7">
        <w:rPr>
          <w:rFonts w:cstheme="minorBidi"/>
          <w:i/>
        </w:rPr>
        <w:t>Preserving the financial futures of vulnerable Queenslanders</w:t>
      </w:r>
      <w:r w:rsidR="003528C5" w:rsidRPr="6AF8B5A7">
        <w:rPr>
          <w:rFonts w:cstheme="minorBidi"/>
          <w:i/>
        </w:rPr>
        <w:t>: A review of the P</w:t>
      </w:r>
      <w:r w:rsidR="000D3D01" w:rsidRPr="6AF8B5A7">
        <w:rPr>
          <w:rFonts w:cstheme="minorBidi"/>
          <w:i/>
        </w:rPr>
        <w:t>ublic Trustee’s fees, charges and practices</w:t>
      </w:r>
      <w:r w:rsidR="000D3D01" w:rsidRPr="6AF8B5A7">
        <w:rPr>
          <w:rFonts w:cstheme="minorBidi"/>
        </w:rPr>
        <w:t>’ following</w:t>
      </w:r>
      <w:r w:rsidR="00A523CF" w:rsidRPr="6AF8B5A7">
        <w:rPr>
          <w:rFonts w:cstheme="minorBidi"/>
        </w:rPr>
        <w:t xml:space="preserve"> an extensive review</w:t>
      </w:r>
      <w:r w:rsidR="00C5489C" w:rsidRPr="6AF8B5A7">
        <w:rPr>
          <w:rFonts w:cstheme="minorBidi"/>
        </w:rPr>
        <w:t xml:space="preserve"> </w:t>
      </w:r>
      <w:r w:rsidR="00514AED" w:rsidRPr="6AF8B5A7">
        <w:rPr>
          <w:rFonts w:cstheme="minorBidi"/>
        </w:rPr>
        <w:t>after</w:t>
      </w:r>
      <w:r w:rsidR="00C5489C" w:rsidRPr="6AF8B5A7">
        <w:rPr>
          <w:rFonts w:cstheme="minorBidi"/>
        </w:rPr>
        <w:t xml:space="preserve"> concerns</w:t>
      </w:r>
      <w:r w:rsidR="00514AED" w:rsidRPr="6AF8B5A7">
        <w:rPr>
          <w:rFonts w:cstheme="minorBidi"/>
        </w:rPr>
        <w:t xml:space="preserve"> </w:t>
      </w:r>
      <w:r w:rsidR="00CB4707" w:rsidRPr="6AF8B5A7">
        <w:rPr>
          <w:rFonts w:cstheme="minorBidi"/>
        </w:rPr>
        <w:t>were raised</w:t>
      </w:r>
      <w:r w:rsidR="00C5489C" w:rsidRPr="6AF8B5A7">
        <w:rPr>
          <w:rFonts w:cstheme="minorBidi"/>
        </w:rPr>
        <w:t xml:space="preserve"> </w:t>
      </w:r>
      <w:r w:rsidR="00310E39" w:rsidRPr="6AF8B5A7">
        <w:rPr>
          <w:rFonts w:cstheme="minorBidi"/>
        </w:rPr>
        <w:t xml:space="preserve">about the negative impact of the Public Trustee’s fees and charges on </w:t>
      </w:r>
      <w:r w:rsidR="09D44AE8" w:rsidRPr="40BC544A">
        <w:rPr>
          <w:rFonts w:cstheme="minorBidi"/>
        </w:rPr>
        <w:t xml:space="preserve">the </w:t>
      </w:r>
      <w:r w:rsidR="00310E39" w:rsidRPr="6AF8B5A7">
        <w:rPr>
          <w:rFonts w:cstheme="minorBidi"/>
        </w:rPr>
        <w:t>financial outcomes</w:t>
      </w:r>
      <w:r w:rsidR="7F6FBA4A" w:rsidRPr="40BC544A">
        <w:rPr>
          <w:rFonts w:cstheme="minorBidi"/>
        </w:rPr>
        <w:t xml:space="preserve"> </w:t>
      </w:r>
      <w:r w:rsidR="7F6FBA4A" w:rsidRPr="7FA5412B">
        <w:rPr>
          <w:rFonts w:cstheme="minorBidi"/>
        </w:rPr>
        <w:t xml:space="preserve">of </w:t>
      </w:r>
      <w:r w:rsidR="16856BC7" w:rsidRPr="036DC038">
        <w:rPr>
          <w:rFonts w:cstheme="minorBidi"/>
        </w:rPr>
        <w:t xml:space="preserve">vulnerable </w:t>
      </w:r>
      <w:r w:rsidR="16856BC7" w:rsidRPr="1C314B76">
        <w:rPr>
          <w:rFonts w:cstheme="minorBidi"/>
        </w:rPr>
        <w:t xml:space="preserve">trustee </w:t>
      </w:r>
      <w:r w:rsidR="16856BC7" w:rsidRPr="0AAAB799">
        <w:rPr>
          <w:rFonts w:cstheme="minorBidi"/>
        </w:rPr>
        <w:t xml:space="preserve">and administration </w:t>
      </w:r>
      <w:r w:rsidR="7F6FBA4A" w:rsidRPr="296569C7">
        <w:rPr>
          <w:rFonts w:cstheme="minorBidi"/>
        </w:rPr>
        <w:t xml:space="preserve">clients of the </w:t>
      </w:r>
      <w:r w:rsidR="7F6FBA4A" w:rsidRPr="1ABFDF44">
        <w:rPr>
          <w:rFonts w:cstheme="minorBidi"/>
        </w:rPr>
        <w:t xml:space="preserve">Public </w:t>
      </w:r>
      <w:r w:rsidR="7F6FBA4A" w:rsidRPr="62374FDA">
        <w:rPr>
          <w:rFonts w:cstheme="minorBidi"/>
        </w:rPr>
        <w:t>Trustee</w:t>
      </w:r>
      <w:r w:rsidR="00310E39" w:rsidRPr="62374FDA">
        <w:rPr>
          <w:rFonts w:cstheme="minorBidi"/>
        </w:rPr>
        <w:t>.</w:t>
      </w:r>
      <w:r w:rsidR="00143032" w:rsidRPr="6AF8B5A7">
        <w:rPr>
          <w:rFonts w:cstheme="minorBidi"/>
        </w:rPr>
        <w:t xml:space="preserve"> </w:t>
      </w:r>
      <w:r w:rsidR="00F74BB5" w:rsidRPr="6AF8B5A7">
        <w:rPr>
          <w:rFonts w:cstheme="minorBidi"/>
        </w:rPr>
        <w:t>This report raise</w:t>
      </w:r>
      <w:r w:rsidR="00CB4707" w:rsidRPr="6AF8B5A7">
        <w:rPr>
          <w:rFonts w:cstheme="minorBidi"/>
        </w:rPr>
        <w:t>s</w:t>
      </w:r>
      <w:r w:rsidR="00F74BB5" w:rsidRPr="6AF8B5A7">
        <w:rPr>
          <w:rFonts w:cstheme="minorBidi"/>
        </w:rPr>
        <w:t xml:space="preserve"> </w:t>
      </w:r>
      <w:r w:rsidR="003D2B4A" w:rsidRPr="6AF8B5A7">
        <w:rPr>
          <w:rFonts w:cstheme="minorBidi"/>
        </w:rPr>
        <w:t>serious</w:t>
      </w:r>
      <w:r w:rsidR="00F74BB5" w:rsidRPr="6AF8B5A7">
        <w:rPr>
          <w:rFonts w:cstheme="minorBidi"/>
        </w:rPr>
        <w:t xml:space="preserve"> concern for</w:t>
      </w:r>
      <w:r w:rsidR="26BFD63F" w:rsidRPr="0DB8C246">
        <w:rPr>
          <w:rFonts w:cstheme="minorBidi"/>
        </w:rPr>
        <w:t xml:space="preserve"> </w:t>
      </w:r>
      <w:r w:rsidR="26BFD63F" w:rsidRPr="4A11EC46">
        <w:rPr>
          <w:rFonts w:cstheme="minorBidi"/>
        </w:rPr>
        <w:t>many of</w:t>
      </w:r>
      <w:r w:rsidR="00F74BB5" w:rsidRPr="6AF8B5A7">
        <w:rPr>
          <w:rFonts w:cstheme="minorBidi"/>
        </w:rPr>
        <w:t xml:space="preserve"> QAI</w:t>
      </w:r>
      <w:r w:rsidR="003D2B4A" w:rsidRPr="6AF8B5A7">
        <w:rPr>
          <w:rFonts w:cstheme="minorBidi"/>
        </w:rPr>
        <w:t>’s</w:t>
      </w:r>
      <w:r w:rsidR="00F74BB5" w:rsidRPr="6AF8B5A7">
        <w:rPr>
          <w:rFonts w:cstheme="minorBidi"/>
        </w:rPr>
        <w:t xml:space="preserve"> clients, </w:t>
      </w:r>
      <w:r w:rsidR="4D03FEA1" w:rsidRPr="1D00DF4D">
        <w:rPr>
          <w:rFonts w:cstheme="minorBidi"/>
        </w:rPr>
        <w:t xml:space="preserve">who </w:t>
      </w:r>
      <w:r w:rsidR="00F74BB5" w:rsidRPr="6AF8B5A7">
        <w:rPr>
          <w:rFonts w:cstheme="minorBidi"/>
        </w:rPr>
        <w:t xml:space="preserve">are under the administration of the Public Trustee. </w:t>
      </w:r>
      <w:r w:rsidR="00124D14" w:rsidRPr="6AF8B5A7">
        <w:rPr>
          <w:rFonts w:cstheme="minorBidi"/>
        </w:rPr>
        <w:t>The review</w:t>
      </w:r>
      <w:r w:rsidR="00766C6D" w:rsidRPr="6AF8B5A7">
        <w:rPr>
          <w:rFonts w:cstheme="minorBidi"/>
        </w:rPr>
        <w:t xml:space="preserve"> revealed a range</w:t>
      </w:r>
      <w:r w:rsidR="001301B5" w:rsidRPr="6AF8B5A7">
        <w:rPr>
          <w:rFonts w:cstheme="minorBidi"/>
        </w:rPr>
        <w:t xml:space="preserve"> of </w:t>
      </w:r>
      <w:r w:rsidR="006B58EE" w:rsidRPr="6AF8B5A7">
        <w:rPr>
          <w:rFonts w:cstheme="minorBidi"/>
        </w:rPr>
        <w:t xml:space="preserve">Public Trustee </w:t>
      </w:r>
      <w:r w:rsidR="001301B5" w:rsidRPr="6AF8B5A7">
        <w:rPr>
          <w:rFonts w:cstheme="minorBidi"/>
        </w:rPr>
        <w:t>fees, policies and practices that suggest the Public Trustee is breaching some of its legal and fiduciary duties</w:t>
      </w:r>
      <w:r w:rsidR="00D61DEB" w:rsidRPr="6AF8B5A7">
        <w:rPr>
          <w:rFonts w:cstheme="minorBidi"/>
        </w:rPr>
        <w:t>,</w:t>
      </w:r>
      <w:r w:rsidR="00EC4FD5" w:rsidRPr="6AF8B5A7">
        <w:rPr>
          <w:rFonts w:cstheme="minorBidi"/>
        </w:rPr>
        <w:t xml:space="preserve"> </w:t>
      </w:r>
      <w:r w:rsidR="00E60B54" w:rsidRPr="6AF8B5A7">
        <w:rPr>
          <w:rFonts w:cstheme="minorBidi"/>
        </w:rPr>
        <w:t>and not acting in the interests of its</w:t>
      </w:r>
      <w:r w:rsidR="002E2F11" w:rsidRPr="6AF8B5A7">
        <w:rPr>
          <w:rFonts w:cstheme="minorBidi"/>
        </w:rPr>
        <w:t xml:space="preserve"> </w:t>
      </w:r>
      <w:r w:rsidR="00E60B54" w:rsidRPr="6AF8B5A7">
        <w:rPr>
          <w:rFonts w:cstheme="minorBidi"/>
        </w:rPr>
        <w:t>clients</w:t>
      </w:r>
      <w:r w:rsidR="00920C8C" w:rsidRPr="6AF8B5A7">
        <w:rPr>
          <w:rFonts w:cstheme="minorBidi"/>
        </w:rPr>
        <w:t xml:space="preserve">. </w:t>
      </w:r>
      <w:r w:rsidR="00143032" w:rsidRPr="6AF8B5A7">
        <w:rPr>
          <w:rFonts w:cstheme="minorBidi"/>
        </w:rPr>
        <w:t xml:space="preserve">QAI endorses this report in its entirety and the </w:t>
      </w:r>
      <w:r w:rsidR="00DE7A36" w:rsidRPr="6AF8B5A7">
        <w:rPr>
          <w:rFonts w:cstheme="minorBidi"/>
        </w:rPr>
        <w:t xml:space="preserve">32 </w:t>
      </w:r>
      <w:r w:rsidR="00143032" w:rsidRPr="6AF8B5A7">
        <w:rPr>
          <w:rFonts w:cstheme="minorBidi"/>
        </w:rPr>
        <w:t>recommendations for reform contained therein</w:t>
      </w:r>
      <w:r w:rsidR="004C47E5" w:rsidRPr="6AF8B5A7">
        <w:rPr>
          <w:rFonts w:cstheme="minorBidi"/>
        </w:rPr>
        <w:t>.</w:t>
      </w:r>
      <w:r w:rsidR="004401B0" w:rsidRPr="6AF8B5A7">
        <w:rPr>
          <w:rFonts w:cstheme="minorBidi"/>
        </w:rPr>
        <w:t xml:space="preserve"> We commend the P</w:t>
      </w:r>
      <w:r w:rsidR="002E2F11" w:rsidRPr="6AF8B5A7">
        <w:rPr>
          <w:rFonts w:cstheme="minorBidi"/>
        </w:rPr>
        <w:t xml:space="preserve">ublic </w:t>
      </w:r>
      <w:r w:rsidR="004401B0" w:rsidRPr="6AF8B5A7">
        <w:rPr>
          <w:rFonts w:cstheme="minorBidi"/>
        </w:rPr>
        <w:t>T</w:t>
      </w:r>
      <w:r w:rsidR="002E2F11" w:rsidRPr="6AF8B5A7">
        <w:rPr>
          <w:rFonts w:cstheme="minorBidi"/>
        </w:rPr>
        <w:t>rustee</w:t>
      </w:r>
      <w:r w:rsidR="004401B0" w:rsidRPr="6AF8B5A7">
        <w:rPr>
          <w:rFonts w:cstheme="minorBidi"/>
        </w:rPr>
        <w:t xml:space="preserve"> for </w:t>
      </w:r>
      <w:r w:rsidR="003C67D4" w:rsidRPr="6AF8B5A7">
        <w:rPr>
          <w:rFonts w:cstheme="minorBidi"/>
        </w:rPr>
        <w:t xml:space="preserve">undertaking this </w:t>
      </w:r>
      <w:r w:rsidR="005E4A28" w:rsidRPr="6AF8B5A7">
        <w:rPr>
          <w:rFonts w:cstheme="minorBidi"/>
        </w:rPr>
        <w:t>review</w:t>
      </w:r>
      <w:r w:rsidR="0082708A" w:rsidRPr="6AF8B5A7">
        <w:rPr>
          <w:rFonts w:cstheme="minorBidi"/>
        </w:rPr>
        <w:t xml:space="preserve"> of its</w:t>
      </w:r>
      <w:r w:rsidR="00CE42CB" w:rsidRPr="6AF8B5A7">
        <w:rPr>
          <w:rFonts w:cstheme="minorBidi"/>
        </w:rPr>
        <w:t xml:space="preserve"> fees and charges </w:t>
      </w:r>
      <w:r w:rsidR="0082708A" w:rsidRPr="6AF8B5A7">
        <w:rPr>
          <w:rFonts w:cstheme="minorBidi"/>
        </w:rPr>
        <w:t xml:space="preserve">and </w:t>
      </w:r>
      <w:r w:rsidR="00E50F1B">
        <w:rPr>
          <w:rFonts w:cstheme="minorBidi"/>
        </w:rPr>
        <w:t xml:space="preserve">for </w:t>
      </w:r>
      <w:r w:rsidR="0082708A" w:rsidRPr="6AF8B5A7">
        <w:rPr>
          <w:rFonts w:cstheme="minorBidi"/>
        </w:rPr>
        <w:t>commissioning PricewaterhouseCoopers to conduct a review into the costs of services provided by the Public Trustee.</w:t>
      </w:r>
      <w:r w:rsidR="0011223C" w:rsidRPr="6AF8B5A7">
        <w:rPr>
          <w:rFonts w:cstheme="minorBidi"/>
        </w:rPr>
        <w:t xml:space="preserve"> </w:t>
      </w:r>
      <w:r w:rsidR="00EF5D81" w:rsidRPr="6AF8B5A7">
        <w:rPr>
          <w:rFonts w:cstheme="minorBidi"/>
        </w:rPr>
        <w:t xml:space="preserve">QAI looks forward to </w:t>
      </w:r>
      <w:r w:rsidR="00134A53" w:rsidRPr="6AF8B5A7">
        <w:rPr>
          <w:rFonts w:cstheme="minorBidi"/>
        </w:rPr>
        <w:t xml:space="preserve">learning the </w:t>
      </w:r>
      <w:r w:rsidR="00FA4B35" w:rsidRPr="6AF8B5A7">
        <w:rPr>
          <w:rFonts w:cstheme="minorBidi"/>
        </w:rPr>
        <w:t>outcome</w:t>
      </w:r>
      <w:r w:rsidR="00134A53" w:rsidRPr="6AF8B5A7">
        <w:rPr>
          <w:rFonts w:cstheme="minorBidi"/>
        </w:rPr>
        <w:t xml:space="preserve"> of this work and providing </w:t>
      </w:r>
      <w:r w:rsidR="007013BC" w:rsidRPr="6AF8B5A7">
        <w:rPr>
          <w:rFonts w:cstheme="minorBidi"/>
        </w:rPr>
        <w:t xml:space="preserve">further </w:t>
      </w:r>
      <w:r w:rsidR="00134A53" w:rsidRPr="6AF8B5A7">
        <w:rPr>
          <w:rFonts w:cstheme="minorBidi"/>
        </w:rPr>
        <w:t>feedback through</w:t>
      </w:r>
      <w:r w:rsidR="006577DA">
        <w:rPr>
          <w:rFonts w:cstheme="minorBidi"/>
        </w:rPr>
        <w:t>out</w:t>
      </w:r>
      <w:r w:rsidR="00134A53" w:rsidRPr="6AF8B5A7">
        <w:rPr>
          <w:rFonts w:cstheme="minorBidi"/>
        </w:rPr>
        <w:t xml:space="preserve"> </w:t>
      </w:r>
      <w:r w:rsidR="00F8176F" w:rsidRPr="6AF8B5A7">
        <w:rPr>
          <w:rFonts w:cstheme="minorBidi"/>
        </w:rPr>
        <w:t>future consultation processes.</w:t>
      </w:r>
    </w:p>
    <w:p w14:paraId="65900C8C" w14:textId="1B5BC959" w:rsidR="00674900" w:rsidRPr="00F22B51" w:rsidRDefault="00674900" w:rsidP="00F22B51">
      <w:pPr>
        <w:spacing w:after="120" w:line="276" w:lineRule="auto"/>
        <w:rPr>
          <w:rFonts w:cstheme="minorHAnsi"/>
        </w:rPr>
      </w:pPr>
      <w:r w:rsidRPr="00F22B51">
        <w:rPr>
          <w:rFonts w:cstheme="minorHAnsi"/>
        </w:rPr>
        <w:t>This submission will pr</w:t>
      </w:r>
      <w:r w:rsidR="00317D47" w:rsidRPr="00F22B51">
        <w:rPr>
          <w:rFonts w:cstheme="minorHAnsi"/>
        </w:rPr>
        <w:t>ovide</w:t>
      </w:r>
      <w:r w:rsidR="00124FEC">
        <w:rPr>
          <w:rFonts w:cstheme="minorHAnsi"/>
        </w:rPr>
        <w:t xml:space="preserve"> some</w:t>
      </w:r>
      <w:r w:rsidR="00317D47" w:rsidRPr="00F22B51">
        <w:rPr>
          <w:rFonts w:cstheme="minorHAnsi"/>
        </w:rPr>
        <w:t xml:space="preserve"> general feedback on the Public Trustee’s </w:t>
      </w:r>
      <w:r w:rsidR="00F8176F">
        <w:rPr>
          <w:rFonts w:cstheme="minorHAnsi"/>
        </w:rPr>
        <w:t>survey</w:t>
      </w:r>
      <w:r w:rsidR="00317D47" w:rsidRPr="00F22B51">
        <w:rPr>
          <w:rFonts w:cstheme="minorHAnsi"/>
        </w:rPr>
        <w:t xml:space="preserve"> on</w:t>
      </w:r>
      <w:r w:rsidR="0011286B" w:rsidRPr="00F22B51">
        <w:rPr>
          <w:rFonts w:cstheme="minorHAnsi"/>
        </w:rPr>
        <w:t xml:space="preserve"> its</w:t>
      </w:r>
      <w:r w:rsidR="00317D47" w:rsidRPr="00F22B51">
        <w:rPr>
          <w:rFonts w:cstheme="minorHAnsi"/>
        </w:rPr>
        <w:t xml:space="preserve"> fees and charges</w:t>
      </w:r>
      <w:r w:rsidR="009F4CC2">
        <w:rPr>
          <w:rFonts w:cstheme="minorHAnsi"/>
        </w:rPr>
        <w:t>,</w:t>
      </w:r>
      <w:r w:rsidR="00317D47" w:rsidRPr="00F22B51">
        <w:rPr>
          <w:rFonts w:cstheme="minorHAnsi"/>
        </w:rPr>
        <w:t xml:space="preserve"> before highlighting the issues</w:t>
      </w:r>
      <w:r w:rsidR="00FE6FA5" w:rsidRPr="00F22B51">
        <w:rPr>
          <w:rFonts w:cstheme="minorHAnsi"/>
        </w:rPr>
        <w:t xml:space="preserve"> QAI feels should most urgently</w:t>
      </w:r>
      <w:r w:rsidR="0011286B" w:rsidRPr="00F22B51">
        <w:rPr>
          <w:rFonts w:cstheme="minorHAnsi"/>
        </w:rPr>
        <w:t xml:space="preserve"> be</w:t>
      </w:r>
      <w:r w:rsidR="00FE6FA5" w:rsidRPr="00F22B51">
        <w:rPr>
          <w:rFonts w:cstheme="minorHAnsi"/>
        </w:rPr>
        <w:t xml:space="preserve"> addressed as a result of this review</w:t>
      </w:r>
      <w:r w:rsidR="00644ABD" w:rsidRPr="00F22B51">
        <w:rPr>
          <w:rFonts w:cstheme="minorHAnsi"/>
        </w:rPr>
        <w:t>.</w:t>
      </w:r>
      <w:r w:rsidR="009F4CC2">
        <w:rPr>
          <w:rFonts w:cstheme="minorHAnsi"/>
        </w:rPr>
        <w:t xml:space="preserve"> It will </w:t>
      </w:r>
      <w:r w:rsidR="007F3BC7">
        <w:rPr>
          <w:rFonts w:cstheme="minorHAnsi"/>
        </w:rPr>
        <w:t xml:space="preserve">then </w:t>
      </w:r>
      <w:r w:rsidR="009F4CC2">
        <w:rPr>
          <w:rFonts w:cstheme="minorHAnsi"/>
        </w:rPr>
        <w:t>conclude by highlighting key recommendations for reform.</w:t>
      </w:r>
    </w:p>
    <w:p w14:paraId="104D75C1" w14:textId="77777777" w:rsidR="006C2558" w:rsidRPr="006C2558" w:rsidRDefault="006C2558" w:rsidP="006C2558">
      <w:pPr>
        <w:spacing w:after="120" w:line="276" w:lineRule="auto"/>
        <w:rPr>
          <w:rFonts w:cstheme="minorHAnsi"/>
        </w:rPr>
      </w:pPr>
    </w:p>
    <w:p w14:paraId="1DA3C86F" w14:textId="76D83FE6" w:rsidR="008C19D8" w:rsidRPr="00EB03E4" w:rsidRDefault="00020D02" w:rsidP="006C2558">
      <w:pPr>
        <w:pStyle w:val="Heading1"/>
        <w:spacing w:before="0" w:after="120"/>
        <w:jc w:val="left"/>
        <w:rPr>
          <w:rFonts w:cstheme="minorHAnsi"/>
        </w:rPr>
      </w:pPr>
      <w:r>
        <w:rPr>
          <w:rFonts w:cstheme="minorHAnsi"/>
        </w:rPr>
        <w:t>Survey f</w:t>
      </w:r>
      <w:r w:rsidR="00F469ED">
        <w:rPr>
          <w:rFonts w:cstheme="minorHAnsi"/>
        </w:rPr>
        <w:t xml:space="preserve">eedback </w:t>
      </w:r>
    </w:p>
    <w:p w14:paraId="0A01E39F" w14:textId="726CCC24" w:rsidR="007F3BC7" w:rsidRDefault="007F3BC7" w:rsidP="00D626B0">
      <w:pPr>
        <w:tabs>
          <w:tab w:val="clear" w:pos="288"/>
        </w:tabs>
        <w:spacing w:line="276" w:lineRule="auto"/>
        <w:rPr>
          <w:rFonts w:eastAsia="Times New Roman" w:cstheme="minorBidi"/>
          <w:color w:val="000000"/>
          <w:lang w:eastAsia="en-GB"/>
        </w:rPr>
      </w:pPr>
      <w:r w:rsidRPr="442920F7">
        <w:rPr>
          <w:rFonts w:eastAsia="Times New Roman" w:cstheme="minorBidi"/>
          <w:color w:val="000000" w:themeColor="text1"/>
          <w:lang w:eastAsia="en-GB"/>
        </w:rPr>
        <w:t xml:space="preserve">QAI </w:t>
      </w:r>
      <w:r w:rsidR="00F97614" w:rsidRPr="442920F7">
        <w:rPr>
          <w:rFonts w:eastAsia="Times New Roman" w:cstheme="minorBidi"/>
          <w:color w:val="000000" w:themeColor="text1"/>
          <w:lang w:eastAsia="en-GB"/>
        </w:rPr>
        <w:t>welcome</w:t>
      </w:r>
      <w:r w:rsidRPr="442920F7">
        <w:rPr>
          <w:rFonts w:eastAsia="Times New Roman" w:cstheme="minorBidi"/>
          <w:color w:val="000000" w:themeColor="text1"/>
          <w:lang w:eastAsia="en-GB"/>
        </w:rPr>
        <w:t>s</w:t>
      </w:r>
      <w:r w:rsidR="005A3157" w:rsidRPr="442920F7">
        <w:rPr>
          <w:rFonts w:eastAsia="Times New Roman" w:cstheme="minorBidi"/>
          <w:color w:val="000000" w:themeColor="text1"/>
          <w:lang w:eastAsia="en-GB"/>
        </w:rPr>
        <w:t xml:space="preserve"> </w:t>
      </w:r>
      <w:r w:rsidR="00581367" w:rsidRPr="442920F7">
        <w:rPr>
          <w:rFonts w:eastAsia="Times New Roman" w:cstheme="minorBidi"/>
          <w:color w:val="000000" w:themeColor="text1"/>
          <w:lang w:eastAsia="en-GB"/>
        </w:rPr>
        <w:t>the</w:t>
      </w:r>
      <w:r w:rsidR="00C37B4E" w:rsidRPr="442920F7">
        <w:rPr>
          <w:rFonts w:eastAsia="Times New Roman" w:cstheme="minorBidi"/>
          <w:color w:val="000000" w:themeColor="text1"/>
          <w:lang w:eastAsia="en-GB"/>
        </w:rPr>
        <w:t xml:space="preserve"> Public Trustee</w:t>
      </w:r>
      <w:r w:rsidR="00581367" w:rsidRPr="442920F7">
        <w:rPr>
          <w:rFonts w:eastAsia="Times New Roman" w:cstheme="minorBidi"/>
          <w:color w:val="000000" w:themeColor="text1"/>
          <w:lang w:eastAsia="en-GB"/>
        </w:rPr>
        <w:t>’s willingness</w:t>
      </w:r>
      <w:r w:rsidR="00C37B4E" w:rsidRPr="442920F7">
        <w:rPr>
          <w:rFonts w:eastAsia="Times New Roman" w:cstheme="minorBidi"/>
          <w:color w:val="000000" w:themeColor="text1"/>
          <w:lang w:eastAsia="en-GB"/>
        </w:rPr>
        <w:t xml:space="preserve"> to</w:t>
      </w:r>
      <w:r w:rsidR="00581367" w:rsidRPr="442920F7">
        <w:rPr>
          <w:rFonts w:eastAsia="Times New Roman" w:cstheme="minorBidi"/>
          <w:color w:val="000000" w:themeColor="text1"/>
          <w:lang w:eastAsia="en-GB"/>
        </w:rPr>
        <w:t xml:space="preserve"> obtain pub</w:t>
      </w:r>
      <w:r w:rsidR="0017371A" w:rsidRPr="442920F7">
        <w:rPr>
          <w:rFonts w:eastAsia="Times New Roman" w:cstheme="minorBidi"/>
          <w:color w:val="000000" w:themeColor="text1"/>
          <w:lang w:eastAsia="en-GB"/>
        </w:rPr>
        <w:t>lic feedback</w:t>
      </w:r>
      <w:r w:rsidR="00B3461C" w:rsidRPr="442920F7">
        <w:rPr>
          <w:rFonts w:eastAsia="Times New Roman" w:cstheme="minorBidi"/>
          <w:color w:val="000000" w:themeColor="text1"/>
          <w:lang w:eastAsia="en-GB"/>
        </w:rPr>
        <w:t xml:space="preserve"> and input</w:t>
      </w:r>
      <w:r w:rsidR="0017371A" w:rsidRPr="442920F7">
        <w:rPr>
          <w:rFonts w:eastAsia="Times New Roman" w:cstheme="minorBidi"/>
          <w:color w:val="000000" w:themeColor="text1"/>
          <w:lang w:eastAsia="en-GB"/>
        </w:rPr>
        <w:t xml:space="preserve"> into t</w:t>
      </w:r>
      <w:r w:rsidR="00B3461C" w:rsidRPr="442920F7">
        <w:rPr>
          <w:rFonts w:eastAsia="Times New Roman" w:cstheme="minorBidi"/>
          <w:color w:val="000000" w:themeColor="text1"/>
          <w:lang w:eastAsia="en-GB"/>
        </w:rPr>
        <w:t>he</w:t>
      </w:r>
      <w:r w:rsidR="0017371A" w:rsidRPr="442920F7">
        <w:rPr>
          <w:rFonts w:eastAsia="Times New Roman" w:cstheme="minorBidi"/>
          <w:color w:val="000000" w:themeColor="text1"/>
          <w:lang w:eastAsia="en-GB"/>
        </w:rPr>
        <w:t xml:space="preserve"> review of</w:t>
      </w:r>
      <w:r w:rsidR="00B3461C" w:rsidRPr="442920F7">
        <w:rPr>
          <w:rFonts w:eastAsia="Times New Roman" w:cstheme="minorBidi"/>
          <w:color w:val="000000" w:themeColor="text1"/>
          <w:lang w:eastAsia="en-GB"/>
        </w:rPr>
        <w:t xml:space="preserve"> </w:t>
      </w:r>
      <w:r w:rsidR="00685484" w:rsidRPr="442920F7">
        <w:rPr>
          <w:rFonts w:eastAsia="Times New Roman" w:cstheme="minorBidi"/>
          <w:color w:val="000000" w:themeColor="text1"/>
          <w:lang w:eastAsia="en-GB"/>
        </w:rPr>
        <w:t>its</w:t>
      </w:r>
      <w:r w:rsidR="0017371A" w:rsidRPr="442920F7">
        <w:rPr>
          <w:rFonts w:eastAsia="Times New Roman" w:cstheme="minorBidi"/>
          <w:color w:val="000000" w:themeColor="text1"/>
          <w:lang w:eastAsia="en-GB"/>
        </w:rPr>
        <w:t xml:space="preserve"> fees and charges</w:t>
      </w:r>
      <w:r w:rsidR="00B3461C" w:rsidRPr="442920F7">
        <w:rPr>
          <w:rFonts w:eastAsia="Times New Roman" w:cstheme="minorBidi"/>
          <w:color w:val="000000" w:themeColor="text1"/>
          <w:lang w:eastAsia="en-GB"/>
        </w:rPr>
        <w:t xml:space="preserve">. However, </w:t>
      </w:r>
      <w:r w:rsidR="00685484" w:rsidRPr="442920F7">
        <w:rPr>
          <w:rFonts w:eastAsia="Times New Roman" w:cstheme="minorBidi"/>
          <w:color w:val="000000" w:themeColor="text1"/>
          <w:lang w:eastAsia="en-GB"/>
        </w:rPr>
        <w:t>QAI notes the very short time</w:t>
      </w:r>
      <w:r w:rsidR="000D2173" w:rsidRPr="442920F7">
        <w:rPr>
          <w:rFonts w:eastAsia="Times New Roman" w:cstheme="minorBidi"/>
          <w:color w:val="000000" w:themeColor="text1"/>
          <w:lang w:eastAsia="en-GB"/>
        </w:rPr>
        <w:t>frame for consultation</w:t>
      </w:r>
      <w:r w:rsidR="5F287656" w:rsidRPr="442920F7">
        <w:rPr>
          <w:rFonts w:eastAsia="Times New Roman" w:cstheme="minorBidi"/>
          <w:color w:val="000000" w:themeColor="text1"/>
          <w:lang w:eastAsia="en-GB"/>
        </w:rPr>
        <w:t xml:space="preserve"> </w:t>
      </w:r>
      <w:r w:rsidR="21421E0A" w:rsidRPr="442920F7">
        <w:rPr>
          <w:rFonts w:eastAsia="Times New Roman" w:cstheme="minorBidi"/>
          <w:color w:val="000000" w:themeColor="text1"/>
          <w:lang w:eastAsia="en-GB"/>
        </w:rPr>
        <w:t>(</w:t>
      </w:r>
      <w:r w:rsidR="21421E0A" w:rsidRPr="27C27629">
        <w:rPr>
          <w:rFonts w:eastAsia="Times New Roman" w:cstheme="minorBidi"/>
          <w:color w:val="000000" w:themeColor="text1"/>
          <w:lang w:eastAsia="en-GB"/>
        </w:rPr>
        <w:t>less than</w:t>
      </w:r>
      <w:r w:rsidR="00373B1D" w:rsidRPr="442920F7">
        <w:rPr>
          <w:rFonts w:eastAsia="Times New Roman" w:cstheme="minorBidi"/>
          <w:color w:val="000000" w:themeColor="text1"/>
          <w:lang w:eastAsia="en-GB"/>
        </w:rPr>
        <w:t xml:space="preserve"> three weeks</w:t>
      </w:r>
      <w:r w:rsidR="7901DEE8" w:rsidRPr="098C1911">
        <w:rPr>
          <w:rFonts w:eastAsia="Times New Roman" w:cstheme="minorBidi"/>
          <w:color w:val="000000" w:themeColor="text1"/>
          <w:lang w:eastAsia="en-GB"/>
        </w:rPr>
        <w:t>)</w:t>
      </w:r>
      <w:r w:rsidR="174575AF" w:rsidRPr="098C1911">
        <w:rPr>
          <w:rFonts w:eastAsia="Times New Roman" w:cstheme="minorBidi"/>
          <w:color w:val="000000" w:themeColor="text1"/>
          <w:lang w:eastAsia="en-GB"/>
        </w:rPr>
        <w:t>,</w:t>
      </w:r>
      <w:r w:rsidR="00373B1D" w:rsidRPr="442920F7">
        <w:rPr>
          <w:rFonts w:eastAsia="Times New Roman" w:cstheme="minorBidi"/>
          <w:color w:val="000000" w:themeColor="text1"/>
          <w:lang w:eastAsia="en-GB"/>
        </w:rPr>
        <w:t xml:space="preserve"> and </w:t>
      </w:r>
      <w:r w:rsidR="585CE44D" w:rsidRPr="339F5F3D">
        <w:rPr>
          <w:rFonts w:eastAsia="Times New Roman" w:cstheme="minorBidi"/>
          <w:color w:val="000000" w:themeColor="text1"/>
          <w:lang w:eastAsia="en-GB"/>
        </w:rPr>
        <w:t xml:space="preserve">notes that </w:t>
      </w:r>
      <w:r w:rsidR="00373B1D" w:rsidRPr="442920F7">
        <w:rPr>
          <w:rFonts w:eastAsia="Times New Roman" w:cstheme="minorBidi"/>
          <w:color w:val="000000" w:themeColor="text1"/>
          <w:lang w:eastAsia="en-GB"/>
        </w:rPr>
        <w:t xml:space="preserve">this is </w:t>
      </w:r>
      <w:r w:rsidR="299C4D0D" w:rsidRPr="2D4B040A">
        <w:rPr>
          <w:rFonts w:eastAsia="Times New Roman" w:cstheme="minorBidi"/>
          <w:color w:val="000000" w:themeColor="text1"/>
          <w:lang w:eastAsia="en-GB"/>
        </w:rPr>
        <w:t xml:space="preserve">not </w:t>
      </w:r>
      <w:r w:rsidR="00373B1D" w:rsidRPr="442920F7">
        <w:rPr>
          <w:rFonts w:eastAsia="Times New Roman" w:cstheme="minorBidi"/>
          <w:color w:val="000000" w:themeColor="text1"/>
          <w:lang w:eastAsia="en-GB"/>
        </w:rPr>
        <w:t>sufficient tim</w:t>
      </w:r>
      <w:r w:rsidR="00E51D8E" w:rsidRPr="442920F7">
        <w:rPr>
          <w:rFonts w:eastAsia="Times New Roman" w:cstheme="minorBidi"/>
          <w:color w:val="000000" w:themeColor="text1"/>
          <w:lang w:eastAsia="en-GB"/>
        </w:rPr>
        <w:t xml:space="preserve">e for the consultation process to be widely disseminated and </w:t>
      </w:r>
      <w:r w:rsidR="0FDC6466" w:rsidRPr="5A36BB31">
        <w:rPr>
          <w:rFonts w:eastAsia="Times New Roman" w:cstheme="minorBidi"/>
          <w:color w:val="000000" w:themeColor="text1"/>
          <w:lang w:eastAsia="en-GB"/>
        </w:rPr>
        <w:t>ac</w:t>
      </w:r>
      <w:r w:rsidR="36E4A52A" w:rsidRPr="5A36BB31">
        <w:rPr>
          <w:rFonts w:eastAsia="Times New Roman" w:cstheme="minorBidi"/>
          <w:color w:val="000000" w:themeColor="text1"/>
          <w:lang w:eastAsia="en-GB"/>
        </w:rPr>
        <w:t xml:space="preserve">cessed by </w:t>
      </w:r>
      <w:r w:rsidR="0FDC6466" w:rsidRPr="5A36BB31">
        <w:rPr>
          <w:rFonts w:eastAsia="Times New Roman" w:cstheme="minorBidi"/>
          <w:color w:val="000000" w:themeColor="text1"/>
          <w:lang w:eastAsia="en-GB"/>
        </w:rPr>
        <w:t>all</w:t>
      </w:r>
      <w:r w:rsidR="00E51D8E" w:rsidRPr="442920F7">
        <w:rPr>
          <w:rFonts w:eastAsia="Times New Roman" w:cstheme="minorBidi"/>
          <w:color w:val="000000" w:themeColor="text1"/>
          <w:lang w:eastAsia="en-GB"/>
        </w:rPr>
        <w:t xml:space="preserve"> interested parties.</w:t>
      </w:r>
      <w:r w:rsidR="00B53DD9" w:rsidRPr="442920F7">
        <w:rPr>
          <w:rFonts w:eastAsia="Times New Roman" w:cstheme="minorBidi"/>
          <w:color w:val="000000" w:themeColor="text1"/>
          <w:lang w:eastAsia="en-GB"/>
        </w:rPr>
        <w:t xml:space="preserve"> </w:t>
      </w:r>
      <w:r w:rsidR="00DB78E1" w:rsidRPr="442920F7">
        <w:rPr>
          <w:rFonts w:eastAsia="Times New Roman" w:cstheme="minorBidi"/>
          <w:color w:val="000000" w:themeColor="text1"/>
          <w:lang w:eastAsia="en-GB"/>
        </w:rPr>
        <w:t>S</w:t>
      </w:r>
      <w:r w:rsidR="00B53DD9" w:rsidRPr="442920F7">
        <w:rPr>
          <w:rFonts w:eastAsia="Times New Roman" w:cstheme="minorBidi"/>
          <w:color w:val="000000" w:themeColor="text1"/>
          <w:lang w:eastAsia="en-GB"/>
        </w:rPr>
        <w:t>uch is the complexity of the fees and charges regime, and the myriad ways in which it can disadvantage</w:t>
      </w:r>
      <w:r w:rsidR="00A435F9" w:rsidRPr="442920F7">
        <w:rPr>
          <w:rFonts w:eastAsia="Times New Roman" w:cstheme="minorBidi"/>
          <w:color w:val="000000" w:themeColor="text1"/>
          <w:lang w:eastAsia="en-GB"/>
        </w:rPr>
        <w:t xml:space="preserve"> some Queenslanders, that </w:t>
      </w:r>
      <w:r w:rsidR="00516404" w:rsidRPr="442920F7">
        <w:rPr>
          <w:rFonts w:eastAsia="Times New Roman" w:cstheme="minorBidi"/>
          <w:color w:val="000000" w:themeColor="text1"/>
          <w:lang w:eastAsia="en-GB"/>
        </w:rPr>
        <w:t>not only is more time necessary, but further information regarding the intent</w:t>
      </w:r>
      <w:r w:rsidR="00FA5ECB" w:rsidRPr="442920F7">
        <w:rPr>
          <w:rFonts w:eastAsia="Times New Roman" w:cstheme="minorBidi"/>
          <w:color w:val="000000" w:themeColor="text1"/>
          <w:lang w:eastAsia="en-GB"/>
        </w:rPr>
        <w:t xml:space="preserve"> and purpose of the review is required. QAI notes that the </w:t>
      </w:r>
      <w:r w:rsidR="00D53930" w:rsidRPr="442920F7">
        <w:rPr>
          <w:rFonts w:eastAsia="Times New Roman" w:cstheme="minorBidi"/>
          <w:color w:val="000000" w:themeColor="text1"/>
          <w:lang w:eastAsia="en-GB"/>
        </w:rPr>
        <w:t xml:space="preserve">public survey has been contextualised in terms of ‘changing demand and expectations’ and needing to ensure services are </w:t>
      </w:r>
      <w:r w:rsidR="00773BFC" w:rsidRPr="442920F7">
        <w:rPr>
          <w:rFonts w:eastAsia="Times New Roman" w:cstheme="minorBidi"/>
          <w:color w:val="000000" w:themeColor="text1"/>
          <w:lang w:eastAsia="en-GB"/>
        </w:rPr>
        <w:t>‘accessible and financially sustainable’, however it remains unclear</w:t>
      </w:r>
      <w:r w:rsidR="00E24FFB" w:rsidRPr="442920F7">
        <w:rPr>
          <w:rFonts w:eastAsia="Times New Roman" w:cstheme="minorBidi"/>
          <w:color w:val="000000" w:themeColor="text1"/>
          <w:lang w:eastAsia="en-GB"/>
        </w:rPr>
        <w:t xml:space="preserve"> whether</w:t>
      </w:r>
      <w:r w:rsidR="00A750E4" w:rsidRPr="442920F7">
        <w:rPr>
          <w:rFonts w:eastAsia="Times New Roman" w:cstheme="minorBidi"/>
          <w:color w:val="000000" w:themeColor="text1"/>
          <w:lang w:eastAsia="en-GB"/>
        </w:rPr>
        <w:t xml:space="preserve"> this review is seeking to address any of the concerns raised in the Public Advocate’s report</w:t>
      </w:r>
      <w:r w:rsidR="00773BFC" w:rsidRPr="442920F7">
        <w:rPr>
          <w:rFonts w:eastAsia="Times New Roman" w:cstheme="minorBidi"/>
          <w:color w:val="000000" w:themeColor="text1"/>
          <w:lang w:eastAsia="en-GB"/>
        </w:rPr>
        <w:t xml:space="preserve"> </w:t>
      </w:r>
      <w:r w:rsidR="00FE63C9" w:rsidRPr="442920F7">
        <w:rPr>
          <w:rFonts w:eastAsia="Times New Roman" w:cstheme="minorBidi"/>
          <w:color w:val="000000" w:themeColor="text1"/>
          <w:lang w:eastAsia="en-GB"/>
        </w:rPr>
        <w:t>or</w:t>
      </w:r>
      <w:r w:rsidR="00DB78E1" w:rsidRPr="442920F7">
        <w:rPr>
          <w:rFonts w:eastAsia="Times New Roman" w:cstheme="minorBidi"/>
          <w:color w:val="000000" w:themeColor="text1"/>
          <w:lang w:eastAsia="en-GB"/>
        </w:rPr>
        <w:t xml:space="preserve"> indeed</w:t>
      </w:r>
      <w:r w:rsidR="00FE63C9" w:rsidRPr="442920F7">
        <w:rPr>
          <w:rFonts w:eastAsia="Times New Roman" w:cstheme="minorBidi"/>
          <w:color w:val="000000" w:themeColor="text1"/>
          <w:lang w:eastAsia="en-GB"/>
        </w:rPr>
        <w:t xml:space="preserve"> whether the results of the survey will be independently reviewed.</w:t>
      </w:r>
    </w:p>
    <w:p w14:paraId="0F26D86D" w14:textId="604995E7" w:rsidR="00BC3624" w:rsidRDefault="00BC3624" w:rsidP="00D626B0">
      <w:pPr>
        <w:tabs>
          <w:tab w:val="clear" w:pos="288"/>
        </w:tabs>
        <w:spacing w:line="276" w:lineRule="auto"/>
        <w:rPr>
          <w:rFonts w:eastAsia="Times New Roman" w:cstheme="minorHAnsi"/>
          <w:color w:val="000000"/>
          <w:szCs w:val="22"/>
          <w:lang w:eastAsia="en-GB"/>
        </w:rPr>
      </w:pPr>
    </w:p>
    <w:p w14:paraId="7A3858D9" w14:textId="10527CDD" w:rsidR="006C2558" w:rsidRDefault="00BC3624" w:rsidP="00D626B0">
      <w:pPr>
        <w:tabs>
          <w:tab w:val="clear" w:pos="288"/>
        </w:tabs>
        <w:spacing w:line="276" w:lineRule="auto"/>
        <w:rPr>
          <w:rFonts w:eastAsia="Times New Roman" w:cstheme="minorBidi"/>
          <w:color w:val="000000"/>
          <w:lang w:eastAsia="en-GB"/>
        </w:rPr>
      </w:pPr>
      <w:r w:rsidRPr="1B0B93CE">
        <w:rPr>
          <w:rFonts w:eastAsia="Times New Roman" w:cstheme="minorBidi"/>
          <w:color w:val="000000" w:themeColor="text1"/>
          <w:lang w:eastAsia="en-GB"/>
        </w:rPr>
        <w:t xml:space="preserve">QAI further </w:t>
      </w:r>
      <w:r w:rsidR="004C47C2" w:rsidRPr="1B0B93CE">
        <w:rPr>
          <w:rFonts w:eastAsia="Times New Roman" w:cstheme="minorBidi"/>
          <w:color w:val="000000" w:themeColor="text1"/>
          <w:lang w:eastAsia="en-GB"/>
        </w:rPr>
        <w:t xml:space="preserve">questions the extent to which the survey questions will elicit the kind of meaningful feedback that is supposedly sought. For example, five of the fifteen questions ask </w:t>
      </w:r>
      <w:r w:rsidR="00C20823" w:rsidRPr="1B0B93CE">
        <w:rPr>
          <w:rFonts w:eastAsia="Times New Roman" w:cstheme="minorBidi"/>
          <w:color w:val="000000" w:themeColor="text1"/>
          <w:lang w:eastAsia="en-GB"/>
        </w:rPr>
        <w:t xml:space="preserve">for personal information about the person completing the survey, rather than their views. </w:t>
      </w:r>
      <w:r w:rsidR="001C696D" w:rsidRPr="1B0B93CE">
        <w:rPr>
          <w:rFonts w:eastAsia="Times New Roman" w:cstheme="minorBidi"/>
          <w:color w:val="000000" w:themeColor="text1"/>
          <w:lang w:eastAsia="en-GB"/>
        </w:rPr>
        <w:t>T</w:t>
      </w:r>
      <w:r w:rsidR="00C20823" w:rsidRPr="1B0B93CE">
        <w:rPr>
          <w:rFonts w:eastAsia="Times New Roman" w:cstheme="minorBidi"/>
          <w:color w:val="000000" w:themeColor="text1"/>
          <w:lang w:eastAsia="en-GB"/>
        </w:rPr>
        <w:t>hree of the fifteen questions seek to obtain feedback regarding all of the Public Trustee</w:t>
      </w:r>
      <w:r w:rsidR="00294FBC" w:rsidRPr="1B0B93CE">
        <w:rPr>
          <w:rFonts w:eastAsia="Times New Roman" w:cstheme="minorBidi"/>
          <w:color w:val="000000" w:themeColor="text1"/>
          <w:lang w:eastAsia="en-GB"/>
        </w:rPr>
        <w:t>’s services, and a further two of the fifteen questions</w:t>
      </w:r>
      <w:r w:rsidR="00196AAB" w:rsidRPr="1B0B93CE">
        <w:rPr>
          <w:rFonts w:eastAsia="Times New Roman" w:cstheme="minorBidi"/>
          <w:color w:val="000000" w:themeColor="text1"/>
          <w:lang w:eastAsia="en-GB"/>
        </w:rPr>
        <w:t xml:space="preserve"> are general</w:t>
      </w:r>
      <w:r w:rsidR="001A6E01" w:rsidRPr="1B0B93CE">
        <w:rPr>
          <w:rFonts w:eastAsia="Times New Roman" w:cstheme="minorBidi"/>
          <w:color w:val="000000" w:themeColor="text1"/>
          <w:lang w:eastAsia="en-GB"/>
        </w:rPr>
        <w:t xml:space="preserve"> in nature and </w:t>
      </w:r>
      <w:r w:rsidR="00160FE0" w:rsidRPr="1B0B93CE">
        <w:rPr>
          <w:rFonts w:eastAsia="Times New Roman" w:cstheme="minorBidi"/>
          <w:color w:val="000000" w:themeColor="text1"/>
          <w:lang w:eastAsia="en-GB"/>
        </w:rPr>
        <w:t xml:space="preserve">are </w:t>
      </w:r>
      <w:r w:rsidR="001A6E01" w:rsidRPr="1B0B93CE">
        <w:rPr>
          <w:rFonts w:eastAsia="Times New Roman" w:cstheme="minorBidi"/>
          <w:color w:val="000000" w:themeColor="text1"/>
          <w:lang w:eastAsia="en-GB"/>
        </w:rPr>
        <w:t xml:space="preserve">unlikely to elicit </w:t>
      </w:r>
      <w:r w:rsidR="00744FDE" w:rsidRPr="1B0B93CE">
        <w:rPr>
          <w:rFonts w:eastAsia="Times New Roman" w:cstheme="minorBidi"/>
          <w:color w:val="000000" w:themeColor="text1"/>
          <w:lang w:eastAsia="en-GB"/>
        </w:rPr>
        <w:t xml:space="preserve">feedback that will highlight areas </w:t>
      </w:r>
      <w:r w:rsidR="001914A1" w:rsidRPr="1B0B93CE">
        <w:rPr>
          <w:rFonts w:eastAsia="Times New Roman" w:cstheme="minorBidi"/>
          <w:color w:val="000000" w:themeColor="text1"/>
          <w:lang w:eastAsia="en-GB"/>
        </w:rPr>
        <w:t>requiring reform</w:t>
      </w:r>
      <w:r w:rsidR="00744FDE" w:rsidRPr="1B0B93CE">
        <w:rPr>
          <w:rFonts w:eastAsia="Times New Roman" w:cstheme="minorBidi"/>
          <w:color w:val="000000" w:themeColor="text1"/>
          <w:lang w:eastAsia="en-GB"/>
        </w:rPr>
        <w:t>, for example</w:t>
      </w:r>
      <w:r w:rsidR="00BA0A3D" w:rsidRPr="1B0B93CE">
        <w:rPr>
          <w:rFonts w:eastAsia="Times New Roman" w:cstheme="minorBidi"/>
          <w:color w:val="000000" w:themeColor="text1"/>
          <w:lang w:eastAsia="en-GB"/>
        </w:rPr>
        <w:t xml:space="preserve"> </w:t>
      </w:r>
      <w:r w:rsidR="00D968BD" w:rsidRPr="1B0B93CE">
        <w:rPr>
          <w:rFonts w:eastAsia="Times New Roman" w:cstheme="minorBidi"/>
          <w:color w:val="000000" w:themeColor="text1"/>
          <w:lang w:eastAsia="en-GB"/>
        </w:rPr>
        <w:t>‘Did you look at having the service provided by another service provider external to the P</w:t>
      </w:r>
      <w:r w:rsidR="00957471" w:rsidRPr="1B0B93CE">
        <w:rPr>
          <w:rFonts w:eastAsia="Times New Roman" w:cstheme="minorBidi"/>
          <w:color w:val="000000" w:themeColor="text1"/>
          <w:lang w:eastAsia="en-GB"/>
        </w:rPr>
        <w:t xml:space="preserve">ublic </w:t>
      </w:r>
      <w:r w:rsidR="00D968BD" w:rsidRPr="1B0B93CE">
        <w:rPr>
          <w:rFonts w:eastAsia="Times New Roman" w:cstheme="minorBidi"/>
          <w:color w:val="000000" w:themeColor="text1"/>
          <w:lang w:eastAsia="en-GB"/>
        </w:rPr>
        <w:t>T</w:t>
      </w:r>
      <w:r w:rsidR="00957471" w:rsidRPr="1B0B93CE">
        <w:rPr>
          <w:rFonts w:eastAsia="Times New Roman" w:cstheme="minorBidi"/>
          <w:color w:val="000000" w:themeColor="text1"/>
          <w:lang w:eastAsia="en-GB"/>
        </w:rPr>
        <w:t>rustee</w:t>
      </w:r>
      <w:r w:rsidR="00D968BD" w:rsidRPr="1B0B93CE">
        <w:rPr>
          <w:rFonts w:eastAsia="Times New Roman" w:cstheme="minorBidi"/>
          <w:color w:val="000000" w:themeColor="text1"/>
          <w:lang w:eastAsia="en-GB"/>
        </w:rPr>
        <w:t>’ or ‘How would you rate your experience using the P</w:t>
      </w:r>
      <w:r w:rsidR="00957471" w:rsidRPr="1B0B93CE">
        <w:rPr>
          <w:rFonts w:eastAsia="Times New Roman" w:cstheme="minorBidi"/>
          <w:color w:val="000000" w:themeColor="text1"/>
          <w:lang w:eastAsia="en-GB"/>
        </w:rPr>
        <w:t xml:space="preserve">ublic </w:t>
      </w:r>
      <w:r w:rsidR="00D968BD" w:rsidRPr="1B0B93CE">
        <w:rPr>
          <w:rFonts w:eastAsia="Times New Roman" w:cstheme="minorBidi"/>
          <w:color w:val="000000" w:themeColor="text1"/>
          <w:lang w:eastAsia="en-GB"/>
        </w:rPr>
        <w:t>T</w:t>
      </w:r>
      <w:r w:rsidR="00957471" w:rsidRPr="1B0B93CE">
        <w:rPr>
          <w:rFonts w:eastAsia="Times New Roman" w:cstheme="minorBidi"/>
          <w:color w:val="000000" w:themeColor="text1"/>
          <w:lang w:eastAsia="en-GB"/>
        </w:rPr>
        <w:t>rustee</w:t>
      </w:r>
      <w:r w:rsidR="00D968BD" w:rsidRPr="1B0B93CE">
        <w:rPr>
          <w:rFonts w:eastAsia="Times New Roman" w:cstheme="minorBidi"/>
          <w:color w:val="000000" w:themeColor="text1"/>
          <w:lang w:eastAsia="en-GB"/>
        </w:rPr>
        <w:t>’</w:t>
      </w:r>
      <w:r w:rsidR="00957471" w:rsidRPr="1B0B93CE">
        <w:rPr>
          <w:rFonts w:eastAsia="Times New Roman" w:cstheme="minorBidi"/>
          <w:color w:val="000000" w:themeColor="text1"/>
          <w:lang w:eastAsia="en-GB"/>
        </w:rPr>
        <w:t xml:space="preserve">. It is disappointing that only five of the fifteen questions concern the </w:t>
      </w:r>
      <w:r w:rsidR="007F17FF" w:rsidRPr="1B0B93CE">
        <w:rPr>
          <w:rFonts w:eastAsia="Times New Roman" w:cstheme="minorBidi"/>
          <w:color w:val="000000" w:themeColor="text1"/>
          <w:lang w:eastAsia="en-GB"/>
        </w:rPr>
        <w:t>Public Trustee’s fees and charges regime</w:t>
      </w:r>
      <w:r w:rsidR="001914A1" w:rsidRPr="1B0B93CE">
        <w:rPr>
          <w:rFonts w:eastAsia="Times New Roman" w:cstheme="minorBidi"/>
          <w:color w:val="000000" w:themeColor="text1"/>
          <w:lang w:eastAsia="en-GB"/>
        </w:rPr>
        <w:t xml:space="preserve">, and that no detailed information regarding </w:t>
      </w:r>
      <w:r w:rsidR="00B531E9" w:rsidRPr="1B0B93CE">
        <w:rPr>
          <w:rFonts w:eastAsia="Times New Roman" w:cstheme="minorBidi"/>
          <w:color w:val="000000" w:themeColor="text1"/>
          <w:lang w:eastAsia="en-GB"/>
        </w:rPr>
        <w:t xml:space="preserve">the different types of fees and charges </w:t>
      </w:r>
      <w:r w:rsidR="001950D5" w:rsidRPr="1B0B93CE">
        <w:rPr>
          <w:rFonts w:eastAsia="Times New Roman" w:cstheme="minorBidi"/>
          <w:color w:val="000000" w:themeColor="text1"/>
          <w:lang w:eastAsia="en-GB"/>
        </w:rPr>
        <w:t>i</w:t>
      </w:r>
      <w:r w:rsidR="00B531E9" w:rsidRPr="1B0B93CE">
        <w:rPr>
          <w:rFonts w:eastAsia="Times New Roman" w:cstheme="minorBidi"/>
          <w:color w:val="000000" w:themeColor="text1"/>
          <w:lang w:eastAsia="en-GB"/>
        </w:rPr>
        <w:t>s provided to</w:t>
      </w:r>
      <w:r w:rsidR="00A470C8" w:rsidRPr="1B0B93CE">
        <w:rPr>
          <w:rFonts w:eastAsia="Times New Roman" w:cstheme="minorBidi"/>
          <w:color w:val="000000" w:themeColor="text1"/>
          <w:lang w:eastAsia="en-GB"/>
        </w:rPr>
        <w:t xml:space="preserve"> those completing the survey.</w:t>
      </w:r>
    </w:p>
    <w:p w14:paraId="66C69F9B" w14:textId="77777777" w:rsidR="00A470C8" w:rsidRDefault="00A470C8" w:rsidP="006C2558">
      <w:pPr>
        <w:tabs>
          <w:tab w:val="clear" w:pos="288"/>
        </w:tabs>
        <w:spacing w:line="276" w:lineRule="auto"/>
        <w:jc w:val="left"/>
        <w:rPr>
          <w:rFonts w:eastAsia="Times New Roman" w:cstheme="minorHAnsi"/>
          <w:color w:val="000000"/>
          <w:szCs w:val="22"/>
          <w:lang w:eastAsia="en-GB"/>
        </w:rPr>
      </w:pPr>
    </w:p>
    <w:p w14:paraId="0F247E13" w14:textId="76A375C6" w:rsidR="00F469ED" w:rsidRDefault="00B566A4" w:rsidP="00577579">
      <w:pPr>
        <w:pStyle w:val="Heading1"/>
        <w:spacing w:before="0" w:after="120" w:line="240" w:lineRule="auto"/>
        <w:jc w:val="left"/>
        <w:rPr>
          <w:rFonts w:cstheme="minorHAnsi"/>
        </w:rPr>
      </w:pPr>
      <w:r>
        <w:rPr>
          <w:rFonts w:cstheme="minorHAnsi"/>
        </w:rPr>
        <w:t>What are the biggest issues that should be addressed in the review of fees and charges?</w:t>
      </w:r>
    </w:p>
    <w:p w14:paraId="0FFE4319" w14:textId="213D37FA" w:rsidR="00FA4D33" w:rsidRDefault="00A37F69" w:rsidP="00D26993">
      <w:pPr>
        <w:spacing w:after="120" w:line="276" w:lineRule="auto"/>
        <w:rPr>
          <w:rFonts w:cstheme="minorHAnsi"/>
        </w:rPr>
      </w:pPr>
      <w:r>
        <w:rPr>
          <w:rFonts w:cstheme="minorHAnsi"/>
        </w:rPr>
        <w:t>In its own words, the Public Trustee ‘provides financial services to many Queenslanders who for various reasons</w:t>
      </w:r>
      <w:r w:rsidR="00D26993">
        <w:rPr>
          <w:rFonts w:cstheme="minorHAnsi"/>
        </w:rPr>
        <w:t>,</w:t>
      </w:r>
      <w:r>
        <w:rPr>
          <w:rFonts w:cstheme="minorHAnsi"/>
        </w:rPr>
        <w:t xml:space="preserve"> need assistance in managing their financial affairs</w:t>
      </w:r>
      <w:r w:rsidR="00004E59">
        <w:rPr>
          <w:rFonts w:cstheme="minorHAnsi"/>
        </w:rPr>
        <w:t>. Without support, these people may be vulnerable to exploitation or neglect</w:t>
      </w:r>
      <w:r w:rsidR="006046D3">
        <w:rPr>
          <w:rFonts w:cstheme="minorHAnsi"/>
        </w:rPr>
        <w:t>.’</w:t>
      </w:r>
      <w:r w:rsidR="00E64C46">
        <w:rPr>
          <w:rStyle w:val="FootnoteReference"/>
          <w:rFonts w:cstheme="minorHAnsi"/>
        </w:rPr>
        <w:footnoteReference w:id="2"/>
      </w:r>
      <w:r w:rsidR="00D26993">
        <w:rPr>
          <w:rFonts w:cstheme="minorHAnsi"/>
        </w:rPr>
        <w:t xml:space="preserve"> Yet despite this acknowledgement, the vulnerability of many Public Trustee clients </w:t>
      </w:r>
      <w:r w:rsidR="006959E4">
        <w:rPr>
          <w:rFonts w:cstheme="minorHAnsi"/>
        </w:rPr>
        <w:t xml:space="preserve">appears to </w:t>
      </w:r>
      <w:r w:rsidR="00A40241">
        <w:rPr>
          <w:rFonts w:cstheme="minorHAnsi"/>
        </w:rPr>
        <w:t xml:space="preserve">be unrecognised or ignored in many of the </w:t>
      </w:r>
      <w:r w:rsidR="00BB7CA3">
        <w:rPr>
          <w:rFonts w:cstheme="minorHAnsi"/>
        </w:rPr>
        <w:t xml:space="preserve">Public Trustee’s </w:t>
      </w:r>
      <w:r w:rsidR="001D74E8">
        <w:rPr>
          <w:rFonts w:cstheme="minorHAnsi"/>
        </w:rPr>
        <w:t xml:space="preserve">own </w:t>
      </w:r>
      <w:r w:rsidR="00BB7CA3">
        <w:rPr>
          <w:rFonts w:cstheme="minorHAnsi"/>
        </w:rPr>
        <w:t xml:space="preserve">practices and policies. </w:t>
      </w:r>
      <w:r w:rsidR="00A5405B">
        <w:rPr>
          <w:rFonts w:cstheme="minorHAnsi"/>
        </w:rPr>
        <w:t>The power imbalance inherent in the relationship</w:t>
      </w:r>
      <w:r w:rsidR="006959E4">
        <w:rPr>
          <w:rFonts w:cstheme="minorHAnsi"/>
        </w:rPr>
        <w:t xml:space="preserve"> </w:t>
      </w:r>
      <w:r w:rsidR="00A5405B">
        <w:rPr>
          <w:rFonts w:cstheme="minorHAnsi"/>
        </w:rPr>
        <w:t>between a Public Trust</w:t>
      </w:r>
      <w:r w:rsidR="005D45D6">
        <w:rPr>
          <w:rFonts w:cstheme="minorHAnsi"/>
        </w:rPr>
        <w:t>ee</w:t>
      </w:r>
      <w:r w:rsidR="00A5405B">
        <w:rPr>
          <w:rFonts w:cstheme="minorHAnsi"/>
        </w:rPr>
        <w:t xml:space="preserve"> officer and financial administration client</w:t>
      </w:r>
      <w:r w:rsidR="00A35E1D">
        <w:rPr>
          <w:rFonts w:cstheme="minorHAnsi"/>
        </w:rPr>
        <w:t xml:space="preserve"> is significant</w:t>
      </w:r>
      <w:r w:rsidR="003E0567">
        <w:rPr>
          <w:rFonts w:cstheme="minorHAnsi"/>
        </w:rPr>
        <w:t xml:space="preserve">. </w:t>
      </w:r>
      <w:r w:rsidR="00A35E1D">
        <w:rPr>
          <w:rFonts w:cstheme="minorHAnsi"/>
        </w:rPr>
        <w:t>Public Trust</w:t>
      </w:r>
      <w:r w:rsidR="003E0567">
        <w:rPr>
          <w:rFonts w:cstheme="minorHAnsi"/>
        </w:rPr>
        <w:t>ee</w:t>
      </w:r>
      <w:r w:rsidR="00A35E1D">
        <w:rPr>
          <w:rFonts w:cstheme="minorHAnsi"/>
        </w:rPr>
        <w:t xml:space="preserve"> officer</w:t>
      </w:r>
      <w:r w:rsidR="003E0567">
        <w:rPr>
          <w:rFonts w:cstheme="minorHAnsi"/>
        </w:rPr>
        <w:t>s are</w:t>
      </w:r>
      <w:r w:rsidR="00175935">
        <w:rPr>
          <w:rFonts w:cstheme="minorHAnsi"/>
        </w:rPr>
        <w:t xml:space="preserve"> </w:t>
      </w:r>
      <w:r w:rsidR="00F42C04">
        <w:rPr>
          <w:rFonts w:cstheme="minorHAnsi"/>
        </w:rPr>
        <w:t>able to exert</w:t>
      </w:r>
      <w:r w:rsidR="00175935">
        <w:rPr>
          <w:rFonts w:cstheme="minorHAnsi"/>
        </w:rPr>
        <w:t xml:space="preserve"> a </w:t>
      </w:r>
      <w:r w:rsidR="00F42C04">
        <w:rPr>
          <w:rFonts w:cstheme="minorHAnsi"/>
        </w:rPr>
        <w:t xml:space="preserve">formidable amount of control and </w:t>
      </w:r>
      <w:r w:rsidR="00175935">
        <w:rPr>
          <w:rFonts w:cstheme="minorHAnsi"/>
        </w:rPr>
        <w:t>influence</w:t>
      </w:r>
      <w:r w:rsidR="00F42C04">
        <w:rPr>
          <w:rFonts w:cstheme="minorHAnsi"/>
        </w:rPr>
        <w:t xml:space="preserve"> over a person’s life</w:t>
      </w:r>
      <w:r w:rsidR="00FD0F56">
        <w:rPr>
          <w:rFonts w:cstheme="minorHAnsi"/>
        </w:rPr>
        <w:t>, and yet</w:t>
      </w:r>
      <w:r w:rsidR="00B17ACA">
        <w:rPr>
          <w:rFonts w:cstheme="minorHAnsi"/>
        </w:rPr>
        <w:t xml:space="preserve"> the</w:t>
      </w:r>
      <w:r w:rsidR="00D62E24">
        <w:rPr>
          <w:rFonts w:cstheme="minorHAnsi"/>
        </w:rPr>
        <w:t xml:space="preserve">re appears to be an alarming lack of accountability for their actions </w:t>
      </w:r>
      <w:r w:rsidR="00B17ACA">
        <w:rPr>
          <w:rFonts w:cstheme="minorHAnsi"/>
        </w:rPr>
        <w:t xml:space="preserve">and </w:t>
      </w:r>
      <w:r w:rsidR="00D62E24">
        <w:rPr>
          <w:rFonts w:cstheme="minorHAnsi"/>
        </w:rPr>
        <w:t xml:space="preserve">an absence of </w:t>
      </w:r>
      <w:r w:rsidR="00B17ACA">
        <w:rPr>
          <w:rFonts w:cstheme="minorHAnsi"/>
        </w:rPr>
        <w:t>safeguards</w:t>
      </w:r>
      <w:r w:rsidR="00D62E24">
        <w:rPr>
          <w:rFonts w:cstheme="minorHAnsi"/>
        </w:rPr>
        <w:t xml:space="preserve"> in place to protect</w:t>
      </w:r>
      <w:r w:rsidR="00B17ACA">
        <w:rPr>
          <w:rFonts w:cstheme="minorHAnsi"/>
        </w:rPr>
        <w:t xml:space="preserve"> against improper use of power</w:t>
      </w:r>
      <w:r w:rsidR="002A44FE">
        <w:rPr>
          <w:rFonts w:cstheme="minorHAnsi"/>
        </w:rPr>
        <w:t>,</w:t>
      </w:r>
      <w:r w:rsidR="00FA4D33">
        <w:rPr>
          <w:rFonts w:cstheme="minorHAnsi"/>
        </w:rPr>
        <w:t xml:space="preserve"> and negative outcomes for clients.</w:t>
      </w:r>
    </w:p>
    <w:p w14:paraId="03C1E3D1" w14:textId="40011D36" w:rsidR="001B7CA7" w:rsidRPr="004D7835" w:rsidRDefault="00FA4D33" w:rsidP="00170BAD">
      <w:pPr>
        <w:spacing w:after="120" w:line="276" w:lineRule="auto"/>
        <w:rPr>
          <w:rFonts w:cstheme="minorHAnsi"/>
        </w:rPr>
      </w:pPr>
      <w:r>
        <w:rPr>
          <w:rFonts w:cstheme="minorHAnsi"/>
        </w:rPr>
        <w:t xml:space="preserve">QAI </w:t>
      </w:r>
      <w:r w:rsidR="002A44FE">
        <w:rPr>
          <w:rFonts w:cstheme="minorHAnsi"/>
        </w:rPr>
        <w:t xml:space="preserve">considers </w:t>
      </w:r>
      <w:r w:rsidR="00471624">
        <w:rPr>
          <w:rFonts w:cstheme="minorHAnsi"/>
        </w:rPr>
        <w:t>th</w:t>
      </w:r>
      <w:r w:rsidR="00D862CA">
        <w:rPr>
          <w:rFonts w:cstheme="minorHAnsi"/>
        </w:rPr>
        <w:t>at th</w:t>
      </w:r>
      <w:r w:rsidR="002A44FE">
        <w:rPr>
          <w:rFonts w:cstheme="minorHAnsi"/>
        </w:rPr>
        <w:t>e following</w:t>
      </w:r>
      <w:r w:rsidR="00D02A65">
        <w:rPr>
          <w:rFonts w:cstheme="minorHAnsi"/>
        </w:rPr>
        <w:t xml:space="preserve"> </w:t>
      </w:r>
      <w:r w:rsidR="00600971">
        <w:rPr>
          <w:rFonts w:cstheme="minorHAnsi"/>
        </w:rPr>
        <w:t xml:space="preserve">issues </w:t>
      </w:r>
      <w:r w:rsidR="00367C16">
        <w:rPr>
          <w:rFonts w:cstheme="minorHAnsi"/>
        </w:rPr>
        <w:t>requir</w:t>
      </w:r>
      <w:r w:rsidR="00D862CA">
        <w:rPr>
          <w:rFonts w:cstheme="minorHAnsi"/>
        </w:rPr>
        <w:t>e</w:t>
      </w:r>
      <w:r w:rsidR="00367C16">
        <w:rPr>
          <w:rFonts w:cstheme="minorHAnsi"/>
        </w:rPr>
        <w:t xml:space="preserve"> attention</w:t>
      </w:r>
      <w:r w:rsidR="00E61967">
        <w:rPr>
          <w:rFonts w:cstheme="minorHAnsi"/>
        </w:rPr>
        <w:t>:</w:t>
      </w:r>
    </w:p>
    <w:p w14:paraId="3650522D" w14:textId="7C5F9503" w:rsidR="000E0756" w:rsidRPr="00815402" w:rsidRDefault="003C36C7" w:rsidP="00815402">
      <w:pPr>
        <w:pStyle w:val="ListParagraph"/>
        <w:numPr>
          <w:ilvl w:val="0"/>
          <w:numId w:val="15"/>
        </w:numPr>
        <w:spacing w:line="276" w:lineRule="auto"/>
      </w:pPr>
      <w:r w:rsidRPr="00815402">
        <w:t>The extent to which Public Trust</w:t>
      </w:r>
      <w:r w:rsidR="005D45D6" w:rsidRPr="00815402">
        <w:t>ee</w:t>
      </w:r>
      <w:r w:rsidRPr="00815402">
        <w:t xml:space="preserve"> officers are skilled and trained in supporting </w:t>
      </w:r>
      <w:r w:rsidR="00D5356E" w:rsidRPr="00815402">
        <w:t>people</w:t>
      </w:r>
      <w:r w:rsidRPr="00815402">
        <w:t xml:space="preserve"> with </w:t>
      </w:r>
      <w:r w:rsidR="0042186F" w:rsidRPr="00815402">
        <w:t xml:space="preserve">a </w:t>
      </w:r>
      <w:r w:rsidRPr="00815402">
        <w:t>disability</w:t>
      </w:r>
      <w:r w:rsidR="00734438" w:rsidRPr="00815402">
        <w:t xml:space="preserve">, including supporting </w:t>
      </w:r>
      <w:r w:rsidR="00742BCD" w:rsidRPr="00815402">
        <w:t>administration clients to understand the fees and charges applied to their account</w:t>
      </w:r>
      <w:r w:rsidRPr="00815402">
        <w:rPr>
          <w:szCs w:val="22"/>
        </w:rPr>
        <w:t xml:space="preserve">. </w:t>
      </w:r>
      <w:r w:rsidR="0042186F" w:rsidRPr="00815402">
        <w:t>In 2019-20, 29% of the Public Trustee’s customers identified as living with an intellectual disability or psychiatric disability.</w:t>
      </w:r>
      <w:r w:rsidR="00170BAD" w:rsidRPr="00815402">
        <w:rPr>
          <w:rStyle w:val="FootnoteReference"/>
          <w:rFonts w:cstheme="minorBidi"/>
        </w:rPr>
        <w:footnoteReference w:id="3"/>
      </w:r>
      <w:r w:rsidR="00D5356E" w:rsidRPr="00815402">
        <w:t xml:space="preserve"> This </w:t>
      </w:r>
      <w:r w:rsidR="00733628" w:rsidRPr="00815402">
        <w:t>percentage</w:t>
      </w:r>
      <w:r w:rsidR="00D5356E" w:rsidRPr="00815402">
        <w:t xml:space="preserve"> does not include the number of people living with another form of cognitive disability, or </w:t>
      </w:r>
      <w:r w:rsidR="009F16F6" w:rsidRPr="00815402">
        <w:t>individuals</w:t>
      </w:r>
      <w:r w:rsidR="00972B57" w:rsidRPr="00815402">
        <w:t xml:space="preserve"> whose</w:t>
      </w:r>
      <w:r w:rsidR="00D5356E" w:rsidRPr="00815402">
        <w:t xml:space="preserve"> disability </w:t>
      </w:r>
      <w:r w:rsidR="00F94E09" w:rsidRPr="00815402">
        <w:t xml:space="preserve">is </w:t>
      </w:r>
      <w:r w:rsidR="00D5356E" w:rsidRPr="00815402">
        <w:t>undiagnosed</w:t>
      </w:r>
      <w:r w:rsidR="00733628" w:rsidRPr="00815402">
        <w:t xml:space="preserve">, meaning that the percentage </w:t>
      </w:r>
      <w:r w:rsidR="00C50285" w:rsidRPr="00815402">
        <w:t>will likely</w:t>
      </w:r>
      <w:r w:rsidR="00733628" w:rsidRPr="00815402">
        <w:rPr>
          <w:szCs w:val="22"/>
        </w:rPr>
        <w:t xml:space="preserve"> </w:t>
      </w:r>
      <w:r w:rsidR="00350CCA" w:rsidRPr="00815402">
        <w:t xml:space="preserve">be </w:t>
      </w:r>
      <w:r w:rsidR="00733628" w:rsidRPr="00815402">
        <w:t>even higher</w:t>
      </w:r>
      <w:r w:rsidR="00D5356E" w:rsidRPr="00815402">
        <w:rPr>
          <w:szCs w:val="22"/>
        </w:rPr>
        <w:t>.</w:t>
      </w:r>
      <w:r w:rsidR="00972B57" w:rsidRPr="00815402">
        <w:rPr>
          <w:szCs w:val="22"/>
        </w:rPr>
        <w:t xml:space="preserve"> </w:t>
      </w:r>
      <w:r w:rsidR="00D8424C" w:rsidRPr="00815402">
        <w:t xml:space="preserve">Many people with intellectual, cognitive and psychiatric disability require support </w:t>
      </w:r>
      <w:r w:rsidR="00F670FC" w:rsidRPr="00815402">
        <w:t xml:space="preserve">to receive and </w:t>
      </w:r>
      <w:r w:rsidR="00AF5DDA" w:rsidRPr="00815402">
        <w:t xml:space="preserve">understand information, </w:t>
      </w:r>
      <w:r w:rsidR="00807D20" w:rsidRPr="00815402">
        <w:t xml:space="preserve">pursuant to supported decision-making practices. </w:t>
      </w:r>
      <w:r w:rsidR="00040128" w:rsidRPr="00815402">
        <w:t>They may require information in different formats,</w:t>
      </w:r>
      <w:r w:rsidR="00913D58" w:rsidRPr="00815402">
        <w:t xml:space="preserve"> and</w:t>
      </w:r>
      <w:r w:rsidR="00B8078D" w:rsidRPr="00815402">
        <w:t xml:space="preserve"> have the right</w:t>
      </w:r>
      <w:r w:rsidR="00913D58" w:rsidRPr="00815402">
        <w:t xml:space="preserve"> to be consulted and their opinions sought </w:t>
      </w:r>
      <w:r w:rsidR="008711A0" w:rsidRPr="00815402">
        <w:t>regarding</w:t>
      </w:r>
      <w:r w:rsidR="00913D58" w:rsidRPr="00815402">
        <w:t xml:space="preserve"> decision-making that affects them</w:t>
      </w:r>
      <w:r w:rsidR="00C03871" w:rsidRPr="00815402">
        <w:rPr>
          <w:szCs w:val="22"/>
        </w:rPr>
        <w:t>,</w:t>
      </w:r>
      <w:r w:rsidR="00855BC0" w:rsidRPr="00815402">
        <w:rPr>
          <w:szCs w:val="22"/>
        </w:rPr>
        <w:t xml:space="preserve"> </w:t>
      </w:r>
      <w:r w:rsidR="00913D58" w:rsidRPr="00815402">
        <w:t>even if undertaken by a substitute</w:t>
      </w:r>
      <w:r w:rsidR="008E3637" w:rsidRPr="00815402">
        <w:t>d</w:t>
      </w:r>
      <w:r w:rsidR="00913D58" w:rsidRPr="00815402">
        <w:t xml:space="preserve"> decision-maker</w:t>
      </w:r>
      <w:r w:rsidR="00913D58" w:rsidRPr="00815402">
        <w:rPr>
          <w:szCs w:val="22"/>
        </w:rPr>
        <w:t>.</w:t>
      </w:r>
      <w:r w:rsidR="00B8078D" w:rsidRPr="00815402">
        <w:rPr>
          <w:szCs w:val="22"/>
        </w:rPr>
        <w:t xml:space="preserve"> </w:t>
      </w:r>
      <w:r w:rsidR="00C03871" w:rsidRPr="00815402">
        <w:t>This includes</w:t>
      </w:r>
      <w:r w:rsidR="00CD6A80" w:rsidRPr="00815402">
        <w:t xml:space="preserve"> decision-making regarding</w:t>
      </w:r>
      <w:r w:rsidR="00C03871" w:rsidRPr="00815402">
        <w:t xml:space="preserve"> the application of fees and charges a</w:t>
      </w:r>
      <w:r w:rsidR="002350EC" w:rsidRPr="00815402">
        <w:t>s well as</w:t>
      </w:r>
      <w:r w:rsidR="00C03871" w:rsidRPr="00815402">
        <w:t xml:space="preserve"> actions that will result in the client incurring fees and charges</w:t>
      </w:r>
      <w:r w:rsidR="00053380" w:rsidRPr="00815402">
        <w:rPr>
          <w:szCs w:val="22"/>
        </w:rPr>
        <w:t>.</w:t>
      </w:r>
      <w:r w:rsidR="00C03871" w:rsidRPr="00815402">
        <w:rPr>
          <w:szCs w:val="22"/>
        </w:rPr>
        <w:t xml:space="preserve"> </w:t>
      </w:r>
      <w:r w:rsidR="001B30DD" w:rsidRPr="00815402">
        <w:t xml:space="preserve">This is </w:t>
      </w:r>
      <w:r w:rsidR="00D35AA0" w:rsidRPr="00815402">
        <w:t xml:space="preserve">legally </w:t>
      </w:r>
      <w:r w:rsidR="001B30DD" w:rsidRPr="00815402">
        <w:t>required</w:t>
      </w:r>
      <w:r w:rsidR="00D35AA0" w:rsidRPr="00815402">
        <w:rPr>
          <w:szCs w:val="22"/>
        </w:rPr>
        <w:t xml:space="preserve"> </w:t>
      </w:r>
      <w:r w:rsidR="00F0682B" w:rsidRPr="00815402">
        <w:t xml:space="preserve">as per the General principles of the </w:t>
      </w:r>
      <w:r w:rsidR="00F0682B" w:rsidRPr="00815402">
        <w:rPr>
          <w:i/>
        </w:rPr>
        <w:t>Guardianship and Administration Act 2000</w:t>
      </w:r>
      <w:r w:rsidR="00F0682B" w:rsidRPr="00815402">
        <w:t xml:space="preserve"> (Qld)</w:t>
      </w:r>
      <w:r w:rsidR="00993CB5" w:rsidRPr="00815402">
        <w:t xml:space="preserve">. Specifically, </w:t>
      </w:r>
      <w:r w:rsidR="00F046AF" w:rsidRPr="00815402">
        <w:t>‘adults must be given the support and access to information necessary to enable the adult to make or participate in decisions affecting the adults life</w:t>
      </w:r>
      <w:r w:rsidR="002761ED" w:rsidRPr="00815402">
        <w:rPr>
          <w:szCs w:val="22"/>
        </w:rPr>
        <w:t>.</w:t>
      </w:r>
      <w:r w:rsidR="00F046AF" w:rsidRPr="00815402">
        <w:rPr>
          <w:szCs w:val="22"/>
        </w:rPr>
        <w:t>’</w:t>
      </w:r>
      <w:r w:rsidR="00F046AF" w:rsidRPr="00815402">
        <w:rPr>
          <w:rStyle w:val="FootnoteReference"/>
          <w:rFonts w:cstheme="minorBidi"/>
        </w:rPr>
        <w:footnoteReference w:id="4"/>
      </w:r>
      <w:r w:rsidR="004A7209" w:rsidRPr="00815402">
        <w:rPr>
          <w:szCs w:val="22"/>
        </w:rPr>
        <w:t xml:space="preserve"> </w:t>
      </w:r>
      <w:r w:rsidR="00A47FCB" w:rsidRPr="00815402">
        <w:t>Further</w:t>
      </w:r>
      <w:r w:rsidR="00574DA0" w:rsidRPr="00815402">
        <w:rPr>
          <w:szCs w:val="22"/>
        </w:rPr>
        <w:t xml:space="preserve">, </w:t>
      </w:r>
      <w:r w:rsidR="002118EE" w:rsidRPr="00815402">
        <w:t>e</w:t>
      </w:r>
      <w:r w:rsidR="00A47FCB" w:rsidRPr="00815402">
        <w:t>ntities performing functions under the</w:t>
      </w:r>
      <w:r w:rsidR="00F046AF" w:rsidRPr="00815402">
        <w:rPr>
          <w:szCs w:val="22"/>
        </w:rPr>
        <w:t xml:space="preserve"> </w:t>
      </w:r>
      <w:r w:rsidR="00A47FCB" w:rsidRPr="00815402">
        <w:rPr>
          <w:i/>
        </w:rPr>
        <w:t>Guardianship and Administration Act 2000</w:t>
      </w:r>
      <w:r w:rsidR="00A47FCB" w:rsidRPr="00815402">
        <w:t xml:space="preserve"> (Qld) must</w:t>
      </w:r>
      <w:r w:rsidR="00D56C2B" w:rsidRPr="00815402">
        <w:t xml:space="preserve"> ‘recognise</w:t>
      </w:r>
      <w:r w:rsidR="00243B7F" w:rsidRPr="00815402">
        <w:t xml:space="preserve"> and take into account any views, wishes and preferences expressed or demonstrated by the adult</w:t>
      </w:r>
      <w:r w:rsidR="003E2E30" w:rsidRPr="00815402">
        <w:rPr>
          <w:szCs w:val="22"/>
        </w:rPr>
        <w:t>’.</w:t>
      </w:r>
      <w:r w:rsidR="003E2E30" w:rsidRPr="00815402">
        <w:rPr>
          <w:rStyle w:val="FootnoteReference"/>
          <w:rFonts w:cstheme="minorBidi"/>
        </w:rPr>
        <w:footnoteReference w:id="5"/>
      </w:r>
      <w:r w:rsidR="00027E38" w:rsidRPr="00815402">
        <w:rPr>
          <w:szCs w:val="22"/>
        </w:rPr>
        <w:t xml:space="preserve"> </w:t>
      </w:r>
      <w:r w:rsidR="00382EE6" w:rsidRPr="00815402">
        <w:t xml:space="preserve">The legal basis for these requirements is further strengthened by the </w:t>
      </w:r>
      <w:r w:rsidR="00382EE6" w:rsidRPr="00815402">
        <w:rPr>
          <w:i/>
        </w:rPr>
        <w:t xml:space="preserve">Human Rights Act 2019 </w:t>
      </w:r>
      <w:r w:rsidR="00382EE6" w:rsidRPr="00815402">
        <w:t>(Qld)</w:t>
      </w:r>
      <w:r w:rsidR="002C6AED" w:rsidRPr="00815402">
        <w:t>, which</w:t>
      </w:r>
      <w:r w:rsidR="003210C0" w:rsidRPr="00815402">
        <w:rPr>
          <w:szCs w:val="22"/>
        </w:rPr>
        <w:t xml:space="preserve"> </w:t>
      </w:r>
      <w:r w:rsidR="00005A78" w:rsidRPr="00815402">
        <w:t>requires public entities</w:t>
      </w:r>
      <w:r w:rsidR="00BB6E7E" w:rsidRPr="00815402">
        <w:t xml:space="preserve"> to uphold</w:t>
      </w:r>
      <w:r w:rsidR="0023130C" w:rsidRPr="00815402">
        <w:t xml:space="preserve"> every person’s right to recog</w:t>
      </w:r>
      <w:r w:rsidR="00333AC1" w:rsidRPr="00815402">
        <w:t>nition and equality before the law.</w:t>
      </w:r>
      <w:r w:rsidR="00333AC1" w:rsidRPr="00815402">
        <w:rPr>
          <w:rStyle w:val="FootnoteReference"/>
          <w:rFonts w:cstheme="minorBidi"/>
        </w:rPr>
        <w:footnoteReference w:id="6"/>
      </w:r>
      <w:r w:rsidR="00333AC1" w:rsidRPr="00815402">
        <w:rPr>
          <w:szCs w:val="22"/>
        </w:rPr>
        <w:t xml:space="preserve"> </w:t>
      </w:r>
    </w:p>
    <w:p w14:paraId="7A84AFC9" w14:textId="77777777" w:rsidR="000E0756" w:rsidRPr="00815402" w:rsidRDefault="000E0756" w:rsidP="00815402">
      <w:pPr>
        <w:spacing w:line="276" w:lineRule="auto"/>
        <w:rPr>
          <w:szCs w:val="22"/>
        </w:rPr>
      </w:pPr>
    </w:p>
    <w:p w14:paraId="794AD18D" w14:textId="7EBAA14B" w:rsidR="00E41762" w:rsidRPr="00815402" w:rsidRDefault="00480CAB" w:rsidP="00815402">
      <w:pPr>
        <w:spacing w:line="276" w:lineRule="auto"/>
        <w:ind w:left="720"/>
        <w:rPr>
          <w:szCs w:val="22"/>
        </w:rPr>
      </w:pPr>
      <w:r w:rsidRPr="00815402">
        <w:rPr>
          <w:szCs w:val="22"/>
        </w:rPr>
        <w:t>QAI has heard from clients who</w:t>
      </w:r>
      <w:r w:rsidR="00807D20" w:rsidRPr="00815402">
        <w:rPr>
          <w:szCs w:val="22"/>
        </w:rPr>
        <w:t xml:space="preserve"> receive</w:t>
      </w:r>
      <w:r w:rsidR="00475DAF" w:rsidRPr="00815402">
        <w:rPr>
          <w:szCs w:val="22"/>
        </w:rPr>
        <w:t xml:space="preserve"> administration services from the Public Trustee</w:t>
      </w:r>
      <w:r w:rsidR="004A4BC3" w:rsidRPr="00815402">
        <w:rPr>
          <w:szCs w:val="22"/>
        </w:rPr>
        <w:t>, that some Public Trustee officers</w:t>
      </w:r>
      <w:r w:rsidR="00BD60FE" w:rsidRPr="00815402">
        <w:rPr>
          <w:szCs w:val="22"/>
        </w:rPr>
        <w:t xml:space="preserve"> have</w:t>
      </w:r>
      <w:r w:rsidR="004A4BC3" w:rsidRPr="00815402">
        <w:rPr>
          <w:szCs w:val="22"/>
        </w:rPr>
        <w:t xml:space="preserve"> fail</w:t>
      </w:r>
      <w:r w:rsidR="00BD60FE" w:rsidRPr="00815402">
        <w:rPr>
          <w:szCs w:val="22"/>
        </w:rPr>
        <w:t>ed</w:t>
      </w:r>
      <w:r w:rsidR="004A4BC3" w:rsidRPr="00815402">
        <w:rPr>
          <w:szCs w:val="22"/>
        </w:rPr>
        <w:t xml:space="preserve"> to inform</w:t>
      </w:r>
      <w:r w:rsidR="00E117D5" w:rsidRPr="00815402">
        <w:rPr>
          <w:szCs w:val="22"/>
        </w:rPr>
        <w:t xml:space="preserve"> them of decisions made, </w:t>
      </w:r>
      <w:r w:rsidR="00BD60FE" w:rsidRPr="00815402">
        <w:rPr>
          <w:szCs w:val="22"/>
        </w:rPr>
        <w:t>provide any r</w:t>
      </w:r>
      <w:r w:rsidR="00E117D5" w:rsidRPr="00815402">
        <w:rPr>
          <w:szCs w:val="22"/>
        </w:rPr>
        <w:t xml:space="preserve">easoning for </w:t>
      </w:r>
      <w:r w:rsidR="00BD60FE" w:rsidRPr="00815402">
        <w:rPr>
          <w:szCs w:val="22"/>
        </w:rPr>
        <w:t>why</w:t>
      </w:r>
      <w:r w:rsidR="00E117D5" w:rsidRPr="00815402">
        <w:rPr>
          <w:szCs w:val="22"/>
        </w:rPr>
        <w:t xml:space="preserve"> decisions</w:t>
      </w:r>
      <w:r w:rsidR="00BD60FE" w:rsidRPr="00815402">
        <w:rPr>
          <w:szCs w:val="22"/>
        </w:rPr>
        <w:t xml:space="preserve"> have been made</w:t>
      </w:r>
      <w:r w:rsidR="00E117D5" w:rsidRPr="00815402">
        <w:rPr>
          <w:szCs w:val="22"/>
        </w:rPr>
        <w:t xml:space="preserve"> or even </w:t>
      </w:r>
      <w:r w:rsidR="00BD60FE" w:rsidRPr="00815402">
        <w:rPr>
          <w:szCs w:val="22"/>
        </w:rPr>
        <w:t>consulted them about the need for a decision.</w:t>
      </w:r>
      <w:r w:rsidR="00475DAF" w:rsidRPr="00815402">
        <w:rPr>
          <w:szCs w:val="22"/>
        </w:rPr>
        <w:t xml:space="preserve"> </w:t>
      </w:r>
      <w:r w:rsidR="003A2C5E" w:rsidRPr="00815402">
        <w:rPr>
          <w:szCs w:val="22"/>
        </w:rPr>
        <w:t>Some clients have reported not even knowing who their Public Trustee officer is</w:t>
      </w:r>
      <w:r w:rsidR="000566AF" w:rsidRPr="00815402">
        <w:rPr>
          <w:szCs w:val="22"/>
        </w:rPr>
        <w:t>, and/or that it changes frequently</w:t>
      </w:r>
      <w:r w:rsidR="00D3093D" w:rsidRPr="00815402">
        <w:rPr>
          <w:szCs w:val="22"/>
        </w:rPr>
        <w:t>. Getting in touch with the relevant Public Trustee officer can also be very challenging, with only a generic phone number</w:t>
      </w:r>
      <w:r w:rsidR="00A251B6" w:rsidRPr="00815402">
        <w:rPr>
          <w:szCs w:val="22"/>
        </w:rPr>
        <w:t xml:space="preserve"> or email address </w:t>
      </w:r>
      <w:r w:rsidR="00361208" w:rsidRPr="00815402">
        <w:rPr>
          <w:szCs w:val="22"/>
        </w:rPr>
        <w:t>through</w:t>
      </w:r>
      <w:r w:rsidR="00A251B6" w:rsidRPr="00815402">
        <w:rPr>
          <w:szCs w:val="22"/>
        </w:rPr>
        <w:t xml:space="preserve"> which </w:t>
      </w:r>
      <w:r w:rsidR="00361208" w:rsidRPr="00815402">
        <w:rPr>
          <w:szCs w:val="22"/>
        </w:rPr>
        <w:t>contact can be made.</w:t>
      </w:r>
      <w:r w:rsidR="00A251B6" w:rsidRPr="00815402">
        <w:rPr>
          <w:szCs w:val="22"/>
        </w:rPr>
        <w:t xml:space="preserve"> </w:t>
      </w:r>
      <w:r w:rsidR="00630A5D" w:rsidRPr="00815402">
        <w:rPr>
          <w:szCs w:val="22"/>
        </w:rPr>
        <w:t>R</w:t>
      </w:r>
      <w:r w:rsidR="001B1241" w:rsidRPr="00815402">
        <w:rPr>
          <w:szCs w:val="22"/>
        </w:rPr>
        <w:t>equests for contact with Public Trustee officer</w:t>
      </w:r>
      <w:r w:rsidR="006F64FB" w:rsidRPr="00815402">
        <w:rPr>
          <w:szCs w:val="22"/>
        </w:rPr>
        <w:t>s</w:t>
      </w:r>
      <w:r w:rsidR="001B1241" w:rsidRPr="00815402">
        <w:rPr>
          <w:szCs w:val="22"/>
        </w:rPr>
        <w:t xml:space="preserve"> </w:t>
      </w:r>
      <w:r w:rsidR="005C155E" w:rsidRPr="00815402">
        <w:rPr>
          <w:szCs w:val="22"/>
        </w:rPr>
        <w:t xml:space="preserve">also </w:t>
      </w:r>
      <w:r w:rsidR="001B1241" w:rsidRPr="00815402">
        <w:rPr>
          <w:szCs w:val="22"/>
        </w:rPr>
        <w:t>often go unanswered</w:t>
      </w:r>
      <w:r w:rsidR="006F0BBB" w:rsidRPr="00815402">
        <w:rPr>
          <w:szCs w:val="22"/>
        </w:rPr>
        <w:t>. In QAI’s experience,</w:t>
      </w:r>
      <w:r w:rsidR="004D5034" w:rsidRPr="00815402">
        <w:rPr>
          <w:szCs w:val="22"/>
        </w:rPr>
        <w:t xml:space="preserve"> Public Trustee officers</w:t>
      </w:r>
      <w:r w:rsidR="003F61EF" w:rsidRPr="00815402">
        <w:rPr>
          <w:szCs w:val="22"/>
        </w:rPr>
        <w:t xml:space="preserve"> </w:t>
      </w:r>
      <w:r w:rsidR="00FC23DA" w:rsidRPr="00815402">
        <w:rPr>
          <w:szCs w:val="22"/>
        </w:rPr>
        <w:t>often fail</w:t>
      </w:r>
      <w:r w:rsidR="004F7A9A" w:rsidRPr="00815402">
        <w:rPr>
          <w:szCs w:val="22"/>
        </w:rPr>
        <w:t xml:space="preserve"> to return </w:t>
      </w:r>
      <w:r w:rsidR="00CA2FEB" w:rsidRPr="00815402">
        <w:rPr>
          <w:szCs w:val="22"/>
        </w:rPr>
        <w:t xml:space="preserve">client </w:t>
      </w:r>
      <w:r w:rsidR="004F7A9A" w:rsidRPr="00815402">
        <w:rPr>
          <w:szCs w:val="22"/>
        </w:rPr>
        <w:t>c</w:t>
      </w:r>
      <w:r w:rsidR="003501FB" w:rsidRPr="00815402">
        <w:rPr>
          <w:szCs w:val="22"/>
        </w:rPr>
        <w:t>all</w:t>
      </w:r>
      <w:r w:rsidR="00CA2FEB" w:rsidRPr="00815402">
        <w:rPr>
          <w:szCs w:val="22"/>
        </w:rPr>
        <w:t>s,</w:t>
      </w:r>
      <w:r w:rsidR="003501FB" w:rsidRPr="00815402">
        <w:rPr>
          <w:szCs w:val="22"/>
        </w:rPr>
        <w:t xml:space="preserve"> o</w:t>
      </w:r>
      <w:r w:rsidR="00CA2FEB" w:rsidRPr="00815402">
        <w:rPr>
          <w:szCs w:val="22"/>
        </w:rPr>
        <w:t>r calls from</w:t>
      </w:r>
      <w:r w:rsidR="003501FB" w:rsidRPr="00815402">
        <w:rPr>
          <w:szCs w:val="22"/>
        </w:rPr>
        <w:t xml:space="preserve"> lawyer</w:t>
      </w:r>
      <w:r w:rsidR="00EF437B" w:rsidRPr="00815402">
        <w:rPr>
          <w:szCs w:val="22"/>
        </w:rPr>
        <w:t>s</w:t>
      </w:r>
      <w:r w:rsidR="003501FB" w:rsidRPr="00815402">
        <w:rPr>
          <w:szCs w:val="22"/>
        </w:rPr>
        <w:t xml:space="preserve"> acting on their behalf.</w:t>
      </w:r>
      <w:r w:rsidR="00836CAD" w:rsidRPr="00815402">
        <w:rPr>
          <w:szCs w:val="22"/>
        </w:rPr>
        <w:t xml:space="preserve"> </w:t>
      </w:r>
    </w:p>
    <w:p w14:paraId="74D84ED8" w14:textId="698E4B70" w:rsidR="6F8016F5" w:rsidRDefault="6F8016F5" w:rsidP="6F8016F5">
      <w:pPr>
        <w:spacing w:line="276" w:lineRule="auto"/>
        <w:ind w:left="720"/>
      </w:pPr>
    </w:p>
    <w:p w14:paraId="0629E9D1" w14:textId="7AC74481" w:rsidR="000A19F5" w:rsidRPr="00030B1D" w:rsidRDefault="00A92AA1" w:rsidP="00030B1D">
      <w:pPr>
        <w:pStyle w:val="ListParagraph"/>
        <w:numPr>
          <w:ilvl w:val="0"/>
          <w:numId w:val="15"/>
        </w:numPr>
        <w:spacing w:line="276" w:lineRule="auto"/>
        <w:rPr>
          <w:szCs w:val="22"/>
        </w:rPr>
      </w:pPr>
      <w:r w:rsidRPr="00030B1D">
        <w:rPr>
          <w:szCs w:val="22"/>
        </w:rPr>
        <w:t xml:space="preserve">The accuracy and quality of information </w:t>
      </w:r>
      <w:r w:rsidR="006F5971" w:rsidRPr="00030B1D">
        <w:rPr>
          <w:szCs w:val="22"/>
        </w:rPr>
        <w:t>regarding</w:t>
      </w:r>
      <w:r w:rsidRPr="00030B1D">
        <w:rPr>
          <w:szCs w:val="22"/>
        </w:rPr>
        <w:t xml:space="preserve"> fees and charges</w:t>
      </w:r>
      <w:r w:rsidR="003B2F32" w:rsidRPr="00030B1D">
        <w:rPr>
          <w:szCs w:val="22"/>
        </w:rPr>
        <w:t xml:space="preserve"> on the Public Trustee website</w:t>
      </w:r>
      <w:r w:rsidR="006D6749" w:rsidRPr="00030B1D">
        <w:rPr>
          <w:szCs w:val="22"/>
        </w:rPr>
        <w:t xml:space="preserve"> requires review</w:t>
      </w:r>
      <w:r w:rsidR="003B2F32" w:rsidRPr="00030B1D">
        <w:rPr>
          <w:szCs w:val="22"/>
        </w:rPr>
        <w:t>.</w:t>
      </w:r>
      <w:r w:rsidR="006D6749" w:rsidRPr="00030B1D">
        <w:rPr>
          <w:szCs w:val="22"/>
        </w:rPr>
        <w:t xml:space="preserve"> For example,</w:t>
      </w:r>
      <w:r w:rsidR="00DE0850" w:rsidRPr="00030B1D">
        <w:rPr>
          <w:szCs w:val="22"/>
        </w:rPr>
        <w:t xml:space="preserve"> </w:t>
      </w:r>
      <w:r w:rsidR="00205818" w:rsidRPr="00030B1D">
        <w:rPr>
          <w:szCs w:val="22"/>
        </w:rPr>
        <w:t xml:space="preserve">information </w:t>
      </w:r>
      <w:r w:rsidR="00C265B4" w:rsidRPr="00030B1D">
        <w:rPr>
          <w:szCs w:val="22"/>
        </w:rPr>
        <w:t xml:space="preserve">about the service level fees for clients under personal financial administration </w:t>
      </w:r>
      <w:r w:rsidR="00C506DF" w:rsidRPr="00030B1D">
        <w:rPr>
          <w:szCs w:val="22"/>
        </w:rPr>
        <w:t xml:space="preserve">continues to </w:t>
      </w:r>
      <w:r w:rsidR="00C265B4" w:rsidRPr="00030B1D">
        <w:rPr>
          <w:szCs w:val="22"/>
        </w:rPr>
        <w:t>refer to clients</w:t>
      </w:r>
      <w:r w:rsidR="003D48E5" w:rsidRPr="00030B1D">
        <w:rPr>
          <w:szCs w:val="22"/>
        </w:rPr>
        <w:t xml:space="preserve"> </w:t>
      </w:r>
      <w:r w:rsidR="004557D0" w:rsidRPr="00030B1D">
        <w:rPr>
          <w:szCs w:val="22"/>
        </w:rPr>
        <w:t xml:space="preserve">supported by Disability Services Queensland, despite the rollout of the National Disability Insurance Scheme </w:t>
      </w:r>
      <w:r w:rsidR="00A731BA" w:rsidRPr="00030B1D">
        <w:rPr>
          <w:szCs w:val="22"/>
        </w:rPr>
        <w:t xml:space="preserve">(NDIS) </w:t>
      </w:r>
      <w:r w:rsidR="004557D0" w:rsidRPr="00030B1D">
        <w:rPr>
          <w:szCs w:val="22"/>
        </w:rPr>
        <w:t xml:space="preserve">having caused Disability Services Queensland to cease to exist and </w:t>
      </w:r>
      <w:r w:rsidR="00BA08F6" w:rsidRPr="00030B1D">
        <w:rPr>
          <w:szCs w:val="22"/>
        </w:rPr>
        <w:t xml:space="preserve">having </w:t>
      </w:r>
      <w:r w:rsidR="00ED7B88" w:rsidRPr="00030B1D">
        <w:rPr>
          <w:szCs w:val="22"/>
        </w:rPr>
        <w:t xml:space="preserve">fundamentally </w:t>
      </w:r>
      <w:r w:rsidR="003A2A32" w:rsidRPr="00030B1D">
        <w:rPr>
          <w:szCs w:val="22"/>
        </w:rPr>
        <w:t>alter</w:t>
      </w:r>
      <w:r w:rsidR="00BA08F6" w:rsidRPr="00030B1D">
        <w:rPr>
          <w:szCs w:val="22"/>
        </w:rPr>
        <w:t>ed</w:t>
      </w:r>
      <w:r w:rsidR="004557D0" w:rsidRPr="00030B1D">
        <w:rPr>
          <w:szCs w:val="22"/>
        </w:rPr>
        <w:t xml:space="preserve"> the way in which people with disability are supported</w:t>
      </w:r>
      <w:r w:rsidR="00CD584C" w:rsidRPr="00030B1D">
        <w:rPr>
          <w:szCs w:val="22"/>
        </w:rPr>
        <w:t xml:space="preserve"> and funded</w:t>
      </w:r>
      <w:r w:rsidR="004557D0" w:rsidRPr="00030B1D">
        <w:rPr>
          <w:szCs w:val="22"/>
        </w:rPr>
        <w:t xml:space="preserve"> to live independently in the community.</w:t>
      </w:r>
    </w:p>
    <w:p w14:paraId="7C19D5BF" w14:textId="77777777" w:rsidR="000A19F5" w:rsidRPr="00815402" w:rsidRDefault="000A19F5" w:rsidP="00815402">
      <w:pPr>
        <w:spacing w:line="276" w:lineRule="auto"/>
        <w:rPr>
          <w:szCs w:val="22"/>
        </w:rPr>
      </w:pPr>
    </w:p>
    <w:p w14:paraId="427700DF" w14:textId="299FDC3F" w:rsidR="001D786D" w:rsidRPr="003C670A" w:rsidRDefault="00747C15" w:rsidP="003C670A">
      <w:pPr>
        <w:pStyle w:val="ListParagraph"/>
        <w:numPr>
          <w:ilvl w:val="0"/>
          <w:numId w:val="15"/>
        </w:numPr>
        <w:spacing w:line="276" w:lineRule="auto"/>
        <w:rPr>
          <w:szCs w:val="22"/>
        </w:rPr>
      </w:pPr>
      <w:r w:rsidRPr="003C670A">
        <w:rPr>
          <w:szCs w:val="22"/>
        </w:rPr>
        <w:t>The rationale be</w:t>
      </w:r>
      <w:r w:rsidR="00AE5A6C" w:rsidRPr="003C670A">
        <w:rPr>
          <w:szCs w:val="22"/>
        </w:rPr>
        <w:t>hind certain fee</w:t>
      </w:r>
      <w:r w:rsidR="00057BFC" w:rsidRPr="003C670A">
        <w:rPr>
          <w:szCs w:val="22"/>
        </w:rPr>
        <w:t>s</w:t>
      </w:r>
      <w:r w:rsidR="002879CE" w:rsidRPr="003C670A">
        <w:rPr>
          <w:szCs w:val="22"/>
        </w:rPr>
        <w:t xml:space="preserve"> appears to be</w:t>
      </w:r>
      <w:r w:rsidR="002E6D35" w:rsidRPr="003C670A">
        <w:rPr>
          <w:szCs w:val="22"/>
        </w:rPr>
        <w:t xml:space="preserve"> inequitable. For example, </w:t>
      </w:r>
      <w:r w:rsidR="004B3D0D" w:rsidRPr="003C670A">
        <w:rPr>
          <w:szCs w:val="22"/>
        </w:rPr>
        <w:t>charging clients an Asset Management Fee</w:t>
      </w:r>
      <w:r w:rsidR="00C801D0" w:rsidRPr="003C670A">
        <w:rPr>
          <w:szCs w:val="22"/>
        </w:rPr>
        <w:t xml:space="preserve"> for </w:t>
      </w:r>
      <w:r w:rsidR="007D7310" w:rsidRPr="003C670A">
        <w:rPr>
          <w:szCs w:val="22"/>
        </w:rPr>
        <w:t>‘management’ of their superannuation fund, despite th</w:t>
      </w:r>
      <w:r w:rsidR="1A381C75" w:rsidRPr="003C670A">
        <w:rPr>
          <w:szCs w:val="22"/>
        </w:rPr>
        <w:t xml:space="preserve">at </w:t>
      </w:r>
      <w:r w:rsidR="000821FF" w:rsidRPr="003C670A">
        <w:rPr>
          <w:szCs w:val="22"/>
        </w:rPr>
        <w:t xml:space="preserve">fact that </w:t>
      </w:r>
      <w:r w:rsidR="007D7310" w:rsidRPr="003C670A">
        <w:rPr>
          <w:szCs w:val="22"/>
        </w:rPr>
        <w:t>the tasks associated with managing the superannuation fund</w:t>
      </w:r>
      <w:r w:rsidR="000821FF" w:rsidRPr="003C670A">
        <w:rPr>
          <w:szCs w:val="22"/>
        </w:rPr>
        <w:t xml:space="preserve"> are</w:t>
      </w:r>
      <w:r w:rsidR="007D7310" w:rsidRPr="003C670A">
        <w:rPr>
          <w:szCs w:val="22"/>
        </w:rPr>
        <w:t xml:space="preserve"> being carried out by a third party.</w:t>
      </w:r>
      <w:r w:rsidR="00070830" w:rsidRPr="00815402">
        <w:rPr>
          <w:rStyle w:val="FootnoteReference"/>
          <w:rFonts w:cstheme="minorBidi"/>
          <w:szCs w:val="22"/>
        </w:rPr>
        <w:footnoteReference w:id="7"/>
      </w:r>
      <w:r w:rsidR="005D1AB3" w:rsidRPr="003C670A">
        <w:rPr>
          <w:szCs w:val="22"/>
        </w:rPr>
        <w:t xml:space="preserve"> The </w:t>
      </w:r>
      <w:r w:rsidR="006B33BF" w:rsidRPr="003C670A">
        <w:rPr>
          <w:szCs w:val="22"/>
        </w:rPr>
        <w:t>amount of</w:t>
      </w:r>
      <w:r w:rsidR="00CD4715" w:rsidRPr="003C670A">
        <w:rPr>
          <w:szCs w:val="22"/>
        </w:rPr>
        <w:t xml:space="preserve"> </w:t>
      </w:r>
      <w:r w:rsidR="006B33BF" w:rsidRPr="003C670A">
        <w:rPr>
          <w:szCs w:val="22"/>
        </w:rPr>
        <w:t>Asset Management Fee</w:t>
      </w:r>
      <w:r w:rsidR="00CD4715" w:rsidRPr="003C670A">
        <w:rPr>
          <w:szCs w:val="22"/>
        </w:rPr>
        <w:t xml:space="preserve"> </w:t>
      </w:r>
      <w:r w:rsidR="00B66DA7" w:rsidRPr="003C670A">
        <w:rPr>
          <w:szCs w:val="22"/>
        </w:rPr>
        <w:t xml:space="preserve">charged </w:t>
      </w:r>
      <w:r w:rsidR="00CD4715" w:rsidRPr="003C670A">
        <w:rPr>
          <w:szCs w:val="22"/>
        </w:rPr>
        <w:t xml:space="preserve">is also </w:t>
      </w:r>
      <w:r w:rsidR="00916EAB" w:rsidRPr="003C670A">
        <w:rPr>
          <w:szCs w:val="22"/>
        </w:rPr>
        <w:t>dependent</w:t>
      </w:r>
      <w:r w:rsidR="00CD4715" w:rsidRPr="003C670A">
        <w:rPr>
          <w:szCs w:val="22"/>
        </w:rPr>
        <w:t xml:space="preserve"> upon the value of the asset rather than the level of work that is required to manage it</w:t>
      </w:r>
      <w:r w:rsidR="005479A0" w:rsidRPr="003C670A">
        <w:rPr>
          <w:szCs w:val="22"/>
        </w:rPr>
        <w:t xml:space="preserve">. This </w:t>
      </w:r>
      <w:r w:rsidR="005C1606" w:rsidRPr="003C670A">
        <w:rPr>
          <w:szCs w:val="22"/>
        </w:rPr>
        <w:t>means that some clients pay large amounts of money in Asset Management Fee</w:t>
      </w:r>
      <w:r w:rsidR="00880AF4" w:rsidRPr="003C670A">
        <w:rPr>
          <w:szCs w:val="22"/>
        </w:rPr>
        <w:t xml:space="preserve">s for </w:t>
      </w:r>
      <w:r w:rsidR="00916EAB" w:rsidRPr="003C670A">
        <w:rPr>
          <w:szCs w:val="22"/>
        </w:rPr>
        <w:t>ver</w:t>
      </w:r>
      <w:r w:rsidR="00FB656D" w:rsidRPr="003C670A">
        <w:rPr>
          <w:szCs w:val="22"/>
        </w:rPr>
        <w:t>y little work. This is also inconsistent with</w:t>
      </w:r>
      <w:r w:rsidR="00BA5922" w:rsidRPr="003C670A">
        <w:rPr>
          <w:szCs w:val="22"/>
        </w:rPr>
        <w:t xml:space="preserve"> the</w:t>
      </w:r>
      <w:r w:rsidR="003659B1" w:rsidRPr="003C670A">
        <w:rPr>
          <w:szCs w:val="22"/>
        </w:rPr>
        <w:t xml:space="preserve"> Personal Financial Administration Fees which vary </w:t>
      </w:r>
      <w:r w:rsidR="00F164FA" w:rsidRPr="003C670A">
        <w:rPr>
          <w:szCs w:val="22"/>
        </w:rPr>
        <w:t>depending upon</w:t>
      </w:r>
      <w:r w:rsidR="00CE0DE7" w:rsidRPr="003C670A">
        <w:rPr>
          <w:szCs w:val="22"/>
        </w:rPr>
        <w:t xml:space="preserve"> how much contact</w:t>
      </w:r>
      <w:r w:rsidR="00E105C2" w:rsidRPr="003C670A">
        <w:rPr>
          <w:szCs w:val="22"/>
        </w:rPr>
        <w:t xml:space="preserve"> the client has </w:t>
      </w:r>
      <w:r w:rsidR="002372E7" w:rsidRPr="003C670A">
        <w:rPr>
          <w:szCs w:val="22"/>
        </w:rPr>
        <w:t>with the Public Trustee</w:t>
      </w:r>
      <w:r w:rsidR="00496A02" w:rsidRPr="003C670A">
        <w:rPr>
          <w:szCs w:val="22"/>
        </w:rPr>
        <w:t xml:space="preserve"> officer</w:t>
      </w:r>
      <w:r w:rsidR="002372E7" w:rsidRPr="003C670A">
        <w:rPr>
          <w:szCs w:val="22"/>
        </w:rPr>
        <w:t xml:space="preserve"> (and therefore how much work is required of them).</w:t>
      </w:r>
      <w:r w:rsidR="00CA36BC" w:rsidRPr="003C670A">
        <w:rPr>
          <w:szCs w:val="22"/>
        </w:rPr>
        <w:t xml:space="preserve"> </w:t>
      </w:r>
      <w:r w:rsidR="006F22C2" w:rsidRPr="003C670A">
        <w:rPr>
          <w:szCs w:val="22"/>
        </w:rPr>
        <w:t>Whilst the latter appears to try and reflect the ‘fee for service’ model, the</w:t>
      </w:r>
      <w:r w:rsidR="00FB7978" w:rsidRPr="003C670A">
        <w:rPr>
          <w:szCs w:val="22"/>
        </w:rPr>
        <w:t xml:space="preserve"> extent to which the fees vary on th</w:t>
      </w:r>
      <w:r w:rsidR="001B650B" w:rsidRPr="003C670A">
        <w:rPr>
          <w:szCs w:val="22"/>
        </w:rPr>
        <w:t>e</w:t>
      </w:r>
      <w:r w:rsidR="00FB7978" w:rsidRPr="003C670A">
        <w:rPr>
          <w:szCs w:val="22"/>
        </w:rPr>
        <w:t xml:space="preserve"> </w:t>
      </w:r>
      <w:r w:rsidR="00482C03" w:rsidRPr="003C670A">
        <w:rPr>
          <w:szCs w:val="22"/>
        </w:rPr>
        <w:t>six-point</w:t>
      </w:r>
      <w:r w:rsidR="00FB7978" w:rsidRPr="003C670A">
        <w:rPr>
          <w:szCs w:val="22"/>
        </w:rPr>
        <w:t xml:space="preserve"> scale</w:t>
      </w:r>
      <w:r w:rsidR="00D23949" w:rsidRPr="003C670A">
        <w:rPr>
          <w:szCs w:val="22"/>
        </w:rPr>
        <w:t xml:space="preserve"> is</w:t>
      </w:r>
      <w:r w:rsidR="00C74F3B" w:rsidRPr="003C670A">
        <w:rPr>
          <w:szCs w:val="22"/>
        </w:rPr>
        <w:t xml:space="preserve"> considerable</w:t>
      </w:r>
      <w:r w:rsidR="00496A02" w:rsidRPr="003C670A">
        <w:rPr>
          <w:szCs w:val="22"/>
        </w:rPr>
        <w:t xml:space="preserve"> and </w:t>
      </w:r>
      <w:r w:rsidR="00EB4C84" w:rsidRPr="003C670A">
        <w:rPr>
          <w:szCs w:val="22"/>
        </w:rPr>
        <w:t xml:space="preserve">the rationale behind the differences appears </w:t>
      </w:r>
      <w:r w:rsidR="00B90266" w:rsidRPr="003C670A">
        <w:rPr>
          <w:szCs w:val="22"/>
        </w:rPr>
        <w:t xml:space="preserve">to be </w:t>
      </w:r>
      <w:r w:rsidR="00EB4C84" w:rsidRPr="003C670A">
        <w:rPr>
          <w:szCs w:val="22"/>
        </w:rPr>
        <w:t>unclear.</w:t>
      </w:r>
    </w:p>
    <w:p w14:paraId="6C598CAF" w14:textId="77777777" w:rsidR="001D786D" w:rsidRPr="00815402" w:rsidRDefault="001D786D" w:rsidP="00815402">
      <w:pPr>
        <w:spacing w:line="276" w:lineRule="auto"/>
        <w:rPr>
          <w:szCs w:val="22"/>
        </w:rPr>
      </w:pPr>
    </w:p>
    <w:p w14:paraId="0C501D98" w14:textId="037E44D4" w:rsidR="00912FBD" w:rsidRPr="005A3C0F" w:rsidRDefault="00710329" w:rsidP="005A3C0F">
      <w:pPr>
        <w:pStyle w:val="ListParagraph"/>
        <w:numPr>
          <w:ilvl w:val="0"/>
          <w:numId w:val="15"/>
        </w:numPr>
        <w:spacing w:line="276" w:lineRule="auto"/>
      </w:pPr>
      <w:r w:rsidRPr="005A3C0F">
        <w:t xml:space="preserve">The inconsistent application of </w:t>
      </w:r>
      <w:r w:rsidR="000A2AC6" w:rsidRPr="005A3C0F">
        <w:t>fee rebates</w:t>
      </w:r>
      <w:r w:rsidR="004C18E0" w:rsidRPr="005A3C0F">
        <w:t xml:space="preserve"> to client accounts and the overall premise of charging fees to clients in positions of financial hardship, to then reimburse them part or all of the fee</w:t>
      </w:r>
      <w:r w:rsidR="002B1916" w:rsidRPr="005A3C0F">
        <w:rPr>
          <w:szCs w:val="22"/>
        </w:rPr>
        <w:t>,</w:t>
      </w:r>
      <w:r w:rsidR="004C18E0" w:rsidRPr="005A3C0F">
        <w:t xml:space="preserve"> is confusing</w:t>
      </w:r>
      <w:r w:rsidR="002B1916" w:rsidRPr="005A3C0F">
        <w:t xml:space="preserve"> and difficult to follow</w:t>
      </w:r>
      <w:r w:rsidR="006C0F25" w:rsidRPr="005A3C0F">
        <w:t xml:space="preserve">. This is </w:t>
      </w:r>
      <w:r w:rsidR="00A35B01" w:rsidRPr="005A3C0F">
        <w:t>particularly problematic given that</w:t>
      </w:r>
      <w:r w:rsidR="007564C6" w:rsidRPr="005A3C0F">
        <w:t xml:space="preserve"> the very</w:t>
      </w:r>
      <w:r w:rsidR="00AE4BB6" w:rsidRPr="005A3C0F">
        <w:t xml:space="preserve"> client cohort</w:t>
      </w:r>
      <w:r w:rsidR="006C7278" w:rsidRPr="005A3C0F">
        <w:t xml:space="preserve"> to which these rebates are often granted are likely to require support </w:t>
      </w:r>
      <w:r w:rsidR="00406C69" w:rsidRPr="005A3C0F">
        <w:t>to</w:t>
      </w:r>
      <w:r w:rsidR="006C7278" w:rsidRPr="005A3C0F">
        <w:t xml:space="preserve"> understand </w:t>
      </w:r>
      <w:r w:rsidR="007A2A31" w:rsidRPr="005A3C0F">
        <w:t>the fees and charges regime</w:t>
      </w:r>
      <w:r w:rsidR="00374039" w:rsidRPr="005A3C0F">
        <w:rPr>
          <w:szCs w:val="22"/>
        </w:rPr>
        <w:t>.</w:t>
      </w:r>
      <w:r w:rsidR="00017F5A" w:rsidRPr="005A3C0F">
        <w:t xml:space="preserve"> Further, </w:t>
      </w:r>
      <w:r w:rsidR="003D1CD3" w:rsidRPr="005A3C0F">
        <w:t xml:space="preserve">the </w:t>
      </w:r>
      <w:r w:rsidR="009F5F3A" w:rsidRPr="005A3C0F">
        <w:t xml:space="preserve">considerable amount of expenditure on the Public Trustee’s Community Service Obligations (i.e. </w:t>
      </w:r>
      <w:r w:rsidR="006F094E" w:rsidRPr="005A3C0F">
        <w:t>fee rebates)</w:t>
      </w:r>
      <w:r w:rsidR="007D2083" w:rsidRPr="005A3C0F">
        <w:t xml:space="preserve"> suggests that a large number of clients experience financial hardship and therefore quali</w:t>
      </w:r>
      <w:r w:rsidR="00945868" w:rsidRPr="005A3C0F">
        <w:t>fy for some kind of fee relief.</w:t>
      </w:r>
      <w:r w:rsidR="006527FA" w:rsidRPr="00815402">
        <w:rPr>
          <w:rStyle w:val="FootnoteReference"/>
          <w:rFonts w:cstheme="minorBidi"/>
        </w:rPr>
        <w:footnoteReference w:id="8"/>
      </w:r>
      <w:r w:rsidR="00945868" w:rsidRPr="005A3C0F">
        <w:t xml:space="preserve"> To impose</w:t>
      </w:r>
      <w:r w:rsidR="00507558" w:rsidRPr="005A3C0F">
        <w:rPr>
          <w:szCs w:val="22"/>
        </w:rPr>
        <w:t xml:space="preserve"> </w:t>
      </w:r>
      <w:r w:rsidR="004E246B" w:rsidRPr="005A3C0F">
        <w:t xml:space="preserve">fees that are </w:t>
      </w:r>
      <w:r w:rsidR="00A02DF6" w:rsidRPr="005A3C0F">
        <w:t>almost inevitably going to be rebated appears</w:t>
      </w:r>
      <w:r w:rsidR="002902D2" w:rsidRPr="005A3C0F">
        <w:t xml:space="preserve"> to be redundant</w:t>
      </w:r>
      <w:r w:rsidR="008F3B79" w:rsidRPr="005A3C0F">
        <w:t xml:space="preserve">, and </w:t>
      </w:r>
      <w:r w:rsidR="00076A9B" w:rsidRPr="005A3C0F">
        <w:t xml:space="preserve">is </w:t>
      </w:r>
      <w:r w:rsidR="008F3B79" w:rsidRPr="005A3C0F">
        <w:t>a source of great confusion.</w:t>
      </w:r>
      <w:r w:rsidR="00217BD0" w:rsidRPr="005A3C0F">
        <w:rPr>
          <w:szCs w:val="22"/>
        </w:rPr>
        <w:t xml:space="preserve"> </w:t>
      </w:r>
    </w:p>
    <w:p w14:paraId="57950E3D" w14:textId="77777777" w:rsidR="00912FBD" w:rsidRPr="00815402" w:rsidRDefault="00912FBD" w:rsidP="00815402">
      <w:pPr>
        <w:spacing w:line="276" w:lineRule="auto"/>
        <w:rPr>
          <w:szCs w:val="22"/>
        </w:rPr>
      </w:pPr>
    </w:p>
    <w:p w14:paraId="3833625F" w14:textId="1DCED1D0" w:rsidR="00420127" w:rsidRPr="008E7C89" w:rsidRDefault="009A6BFE" w:rsidP="008E7C89">
      <w:pPr>
        <w:pStyle w:val="ListParagraph"/>
        <w:numPr>
          <w:ilvl w:val="0"/>
          <w:numId w:val="15"/>
        </w:numPr>
        <w:spacing w:line="276" w:lineRule="auto"/>
        <w:rPr>
          <w:szCs w:val="22"/>
        </w:rPr>
      </w:pPr>
      <w:r w:rsidRPr="008E7C89">
        <w:rPr>
          <w:szCs w:val="22"/>
        </w:rPr>
        <w:t xml:space="preserve">The application of inequitable fees and charges alongside practices </w:t>
      </w:r>
      <w:r w:rsidR="00E83501">
        <w:rPr>
          <w:szCs w:val="22"/>
        </w:rPr>
        <w:t xml:space="preserve">of Public Trustee staff </w:t>
      </w:r>
      <w:r w:rsidRPr="008E7C89">
        <w:rPr>
          <w:szCs w:val="22"/>
        </w:rPr>
        <w:t xml:space="preserve">that drastically limit the amount of money administration clients are provided to live off as their primary source of income. The amount of money is often less that what a person would receive on a pension and is rarely sufficient to meet all of a person’s most basic needs. This is illustrated in the case studies below. </w:t>
      </w:r>
    </w:p>
    <w:p w14:paraId="6B946D56" w14:textId="77777777" w:rsidR="00420127" w:rsidRPr="00815402" w:rsidRDefault="00420127" w:rsidP="00815402">
      <w:pPr>
        <w:spacing w:line="276" w:lineRule="auto"/>
        <w:rPr>
          <w:szCs w:val="22"/>
        </w:rPr>
      </w:pPr>
    </w:p>
    <w:p w14:paraId="2A42100C" w14:textId="331E303D" w:rsidR="00DD24D7" w:rsidRPr="000F242F" w:rsidRDefault="008C3E3E" w:rsidP="000F242F">
      <w:pPr>
        <w:pStyle w:val="ListParagraph"/>
        <w:numPr>
          <w:ilvl w:val="0"/>
          <w:numId w:val="15"/>
        </w:numPr>
        <w:spacing w:line="276" w:lineRule="auto"/>
        <w:rPr>
          <w:szCs w:val="22"/>
        </w:rPr>
      </w:pPr>
      <w:r w:rsidRPr="000F242F">
        <w:rPr>
          <w:szCs w:val="22"/>
        </w:rPr>
        <w:t xml:space="preserve">Whilst the existence of the </w:t>
      </w:r>
      <w:r w:rsidR="00DF6D82" w:rsidRPr="000F242F">
        <w:rPr>
          <w:szCs w:val="22"/>
        </w:rPr>
        <w:t>fee reba</w:t>
      </w:r>
      <w:r w:rsidR="0034501B" w:rsidRPr="000F242F">
        <w:rPr>
          <w:szCs w:val="22"/>
        </w:rPr>
        <w:t>te scheme and the Public Trustee’s willingness to perform</w:t>
      </w:r>
      <w:r w:rsidR="00C31979" w:rsidRPr="000F242F">
        <w:rPr>
          <w:szCs w:val="22"/>
        </w:rPr>
        <w:t xml:space="preserve"> Community Service Obligations is commendable, </w:t>
      </w:r>
      <w:r w:rsidR="00E30704" w:rsidRPr="000F242F">
        <w:rPr>
          <w:szCs w:val="22"/>
        </w:rPr>
        <w:t xml:space="preserve">the application of the scheme in practice </w:t>
      </w:r>
      <w:r w:rsidR="00A27C47" w:rsidRPr="000F242F">
        <w:rPr>
          <w:szCs w:val="22"/>
        </w:rPr>
        <w:t>disadvantages</w:t>
      </w:r>
      <w:r w:rsidR="0089371D" w:rsidRPr="000F242F">
        <w:rPr>
          <w:szCs w:val="22"/>
        </w:rPr>
        <w:t xml:space="preserve"> administration clients of moderate means and income, </w:t>
      </w:r>
      <w:r w:rsidR="003448E2" w:rsidRPr="000F242F">
        <w:rPr>
          <w:szCs w:val="22"/>
        </w:rPr>
        <w:t>perversely p</w:t>
      </w:r>
      <w:r w:rsidR="003879BD" w:rsidRPr="000F242F">
        <w:rPr>
          <w:szCs w:val="22"/>
        </w:rPr>
        <w:t>lacing them under additional financial stress</w:t>
      </w:r>
      <w:r w:rsidR="00D36347" w:rsidRPr="000F242F">
        <w:rPr>
          <w:szCs w:val="22"/>
        </w:rPr>
        <w:t xml:space="preserve"> and p</w:t>
      </w:r>
      <w:r w:rsidR="007B07AC" w:rsidRPr="000F242F">
        <w:rPr>
          <w:szCs w:val="22"/>
        </w:rPr>
        <w:t>lacing</w:t>
      </w:r>
      <w:r w:rsidR="00D36347" w:rsidRPr="000F242F">
        <w:rPr>
          <w:szCs w:val="22"/>
        </w:rPr>
        <w:t xml:space="preserve"> in jeopardy their ability to maintain owning their own home.</w:t>
      </w:r>
      <w:r w:rsidR="0019680C" w:rsidRPr="00815402">
        <w:rPr>
          <w:rStyle w:val="FootnoteReference"/>
          <w:rFonts w:cstheme="minorBidi"/>
          <w:szCs w:val="22"/>
        </w:rPr>
        <w:footnoteReference w:id="9"/>
      </w:r>
      <w:r w:rsidR="005F2556" w:rsidRPr="000F242F">
        <w:rPr>
          <w:szCs w:val="22"/>
        </w:rPr>
        <w:t xml:space="preserve"> This is because the fee rebate</w:t>
      </w:r>
      <w:r w:rsidR="00E80A0F" w:rsidRPr="000F242F">
        <w:rPr>
          <w:szCs w:val="22"/>
        </w:rPr>
        <w:t xml:space="preserve"> only applies once the client</w:t>
      </w:r>
      <w:r w:rsidR="00775ACD" w:rsidRPr="000F242F">
        <w:rPr>
          <w:szCs w:val="22"/>
        </w:rPr>
        <w:t>’</w:t>
      </w:r>
      <w:r w:rsidR="00E80A0F" w:rsidRPr="000F242F">
        <w:rPr>
          <w:szCs w:val="22"/>
        </w:rPr>
        <w:t xml:space="preserve">s assets have reached under $5,000, </w:t>
      </w:r>
      <w:r w:rsidR="00CF7270" w:rsidRPr="000F242F">
        <w:rPr>
          <w:szCs w:val="22"/>
        </w:rPr>
        <w:t xml:space="preserve">having been steadily depleted by large </w:t>
      </w:r>
      <w:r w:rsidR="006F4C0F" w:rsidRPr="000F242F">
        <w:rPr>
          <w:szCs w:val="22"/>
        </w:rPr>
        <w:t>P</w:t>
      </w:r>
      <w:r w:rsidR="003F4D4C" w:rsidRPr="000F242F">
        <w:rPr>
          <w:szCs w:val="22"/>
        </w:rPr>
        <w:t>ersonal</w:t>
      </w:r>
      <w:r w:rsidR="00EA0EB6" w:rsidRPr="000F242F">
        <w:rPr>
          <w:szCs w:val="22"/>
        </w:rPr>
        <w:t xml:space="preserve"> </w:t>
      </w:r>
      <w:r w:rsidR="006F4C0F" w:rsidRPr="000F242F">
        <w:rPr>
          <w:szCs w:val="22"/>
        </w:rPr>
        <w:t>F</w:t>
      </w:r>
      <w:r w:rsidR="00EA0EB6" w:rsidRPr="000F242F">
        <w:rPr>
          <w:szCs w:val="22"/>
        </w:rPr>
        <w:t xml:space="preserve">inancial </w:t>
      </w:r>
      <w:r w:rsidR="006F4C0F" w:rsidRPr="000F242F">
        <w:rPr>
          <w:szCs w:val="22"/>
        </w:rPr>
        <w:t>A</w:t>
      </w:r>
      <w:r w:rsidR="00EA0EB6" w:rsidRPr="000F242F">
        <w:rPr>
          <w:szCs w:val="22"/>
        </w:rPr>
        <w:t xml:space="preserve">dministration </w:t>
      </w:r>
      <w:r w:rsidR="006F4C0F" w:rsidRPr="000F242F">
        <w:rPr>
          <w:szCs w:val="22"/>
        </w:rPr>
        <w:t>F</w:t>
      </w:r>
      <w:r w:rsidR="00EA0EB6" w:rsidRPr="000F242F">
        <w:rPr>
          <w:szCs w:val="22"/>
        </w:rPr>
        <w:t xml:space="preserve">ees and/or </w:t>
      </w:r>
      <w:r w:rsidR="006F4C0F" w:rsidRPr="000F242F">
        <w:rPr>
          <w:szCs w:val="22"/>
        </w:rPr>
        <w:t>A</w:t>
      </w:r>
      <w:r w:rsidR="00EA0EB6" w:rsidRPr="000F242F">
        <w:rPr>
          <w:szCs w:val="22"/>
        </w:rPr>
        <w:t xml:space="preserve">sset </w:t>
      </w:r>
      <w:r w:rsidR="006F4C0F" w:rsidRPr="000F242F">
        <w:rPr>
          <w:szCs w:val="22"/>
        </w:rPr>
        <w:t>M</w:t>
      </w:r>
      <w:r w:rsidR="00EA0EB6" w:rsidRPr="000F242F">
        <w:rPr>
          <w:szCs w:val="22"/>
        </w:rPr>
        <w:t xml:space="preserve">anagement </w:t>
      </w:r>
      <w:r w:rsidR="006F4C0F" w:rsidRPr="000F242F">
        <w:rPr>
          <w:szCs w:val="22"/>
        </w:rPr>
        <w:t>F</w:t>
      </w:r>
      <w:r w:rsidR="00EA0EB6" w:rsidRPr="000F242F">
        <w:rPr>
          <w:szCs w:val="22"/>
        </w:rPr>
        <w:t>ees. By</w:t>
      </w:r>
      <w:r w:rsidR="001C5EED" w:rsidRPr="000F242F">
        <w:rPr>
          <w:szCs w:val="22"/>
        </w:rPr>
        <w:t xml:space="preserve"> this</w:t>
      </w:r>
      <w:r w:rsidR="00E80A0F" w:rsidRPr="000F242F">
        <w:rPr>
          <w:szCs w:val="22"/>
        </w:rPr>
        <w:t xml:space="preserve"> time, the individual</w:t>
      </w:r>
      <w:r w:rsidR="001C5EED" w:rsidRPr="000F242F">
        <w:rPr>
          <w:szCs w:val="22"/>
        </w:rPr>
        <w:t xml:space="preserve"> who is</w:t>
      </w:r>
      <w:r w:rsidR="00251DE8" w:rsidRPr="000F242F">
        <w:rPr>
          <w:szCs w:val="22"/>
        </w:rPr>
        <w:t xml:space="preserve"> likely to be receiving </w:t>
      </w:r>
      <w:r w:rsidR="00096B04" w:rsidRPr="000F242F">
        <w:rPr>
          <w:szCs w:val="22"/>
        </w:rPr>
        <w:t xml:space="preserve">a pension as their primary source of income, is </w:t>
      </w:r>
      <w:r w:rsidR="00210CF8" w:rsidRPr="000F242F">
        <w:rPr>
          <w:szCs w:val="22"/>
        </w:rPr>
        <w:t>unlikely to be able to afford</w:t>
      </w:r>
      <w:r w:rsidR="00644D7B" w:rsidRPr="000F242F">
        <w:rPr>
          <w:szCs w:val="22"/>
        </w:rPr>
        <w:t xml:space="preserve"> the upkeep involved in maintaining a property. In other words, the financial relief is too late</w:t>
      </w:r>
      <w:r w:rsidR="00A35A2F" w:rsidRPr="000F242F">
        <w:rPr>
          <w:szCs w:val="22"/>
        </w:rPr>
        <w:t xml:space="preserve"> and many clients in this situation end up having to then sell their own home.</w:t>
      </w:r>
      <w:r w:rsidR="00E27063" w:rsidRPr="00815402">
        <w:rPr>
          <w:rStyle w:val="FootnoteReference"/>
          <w:rFonts w:cstheme="minorBidi"/>
          <w:szCs w:val="22"/>
        </w:rPr>
        <w:footnoteReference w:id="10"/>
      </w:r>
    </w:p>
    <w:p w14:paraId="3DDEDFF2" w14:textId="77777777" w:rsidR="00DD24D7" w:rsidRPr="00815402" w:rsidRDefault="00DD24D7" w:rsidP="00815402">
      <w:pPr>
        <w:spacing w:line="276" w:lineRule="auto"/>
        <w:rPr>
          <w:szCs w:val="22"/>
        </w:rPr>
      </w:pPr>
    </w:p>
    <w:p w14:paraId="02BCB113" w14:textId="62C325E4" w:rsidR="007427AE" w:rsidRPr="0047515C" w:rsidRDefault="002E2D75" w:rsidP="0047515C">
      <w:pPr>
        <w:pStyle w:val="ListParagraph"/>
        <w:numPr>
          <w:ilvl w:val="0"/>
          <w:numId w:val="15"/>
        </w:numPr>
        <w:spacing w:line="276" w:lineRule="auto"/>
        <w:rPr>
          <w:szCs w:val="22"/>
        </w:rPr>
      </w:pPr>
      <w:r w:rsidRPr="0047515C">
        <w:rPr>
          <w:szCs w:val="22"/>
        </w:rPr>
        <w:t>QAI notes the Public Advocate’s analysis of the fee rebate scheme</w:t>
      </w:r>
      <w:r w:rsidR="00681984" w:rsidRPr="0047515C">
        <w:rPr>
          <w:szCs w:val="22"/>
        </w:rPr>
        <w:t xml:space="preserve">, including the inequity between </w:t>
      </w:r>
      <w:r w:rsidR="00800DCF" w:rsidRPr="0047515C">
        <w:rPr>
          <w:szCs w:val="22"/>
        </w:rPr>
        <w:t xml:space="preserve">Queensland and other </w:t>
      </w:r>
      <w:r w:rsidR="001020A3" w:rsidRPr="0047515C">
        <w:rPr>
          <w:szCs w:val="22"/>
        </w:rPr>
        <w:t>Australian</w:t>
      </w:r>
      <w:r w:rsidR="00800DCF" w:rsidRPr="0047515C">
        <w:rPr>
          <w:szCs w:val="22"/>
        </w:rPr>
        <w:t xml:space="preserve"> </w:t>
      </w:r>
      <w:r w:rsidR="0032171D" w:rsidRPr="0047515C">
        <w:rPr>
          <w:szCs w:val="22"/>
        </w:rPr>
        <w:t>jurisdictions</w:t>
      </w:r>
      <w:r w:rsidR="00942EE3" w:rsidRPr="0047515C">
        <w:rPr>
          <w:szCs w:val="22"/>
        </w:rPr>
        <w:t>, whose State and Public Trustee</w:t>
      </w:r>
      <w:r w:rsidR="00370D23" w:rsidRPr="0047515C">
        <w:rPr>
          <w:szCs w:val="22"/>
        </w:rPr>
        <w:t>s all receive some form of government funding for their</w:t>
      </w:r>
      <w:r w:rsidR="0032171D" w:rsidRPr="0047515C">
        <w:rPr>
          <w:szCs w:val="22"/>
        </w:rPr>
        <w:t xml:space="preserve"> Community Service Obligations.</w:t>
      </w:r>
      <w:r w:rsidR="0032171D" w:rsidRPr="00815402">
        <w:rPr>
          <w:rStyle w:val="FootnoteReference"/>
          <w:rFonts w:cstheme="minorBidi"/>
          <w:szCs w:val="22"/>
        </w:rPr>
        <w:footnoteReference w:id="11"/>
      </w:r>
      <w:r w:rsidR="00BC2811" w:rsidRPr="0047515C">
        <w:rPr>
          <w:szCs w:val="22"/>
        </w:rPr>
        <w:t xml:space="preserve"> Th</w:t>
      </w:r>
      <w:r w:rsidR="00385FAA" w:rsidRPr="0047515C">
        <w:rPr>
          <w:szCs w:val="22"/>
        </w:rPr>
        <w:t>is inequity and the</w:t>
      </w:r>
      <w:r w:rsidR="00740E88" w:rsidRPr="0047515C">
        <w:rPr>
          <w:szCs w:val="22"/>
        </w:rPr>
        <w:t xml:space="preserve"> Public Trustee’s</w:t>
      </w:r>
      <w:r w:rsidR="00385FAA" w:rsidRPr="0047515C">
        <w:rPr>
          <w:szCs w:val="22"/>
        </w:rPr>
        <w:t xml:space="preserve"> subsequent lack of</w:t>
      </w:r>
      <w:r w:rsidR="00B31937" w:rsidRPr="0047515C">
        <w:rPr>
          <w:szCs w:val="22"/>
        </w:rPr>
        <w:t xml:space="preserve"> additional</w:t>
      </w:r>
      <w:r w:rsidR="00385FAA" w:rsidRPr="0047515C">
        <w:rPr>
          <w:szCs w:val="22"/>
        </w:rPr>
        <w:t xml:space="preserve"> incom</w:t>
      </w:r>
      <w:r w:rsidR="00580181" w:rsidRPr="0047515C">
        <w:rPr>
          <w:szCs w:val="22"/>
        </w:rPr>
        <w:t xml:space="preserve">e is likely to be influencing </w:t>
      </w:r>
      <w:r w:rsidR="0027659D" w:rsidRPr="0047515C">
        <w:rPr>
          <w:szCs w:val="22"/>
        </w:rPr>
        <w:t xml:space="preserve">the </w:t>
      </w:r>
      <w:r w:rsidR="00580181" w:rsidRPr="0047515C">
        <w:rPr>
          <w:szCs w:val="22"/>
        </w:rPr>
        <w:t>fees and charges that are</w:t>
      </w:r>
      <w:r w:rsidR="000D2702" w:rsidRPr="0047515C">
        <w:rPr>
          <w:szCs w:val="22"/>
        </w:rPr>
        <w:t xml:space="preserve"> disproportionately and punitively </w:t>
      </w:r>
      <w:r w:rsidR="00AF29BD" w:rsidRPr="0047515C">
        <w:rPr>
          <w:szCs w:val="22"/>
        </w:rPr>
        <w:t xml:space="preserve">being </w:t>
      </w:r>
      <w:r w:rsidR="000D2702" w:rsidRPr="0047515C">
        <w:rPr>
          <w:szCs w:val="22"/>
        </w:rPr>
        <w:t>applied to vulnerable</w:t>
      </w:r>
      <w:r w:rsidR="0027659D" w:rsidRPr="0047515C">
        <w:rPr>
          <w:szCs w:val="22"/>
        </w:rPr>
        <w:t xml:space="preserve"> people with disability. </w:t>
      </w:r>
      <w:r w:rsidR="00AF29BD" w:rsidRPr="0047515C">
        <w:rPr>
          <w:szCs w:val="22"/>
        </w:rPr>
        <w:t>QAI supports recommendations for the Queensland government to review its financial</w:t>
      </w:r>
      <w:r w:rsidR="00F03DF6" w:rsidRPr="0047515C">
        <w:rPr>
          <w:szCs w:val="22"/>
        </w:rPr>
        <w:t xml:space="preserve"> responsibilities </w:t>
      </w:r>
      <w:r w:rsidR="00083367" w:rsidRPr="0047515C">
        <w:rPr>
          <w:szCs w:val="22"/>
        </w:rPr>
        <w:t>towards supporting people deemed to have impaired decision-making capacity</w:t>
      </w:r>
      <w:r w:rsidR="00A13008" w:rsidRPr="0047515C">
        <w:rPr>
          <w:szCs w:val="22"/>
        </w:rPr>
        <w:t xml:space="preserve"> through subsid</w:t>
      </w:r>
      <w:r w:rsidR="00235220" w:rsidRPr="0047515C">
        <w:rPr>
          <w:szCs w:val="22"/>
        </w:rPr>
        <w:t xml:space="preserve">ising </w:t>
      </w:r>
      <w:r w:rsidR="00AD67B5" w:rsidRPr="0047515C">
        <w:rPr>
          <w:szCs w:val="22"/>
        </w:rPr>
        <w:t xml:space="preserve">the Public Trustee’s </w:t>
      </w:r>
      <w:r w:rsidR="00353FD1" w:rsidRPr="0047515C">
        <w:rPr>
          <w:szCs w:val="22"/>
        </w:rPr>
        <w:t>Community Service Obligations.</w:t>
      </w:r>
    </w:p>
    <w:p w14:paraId="339553CD" w14:textId="77777777" w:rsidR="007427AE" w:rsidRPr="00815402" w:rsidRDefault="007427AE" w:rsidP="00815402">
      <w:pPr>
        <w:spacing w:line="276" w:lineRule="auto"/>
        <w:rPr>
          <w:szCs w:val="22"/>
        </w:rPr>
      </w:pPr>
    </w:p>
    <w:p w14:paraId="331C7DE7" w14:textId="04C0E348" w:rsidR="00272E0B" w:rsidRPr="00835CB1" w:rsidRDefault="00B5295D" w:rsidP="00835CB1">
      <w:pPr>
        <w:pStyle w:val="ListParagraph"/>
        <w:numPr>
          <w:ilvl w:val="0"/>
          <w:numId w:val="15"/>
        </w:numPr>
        <w:spacing w:line="276" w:lineRule="auto"/>
      </w:pPr>
      <w:r w:rsidRPr="00835CB1">
        <w:t xml:space="preserve">A review of </w:t>
      </w:r>
      <w:r w:rsidR="0044230E" w:rsidRPr="00835CB1">
        <w:t xml:space="preserve">the Public Trustee’s </w:t>
      </w:r>
      <w:r w:rsidRPr="00835CB1">
        <w:t>fees and charges</w:t>
      </w:r>
      <w:r w:rsidR="0044230E" w:rsidRPr="00835CB1">
        <w:rPr>
          <w:szCs w:val="22"/>
        </w:rPr>
        <w:t xml:space="preserve"> </w:t>
      </w:r>
      <w:r w:rsidR="007427AE" w:rsidRPr="00835CB1">
        <w:t xml:space="preserve">will </w:t>
      </w:r>
      <w:r w:rsidR="0044230E" w:rsidRPr="00835CB1">
        <w:t xml:space="preserve">not be complete without </w:t>
      </w:r>
      <w:r w:rsidR="00FF6A75" w:rsidRPr="00835CB1">
        <w:t>review</w:t>
      </w:r>
      <w:r w:rsidR="00077C37" w:rsidRPr="00835CB1">
        <w:t>ing</w:t>
      </w:r>
      <w:r w:rsidR="00FF6A75" w:rsidRPr="00835CB1">
        <w:t xml:space="preserve"> the e</w:t>
      </w:r>
      <w:r w:rsidR="00D839C8" w:rsidRPr="00835CB1">
        <w:t>xtent to which</w:t>
      </w:r>
      <w:r w:rsidR="000D6D0F" w:rsidRPr="00835CB1">
        <w:t xml:space="preserve"> the Public Trustee </w:t>
      </w:r>
      <w:r w:rsidR="00DA1937" w:rsidRPr="00835CB1">
        <w:t>financially</w:t>
      </w:r>
      <w:r w:rsidR="000D6D0F" w:rsidRPr="00835CB1">
        <w:t xml:space="preserve"> profits from the</w:t>
      </w:r>
      <w:r w:rsidR="009D4221" w:rsidRPr="00835CB1">
        <w:rPr>
          <w:szCs w:val="22"/>
        </w:rPr>
        <w:t xml:space="preserve"> </w:t>
      </w:r>
      <w:r w:rsidR="007A57B1" w:rsidRPr="00835CB1">
        <w:t xml:space="preserve">management of </w:t>
      </w:r>
      <w:r w:rsidR="000D1A54" w:rsidRPr="00835CB1">
        <w:t xml:space="preserve">its client’s </w:t>
      </w:r>
      <w:r w:rsidR="00215525" w:rsidRPr="00835CB1">
        <w:t xml:space="preserve">financial </w:t>
      </w:r>
      <w:r w:rsidR="000D1A54" w:rsidRPr="00835CB1">
        <w:t>affairs</w:t>
      </w:r>
      <w:r w:rsidR="00D02EB4" w:rsidRPr="00835CB1">
        <w:t xml:space="preserve"> and</w:t>
      </w:r>
      <w:r w:rsidR="00E20AAD" w:rsidRPr="00835CB1">
        <w:t xml:space="preserve"> the </w:t>
      </w:r>
      <w:r w:rsidR="00B83DB0" w:rsidRPr="00835CB1">
        <w:t xml:space="preserve">way in which revenue from </w:t>
      </w:r>
      <w:r w:rsidR="00D02EB4" w:rsidRPr="00835CB1">
        <w:t xml:space="preserve">client </w:t>
      </w:r>
      <w:r w:rsidR="00B83DB0" w:rsidRPr="00835CB1">
        <w:t xml:space="preserve">fees and charges </w:t>
      </w:r>
      <w:r w:rsidR="00404410" w:rsidRPr="6FCC95C8">
        <w:t>is</w:t>
      </w:r>
      <w:r w:rsidR="00B83DB0" w:rsidRPr="00835CB1">
        <w:t xml:space="preserve"> increasingly </w:t>
      </w:r>
      <w:r w:rsidR="00136E6E" w:rsidRPr="00835CB1">
        <w:t xml:space="preserve">being </w:t>
      </w:r>
      <w:r w:rsidR="00B83DB0" w:rsidRPr="00835CB1">
        <w:t>used</w:t>
      </w:r>
      <w:r w:rsidR="00D02EB4" w:rsidRPr="00835CB1">
        <w:rPr>
          <w:szCs w:val="22"/>
        </w:rPr>
        <w:t>.</w:t>
      </w:r>
      <w:r w:rsidR="008B06F3" w:rsidRPr="00835CB1">
        <w:rPr>
          <w:szCs w:val="22"/>
        </w:rPr>
        <w:t xml:space="preserve"> </w:t>
      </w:r>
      <w:r w:rsidR="00CA73C1" w:rsidRPr="00835CB1">
        <w:t>I</w:t>
      </w:r>
      <w:r w:rsidR="008D0D40" w:rsidRPr="00835CB1">
        <w:t xml:space="preserve">n 2019-20, </w:t>
      </w:r>
      <w:r w:rsidR="003572F3" w:rsidRPr="00835CB1">
        <w:t xml:space="preserve">the Public Trustee </w:t>
      </w:r>
      <w:r w:rsidR="004B7FD2" w:rsidRPr="00835CB1">
        <w:t xml:space="preserve">kept $12.9 million in interest earnings from the cash assets of </w:t>
      </w:r>
      <w:r w:rsidR="009F5142" w:rsidRPr="00835CB1">
        <w:t xml:space="preserve">its </w:t>
      </w:r>
      <w:r w:rsidR="004B7FD2" w:rsidRPr="00835CB1">
        <w:t>clients.</w:t>
      </w:r>
      <w:r w:rsidR="00CA73C1" w:rsidRPr="00815402">
        <w:rPr>
          <w:rStyle w:val="FootnoteReference"/>
          <w:rFonts w:cstheme="minorBidi"/>
        </w:rPr>
        <w:footnoteReference w:id="12"/>
      </w:r>
      <w:r w:rsidR="00D75B1A" w:rsidRPr="00835CB1">
        <w:rPr>
          <w:szCs w:val="22"/>
        </w:rPr>
        <w:t xml:space="preserve"> </w:t>
      </w:r>
      <w:r w:rsidR="00FB7B3E" w:rsidRPr="00835CB1">
        <w:t>Further, the Public Advocate found that “the effect of the Public Trustee’s system of fees and rebates is that some clients who are able to pay fees subsidise a range of services and activities provided to others. Ultimately, this raises questions about whether the Public Trustee is acting in the interests of its administration clients and fulfilling its duties and obligations as a fiduciary.”</w:t>
      </w:r>
      <w:r w:rsidR="00FB7B3E" w:rsidRPr="00815402">
        <w:rPr>
          <w:rStyle w:val="FootnoteReference"/>
          <w:rFonts w:cstheme="minorBidi"/>
        </w:rPr>
        <w:footnoteReference w:id="13"/>
      </w:r>
      <w:r w:rsidR="00FB7B3E" w:rsidRPr="00835CB1">
        <w:rPr>
          <w:szCs w:val="22"/>
        </w:rPr>
        <w:t xml:space="preserve"> </w:t>
      </w:r>
      <w:r w:rsidR="00B32D72" w:rsidRPr="00835CB1">
        <w:t>The scope of the Public Trustee’s review must therefore be broadened to include</w:t>
      </w:r>
      <w:r w:rsidR="00AE77EB" w:rsidRPr="00835CB1">
        <w:t xml:space="preserve"> the financial practices of the Public Trustee, not just the fees and charges applied to its clients.</w:t>
      </w:r>
      <w:r w:rsidR="00101280" w:rsidRPr="00835CB1">
        <w:t xml:space="preserve"> The extent to which the use of revenue from client fees and charges is being used to subsides other client services, </w:t>
      </w:r>
      <w:r w:rsidR="633E26A5" w:rsidRPr="3B81A205">
        <w:t>and the</w:t>
      </w:r>
      <w:r w:rsidR="00101280" w:rsidRPr="00835CB1">
        <w:t xml:space="preserve"> </w:t>
      </w:r>
      <w:r w:rsidR="633E26A5" w:rsidRPr="339380C0">
        <w:t xml:space="preserve">impact on </w:t>
      </w:r>
      <w:r w:rsidR="00101280" w:rsidRPr="00835CB1">
        <w:t xml:space="preserve">the Public Trustee’s </w:t>
      </w:r>
      <w:r w:rsidR="006B72A2" w:rsidRPr="00835CB1">
        <w:t xml:space="preserve">compliance with its </w:t>
      </w:r>
      <w:r w:rsidR="00101280" w:rsidRPr="00835CB1">
        <w:t xml:space="preserve">legal responsibilities as a </w:t>
      </w:r>
      <w:r w:rsidR="008A4205" w:rsidRPr="00835CB1">
        <w:t xml:space="preserve">fiduciary, must be urgently </w:t>
      </w:r>
      <w:r w:rsidR="07B2E3D0" w:rsidRPr="7D14EDE5">
        <w:t>consi</w:t>
      </w:r>
      <w:r w:rsidR="008A4205" w:rsidRPr="7D14EDE5">
        <w:t>d</w:t>
      </w:r>
      <w:r w:rsidR="07B2E3D0" w:rsidRPr="7D14EDE5">
        <w:t>ered</w:t>
      </w:r>
      <w:r w:rsidR="008A4205" w:rsidRPr="7D14EDE5">
        <w:t>.</w:t>
      </w:r>
    </w:p>
    <w:p w14:paraId="66207CC0" w14:textId="77777777" w:rsidR="007B31ED" w:rsidRPr="00815402" w:rsidRDefault="007B31ED" w:rsidP="00815402">
      <w:pPr>
        <w:spacing w:line="276" w:lineRule="auto"/>
        <w:rPr>
          <w:rFonts w:eastAsia="Times New Roman" w:cstheme="minorHAnsi"/>
          <w:szCs w:val="22"/>
          <w:lang w:eastAsia="en-AU"/>
        </w:rPr>
      </w:pPr>
    </w:p>
    <w:p w14:paraId="4923C0A5" w14:textId="5CB9FCB4" w:rsidR="00A55910" w:rsidRPr="00815402" w:rsidRDefault="00BE409C" w:rsidP="00815402">
      <w:pPr>
        <w:spacing w:line="276" w:lineRule="auto"/>
        <w:rPr>
          <w:rFonts w:eastAsia="Times New Roman" w:cstheme="minorHAnsi"/>
          <w:szCs w:val="22"/>
          <w:lang w:eastAsia="en-AU"/>
        </w:rPr>
      </w:pPr>
      <w:r w:rsidRPr="00815402">
        <w:rPr>
          <w:rFonts w:eastAsia="Times New Roman" w:cstheme="minorHAnsi"/>
          <w:szCs w:val="22"/>
          <w:lang w:eastAsia="en-AU"/>
        </w:rPr>
        <w:t>These practices cause considerable distress</w:t>
      </w:r>
      <w:r w:rsidR="00670BA0" w:rsidRPr="00815402">
        <w:rPr>
          <w:rFonts w:eastAsia="Times New Roman" w:cstheme="minorHAnsi"/>
          <w:szCs w:val="22"/>
          <w:lang w:eastAsia="en-AU"/>
        </w:rPr>
        <w:t xml:space="preserve"> for many people with impaired decision-making capacity and their families and in some cases, have resulted in significant financial loss. </w:t>
      </w:r>
      <w:r w:rsidR="004347B0" w:rsidRPr="00815402">
        <w:rPr>
          <w:rFonts w:eastAsia="Times New Roman" w:cstheme="minorHAnsi"/>
          <w:szCs w:val="22"/>
          <w:lang w:eastAsia="en-AU"/>
        </w:rPr>
        <w:t>A number</w:t>
      </w:r>
      <w:r w:rsidR="00C94793" w:rsidRPr="00815402">
        <w:rPr>
          <w:rFonts w:eastAsia="Times New Roman" w:cstheme="minorHAnsi"/>
          <w:szCs w:val="22"/>
          <w:lang w:eastAsia="en-AU"/>
        </w:rPr>
        <w:t xml:space="preserve"> of t</w:t>
      </w:r>
      <w:r w:rsidR="00A55910" w:rsidRPr="00815402">
        <w:rPr>
          <w:rFonts w:eastAsia="Times New Roman" w:cstheme="minorHAnsi"/>
          <w:szCs w:val="22"/>
          <w:lang w:eastAsia="en-AU"/>
        </w:rPr>
        <w:t>hese issues are highlighted in the following case studies:</w:t>
      </w:r>
    </w:p>
    <w:p w14:paraId="08C3E5F0" w14:textId="77777777" w:rsidR="00A55910" w:rsidRDefault="00A55910" w:rsidP="00577579">
      <w:pPr>
        <w:shd w:val="clear" w:color="auto" w:fill="FFFFFF"/>
        <w:tabs>
          <w:tab w:val="clear" w:pos="288"/>
        </w:tabs>
        <w:spacing w:before="134" w:after="134"/>
        <w:jc w:val="left"/>
        <w:rPr>
          <w:rFonts w:eastAsia="Times New Roman" w:cstheme="minorHAnsi"/>
          <w:color w:val="414042"/>
          <w:szCs w:val="22"/>
          <w:lang w:eastAsia="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5"/>
      </w:tblGrid>
      <w:tr w:rsidR="008F65F1" w:rsidRPr="00EB03E4" w14:paraId="3A97A6F3" w14:textId="77777777" w:rsidTr="00A55910">
        <w:tc>
          <w:tcPr>
            <w:tcW w:w="9735" w:type="dxa"/>
            <w:shd w:val="clear" w:color="auto" w:fill="BFBFBF"/>
          </w:tcPr>
          <w:p w14:paraId="3F4683CA" w14:textId="77777777" w:rsidR="00782FC8" w:rsidRPr="00CD2053" w:rsidRDefault="00782FC8" w:rsidP="00782FC8">
            <w:pPr>
              <w:tabs>
                <w:tab w:val="clear" w:pos="288"/>
              </w:tabs>
              <w:textAlignment w:val="baseline"/>
              <w:rPr>
                <w:rFonts w:ascii="Segoe UI" w:eastAsia="Times New Roman" w:hAnsi="Segoe UI" w:cs="Segoe UI"/>
                <w:sz w:val="18"/>
                <w:szCs w:val="18"/>
                <w:lang w:eastAsia="en-AU"/>
              </w:rPr>
            </w:pPr>
            <w:bookmarkStart w:id="1" w:name="_Hlk79668314"/>
            <w:r w:rsidRPr="00CD2053">
              <w:rPr>
                <w:rFonts w:ascii="Calibri" w:eastAsia="Times New Roman" w:hAnsi="Calibri" w:cs="Calibri"/>
                <w:b/>
                <w:bCs/>
                <w:i/>
                <w:iCs/>
                <w:szCs w:val="22"/>
                <w:lang w:eastAsia="en-AU"/>
              </w:rPr>
              <w:t>Case study #1</w:t>
            </w:r>
            <w:r w:rsidRPr="00CD2053">
              <w:rPr>
                <w:rFonts w:ascii="Calibri" w:eastAsia="Times New Roman" w:hAnsi="Calibri" w:cs="Calibri"/>
                <w:szCs w:val="22"/>
                <w:lang w:eastAsia="en-AU"/>
              </w:rPr>
              <w:t> </w:t>
            </w:r>
          </w:p>
          <w:p w14:paraId="6AC2BAAE" w14:textId="77777777" w:rsidR="00782FC8" w:rsidRDefault="00782FC8" w:rsidP="00A55910">
            <w:pPr>
              <w:tabs>
                <w:tab w:val="clear" w:pos="288"/>
              </w:tabs>
              <w:spacing w:line="276" w:lineRule="auto"/>
              <w:textAlignment w:val="baseline"/>
              <w:rPr>
                <w:rFonts w:ascii="Calibri" w:eastAsia="Times New Roman" w:hAnsi="Calibri" w:cs="Calibri"/>
                <w:szCs w:val="22"/>
                <w:lang w:eastAsia="en-AU"/>
              </w:rPr>
            </w:pPr>
          </w:p>
          <w:p w14:paraId="0F3AAD3C" w14:textId="496CB759" w:rsidR="00782FC8" w:rsidRPr="00CD2053" w:rsidRDefault="00782FC8" w:rsidP="00A55910">
            <w:pPr>
              <w:tabs>
                <w:tab w:val="clear" w:pos="288"/>
              </w:tabs>
              <w:spacing w:line="276" w:lineRule="auto"/>
              <w:textAlignment w:val="baseline"/>
              <w:rPr>
                <w:rFonts w:ascii="Segoe UI" w:eastAsia="Times New Roman" w:hAnsi="Segoe UI" w:cs="Segoe UI"/>
                <w:sz w:val="18"/>
                <w:szCs w:val="18"/>
                <w:lang w:eastAsia="en-AU"/>
              </w:rPr>
            </w:pPr>
            <w:r w:rsidRPr="00CD2053">
              <w:rPr>
                <w:rFonts w:ascii="Calibri" w:eastAsia="Times New Roman" w:hAnsi="Calibri" w:cs="Calibri"/>
                <w:szCs w:val="22"/>
                <w:lang w:eastAsia="en-AU"/>
              </w:rPr>
              <w:t>Morgan* is a 50-year-old man with an acquired brain injury arising from a serious traffic accident he was involved in 5 years ago. As a result of this accident, Morgan received significant financial compensation (in the realm of millions of dollars), which is now managed by the Public Trustee of Queensland under an administration order made by the Queensland Civil and Administrative Tribunal (“</w:t>
            </w:r>
            <w:r w:rsidRPr="00CD2053">
              <w:rPr>
                <w:rFonts w:ascii="Calibri" w:eastAsia="Times New Roman" w:hAnsi="Calibri" w:cs="Calibri"/>
                <w:b/>
                <w:bCs/>
                <w:szCs w:val="22"/>
                <w:lang w:eastAsia="en-AU"/>
              </w:rPr>
              <w:t>QCAT</w:t>
            </w:r>
            <w:r w:rsidRPr="00CD2053">
              <w:rPr>
                <w:rFonts w:ascii="Calibri" w:eastAsia="Times New Roman" w:hAnsi="Calibri" w:cs="Calibri"/>
                <w:szCs w:val="22"/>
                <w:lang w:eastAsia="en-AU"/>
              </w:rPr>
              <w:t>”) pursuant to the </w:t>
            </w:r>
            <w:r w:rsidRPr="00CD2053">
              <w:rPr>
                <w:rFonts w:ascii="Calibri" w:eastAsia="Times New Roman" w:hAnsi="Calibri" w:cs="Calibri"/>
                <w:i/>
                <w:iCs/>
                <w:szCs w:val="22"/>
                <w:lang w:eastAsia="en-AU"/>
              </w:rPr>
              <w:t>Guardianship and Administration Act 2000 </w:t>
            </w:r>
            <w:r w:rsidRPr="00CD2053">
              <w:rPr>
                <w:rFonts w:ascii="Calibri" w:eastAsia="Times New Roman" w:hAnsi="Calibri" w:cs="Calibri"/>
                <w:szCs w:val="22"/>
                <w:lang w:eastAsia="en-AU"/>
              </w:rPr>
              <w:t>(Qld) (“</w:t>
            </w:r>
            <w:r w:rsidRPr="00CD2053">
              <w:rPr>
                <w:rFonts w:ascii="Calibri" w:eastAsia="Times New Roman" w:hAnsi="Calibri" w:cs="Calibri"/>
                <w:b/>
                <w:bCs/>
                <w:szCs w:val="22"/>
                <w:lang w:eastAsia="en-AU"/>
              </w:rPr>
              <w:t>GAA</w:t>
            </w:r>
            <w:r w:rsidRPr="00CD2053">
              <w:rPr>
                <w:rFonts w:ascii="Calibri" w:eastAsia="Times New Roman" w:hAnsi="Calibri" w:cs="Calibri"/>
                <w:szCs w:val="22"/>
                <w:lang w:eastAsia="en-AU"/>
              </w:rPr>
              <w:t>”). As a result of his significant assets, managed by the Public Trustee, Morgan is ineligible for any social security payment. Consequently, Morgan receives from his compensation approximately $450 per week from the Public Trustee for living expenses. This amount is less than the maximum amount of the Disability Support Pension (“</w:t>
            </w:r>
            <w:r w:rsidRPr="00CD2053">
              <w:rPr>
                <w:rFonts w:ascii="Calibri" w:eastAsia="Times New Roman" w:hAnsi="Calibri" w:cs="Calibri"/>
                <w:b/>
                <w:bCs/>
                <w:szCs w:val="22"/>
                <w:lang w:eastAsia="en-AU"/>
              </w:rPr>
              <w:t>DSP</w:t>
            </w:r>
            <w:r w:rsidRPr="00CD2053">
              <w:rPr>
                <w:rFonts w:ascii="Calibri" w:eastAsia="Times New Roman" w:hAnsi="Calibri" w:cs="Calibri"/>
                <w:szCs w:val="22"/>
                <w:lang w:eastAsia="en-AU"/>
              </w:rPr>
              <w:t>”) and well below the National Minimum Wage. When Morgan raised concerns about his weekly income with his Trust Officer, he was told there was nothing the Trust Officer could do.  </w:t>
            </w:r>
          </w:p>
          <w:p w14:paraId="51E4BA61" w14:textId="77777777" w:rsidR="00782FC8" w:rsidRDefault="00782FC8" w:rsidP="00A55910">
            <w:pPr>
              <w:tabs>
                <w:tab w:val="clear" w:pos="288"/>
              </w:tabs>
              <w:spacing w:line="276" w:lineRule="auto"/>
              <w:textAlignment w:val="baseline"/>
              <w:rPr>
                <w:rFonts w:ascii="Calibri" w:eastAsia="Times New Roman" w:hAnsi="Calibri" w:cs="Calibri"/>
                <w:szCs w:val="22"/>
                <w:lang w:eastAsia="en-AU"/>
              </w:rPr>
            </w:pPr>
          </w:p>
          <w:p w14:paraId="5F397703" w14:textId="60FF9E67" w:rsidR="00782FC8" w:rsidRPr="00782FC8" w:rsidRDefault="00782FC8" w:rsidP="00A55910">
            <w:pPr>
              <w:tabs>
                <w:tab w:val="clear" w:pos="288"/>
              </w:tabs>
              <w:spacing w:line="276" w:lineRule="auto"/>
              <w:textAlignment w:val="baseline"/>
              <w:rPr>
                <w:rFonts w:ascii="Segoe UI" w:eastAsia="Times New Roman" w:hAnsi="Segoe UI" w:cs="Segoe UI"/>
                <w:sz w:val="18"/>
                <w:szCs w:val="18"/>
                <w:lang w:eastAsia="en-AU"/>
              </w:rPr>
            </w:pPr>
            <w:r w:rsidRPr="00CD2053">
              <w:rPr>
                <w:rFonts w:ascii="Calibri" w:eastAsia="Times New Roman" w:hAnsi="Calibri" w:cs="Calibri"/>
                <w:szCs w:val="22"/>
                <w:lang w:eastAsia="en-AU"/>
              </w:rPr>
              <w:t>In addition to the above, Morgan has concerns about the amount of fees the Public Trustee is charging him to manage his assets pursuant to an order he does not agree with. Further, Morgan does not understand how the Public Trustee is spending his money and making payments for his small debts, such as bills. As noted above, Morgan has difficulty in contacting and speaking with his Trust Officer about these concerns.  </w:t>
            </w:r>
          </w:p>
        </w:tc>
      </w:tr>
      <w:bookmarkEnd w:id="1"/>
    </w:tbl>
    <w:p w14:paraId="07639736" w14:textId="78BDD54D" w:rsidR="00782FC8" w:rsidRDefault="00782FC8" w:rsidP="00577579">
      <w:pPr>
        <w:shd w:val="clear" w:color="auto" w:fill="FFFFFF"/>
        <w:tabs>
          <w:tab w:val="clear" w:pos="288"/>
        </w:tabs>
        <w:spacing w:before="134" w:after="134"/>
        <w:jc w:val="left"/>
        <w:rPr>
          <w:rFonts w:eastAsia="Times New Roman" w:cstheme="minorHAnsi"/>
          <w:color w:val="414042"/>
          <w:szCs w:val="22"/>
          <w:lang w:eastAsia="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5"/>
      </w:tblGrid>
      <w:tr w:rsidR="008F65F1" w:rsidRPr="00EB03E4" w14:paraId="46BBC636" w14:textId="77777777" w:rsidTr="005409CD">
        <w:tc>
          <w:tcPr>
            <w:tcW w:w="9735" w:type="dxa"/>
            <w:shd w:val="clear" w:color="auto" w:fill="BFBFBF"/>
          </w:tcPr>
          <w:p w14:paraId="211CA7C4" w14:textId="77777777" w:rsidR="00BB5AE5" w:rsidRPr="00CD2053" w:rsidRDefault="00BB5AE5" w:rsidP="00B375C5">
            <w:pPr>
              <w:tabs>
                <w:tab w:val="clear" w:pos="288"/>
              </w:tabs>
              <w:textAlignment w:val="baseline"/>
              <w:rPr>
                <w:rFonts w:ascii="Segoe UI" w:eastAsia="Times New Roman" w:hAnsi="Segoe UI" w:cs="Segoe UI"/>
                <w:sz w:val="18"/>
                <w:szCs w:val="18"/>
                <w:lang w:eastAsia="en-AU"/>
              </w:rPr>
            </w:pPr>
            <w:r w:rsidRPr="00CD2053">
              <w:rPr>
                <w:rFonts w:ascii="Calibri" w:eastAsia="Times New Roman" w:hAnsi="Calibri" w:cs="Calibri"/>
                <w:b/>
                <w:bCs/>
                <w:i/>
                <w:iCs/>
                <w:szCs w:val="22"/>
                <w:lang w:eastAsia="en-AU"/>
              </w:rPr>
              <w:t>Case study #</w:t>
            </w:r>
            <w:r>
              <w:rPr>
                <w:rFonts w:ascii="Calibri" w:eastAsia="Times New Roman" w:hAnsi="Calibri" w:cs="Calibri"/>
                <w:b/>
                <w:bCs/>
                <w:i/>
                <w:iCs/>
                <w:szCs w:val="22"/>
                <w:lang w:eastAsia="en-AU"/>
              </w:rPr>
              <w:t>2</w:t>
            </w:r>
            <w:r w:rsidRPr="00CD2053">
              <w:rPr>
                <w:rFonts w:ascii="Calibri" w:eastAsia="Times New Roman" w:hAnsi="Calibri" w:cs="Calibri"/>
                <w:szCs w:val="22"/>
                <w:lang w:eastAsia="en-AU"/>
              </w:rPr>
              <w:t> </w:t>
            </w:r>
          </w:p>
          <w:p w14:paraId="635CCE50" w14:textId="77777777" w:rsidR="00BB5AE5" w:rsidRDefault="00BB5AE5" w:rsidP="00B375C5">
            <w:pPr>
              <w:tabs>
                <w:tab w:val="clear" w:pos="288"/>
              </w:tabs>
              <w:ind w:left="285"/>
              <w:textAlignment w:val="baseline"/>
              <w:rPr>
                <w:rFonts w:ascii="Calibri" w:eastAsia="Times New Roman" w:hAnsi="Calibri" w:cs="Calibri"/>
                <w:szCs w:val="22"/>
                <w:lang w:eastAsia="en-AU"/>
              </w:rPr>
            </w:pPr>
          </w:p>
          <w:p w14:paraId="7A63B12B" w14:textId="77777777" w:rsidR="00BB5AE5" w:rsidRPr="00C574D7" w:rsidRDefault="00BB5AE5" w:rsidP="00B375C5">
            <w:pPr>
              <w:tabs>
                <w:tab w:val="clear" w:pos="288"/>
              </w:tabs>
              <w:spacing w:line="276" w:lineRule="auto"/>
              <w:textAlignment w:val="baseline"/>
              <w:rPr>
                <w:rFonts w:ascii="Segoe UI" w:eastAsia="Times New Roman" w:hAnsi="Segoe UI" w:cs="Segoe UI"/>
                <w:sz w:val="18"/>
                <w:szCs w:val="18"/>
                <w:lang w:eastAsia="en-AU"/>
              </w:rPr>
            </w:pPr>
            <w:r w:rsidRPr="00C574D7">
              <w:rPr>
                <w:rFonts w:ascii="Calibri" w:eastAsia="Times New Roman" w:hAnsi="Calibri" w:cs="Calibri"/>
                <w:szCs w:val="22"/>
                <w:lang w:eastAsia="en-AU"/>
              </w:rPr>
              <w:t>Gavin* is a 41-year-old man with an acquired brain injury and has a significant compensation lumpsum (in the realm of millions of dollars) that has been managed by the Public Trustee under a GAA order for an estimated 10 years. In the first half of the Public Trustee’s appointment, Gavin’s lumpsum would generate high interest, however, over the last 5 years, Gavin said the amount of interest he would receive on his compensation significantly decreased, to approximately one-fifth of the historic return. Gavin said he is unsure what has occurred for this decrease or what the additional money is being spent on. </w:t>
            </w:r>
          </w:p>
          <w:p w14:paraId="5D90C437" w14:textId="77777777" w:rsidR="00BB5AE5" w:rsidRDefault="00BB5AE5" w:rsidP="00B375C5">
            <w:pPr>
              <w:tabs>
                <w:tab w:val="clear" w:pos="288"/>
              </w:tabs>
              <w:spacing w:line="276" w:lineRule="auto"/>
              <w:textAlignment w:val="baseline"/>
              <w:rPr>
                <w:rFonts w:ascii="Calibri" w:eastAsia="Times New Roman" w:hAnsi="Calibri" w:cs="Calibri"/>
                <w:szCs w:val="22"/>
                <w:lang w:eastAsia="en-AU"/>
              </w:rPr>
            </w:pPr>
          </w:p>
          <w:p w14:paraId="15C46D17" w14:textId="77777777" w:rsidR="00BB5AE5" w:rsidRPr="00C574D7" w:rsidRDefault="00BB5AE5" w:rsidP="00B375C5">
            <w:pPr>
              <w:tabs>
                <w:tab w:val="clear" w:pos="288"/>
              </w:tabs>
              <w:spacing w:line="276" w:lineRule="auto"/>
              <w:textAlignment w:val="baseline"/>
              <w:rPr>
                <w:rFonts w:ascii="Segoe UI" w:eastAsia="Times New Roman" w:hAnsi="Segoe UI" w:cs="Segoe UI"/>
                <w:sz w:val="18"/>
                <w:szCs w:val="18"/>
                <w:lang w:eastAsia="en-AU"/>
              </w:rPr>
            </w:pPr>
            <w:r w:rsidRPr="00C574D7">
              <w:rPr>
                <w:rFonts w:ascii="Calibri" w:eastAsia="Times New Roman" w:hAnsi="Calibri" w:cs="Calibri"/>
                <w:szCs w:val="22"/>
                <w:lang w:eastAsia="en-AU"/>
              </w:rPr>
              <w:t>Similar to Morgan in case study #1 above, Gavin is ineligible for social security and relies on income from his compensation, approximately $600 per fortnight, despite the significant compensation amount and associated interest. In addition to daily living expenses, Gavin also pays child support from his fortnightly allowance of $600. As noted in Morgan’s case study, this amount is below the maximum amount of DSP and well below that of the National Minimum Wage. Gavin also pays approximately $10,000 per year for the Public Trustee to manage his properties.  </w:t>
            </w:r>
          </w:p>
          <w:p w14:paraId="2B99CF8B" w14:textId="77777777" w:rsidR="00BB5AE5" w:rsidRPr="00782FC8" w:rsidRDefault="00BB5AE5" w:rsidP="00B375C5">
            <w:pPr>
              <w:tabs>
                <w:tab w:val="clear" w:pos="288"/>
              </w:tabs>
              <w:spacing w:line="276" w:lineRule="auto"/>
              <w:textAlignment w:val="baseline"/>
              <w:rPr>
                <w:rFonts w:ascii="Segoe UI" w:eastAsia="Times New Roman" w:hAnsi="Segoe UI" w:cs="Segoe UI"/>
                <w:sz w:val="18"/>
                <w:szCs w:val="18"/>
                <w:lang w:eastAsia="en-AU"/>
              </w:rPr>
            </w:pPr>
          </w:p>
        </w:tc>
      </w:tr>
    </w:tbl>
    <w:p w14:paraId="598B31AE" w14:textId="77777777" w:rsidR="00BB5AE5" w:rsidRDefault="00BB5AE5" w:rsidP="00577579">
      <w:pPr>
        <w:shd w:val="clear" w:color="auto" w:fill="FFFFFF"/>
        <w:tabs>
          <w:tab w:val="clear" w:pos="288"/>
        </w:tabs>
        <w:spacing w:before="134" w:after="134"/>
        <w:jc w:val="left"/>
        <w:rPr>
          <w:rFonts w:eastAsia="Times New Roman" w:cstheme="minorHAnsi"/>
          <w:color w:val="414042"/>
          <w:szCs w:val="22"/>
          <w:lang w:eastAsia="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5"/>
      </w:tblGrid>
      <w:tr w:rsidR="008F65F1" w:rsidRPr="00EB03E4" w14:paraId="63A2CE0B" w14:textId="77777777" w:rsidTr="236B43E2">
        <w:tc>
          <w:tcPr>
            <w:tcW w:w="9735" w:type="dxa"/>
            <w:shd w:val="clear" w:color="auto" w:fill="BFBFBF" w:themeFill="background1" w:themeFillShade="BF"/>
          </w:tcPr>
          <w:p w14:paraId="1F81A081" w14:textId="7AC30515" w:rsidR="00CD23AB" w:rsidRPr="00CD2053" w:rsidRDefault="00CD23AB" w:rsidP="00B375C5">
            <w:pPr>
              <w:tabs>
                <w:tab w:val="clear" w:pos="288"/>
              </w:tabs>
              <w:textAlignment w:val="baseline"/>
              <w:rPr>
                <w:rFonts w:ascii="Segoe UI" w:eastAsia="Times New Roman" w:hAnsi="Segoe UI" w:cs="Segoe UI"/>
                <w:sz w:val="18"/>
                <w:szCs w:val="18"/>
                <w:lang w:eastAsia="en-AU"/>
              </w:rPr>
            </w:pPr>
            <w:r w:rsidRPr="00CD2053">
              <w:rPr>
                <w:rFonts w:ascii="Calibri" w:eastAsia="Times New Roman" w:hAnsi="Calibri" w:cs="Calibri"/>
                <w:b/>
                <w:bCs/>
                <w:i/>
                <w:iCs/>
                <w:szCs w:val="22"/>
                <w:lang w:eastAsia="en-AU"/>
              </w:rPr>
              <w:t>Case study #</w:t>
            </w:r>
            <w:r w:rsidR="007957D6">
              <w:rPr>
                <w:rFonts w:ascii="Calibri" w:eastAsia="Times New Roman" w:hAnsi="Calibri" w:cs="Calibri"/>
                <w:b/>
                <w:bCs/>
                <w:i/>
                <w:iCs/>
                <w:szCs w:val="22"/>
                <w:lang w:eastAsia="en-AU"/>
              </w:rPr>
              <w:t>3</w:t>
            </w:r>
            <w:r w:rsidRPr="00CD2053">
              <w:rPr>
                <w:rFonts w:ascii="Calibri" w:eastAsia="Times New Roman" w:hAnsi="Calibri" w:cs="Calibri"/>
                <w:szCs w:val="22"/>
                <w:lang w:eastAsia="en-AU"/>
              </w:rPr>
              <w:t> </w:t>
            </w:r>
          </w:p>
          <w:p w14:paraId="4AF73D52" w14:textId="77777777" w:rsidR="00CD23AB" w:rsidRDefault="00CD23AB" w:rsidP="00A55910">
            <w:pPr>
              <w:tabs>
                <w:tab w:val="clear" w:pos="288"/>
              </w:tabs>
              <w:spacing w:line="276" w:lineRule="auto"/>
              <w:textAlignment w:val="baseline"/>
              <w:rPr>
                <w:rFonts w:ascii="Calibri" w:eastAsia="Times New Roman" w:hAnsi="Calibri" w:cs="Calibri"/>
                <w:szCs w:val="22"/>
                <w:lang w:eastAsia="en-AU"/>
              </w:rPr>
            </w:pPr>
          </w:p>
          <w:p w14:paraId="151D64C2" w14:textId="1CA5D070" w:rsidR="00A55910" w:rsidRDefault="00A55910" w:rsidP="00A55910">
            <w:pPr>
              <w:tabs>
                <w:tab w:val="clear" w:pos="288"/>
              </w:tabs>
              <w:spacing w:line="276" w:lineRule="auto"/>
              <w:textAlignment w:val="baseline"/>
              <w:rPr>
                <w:rFonts w:ascii="Calibri" w:eastAsia="Times New Roman" w:hAnsi="Calibri" w:cs="Calibri"/>
                <w:szCs w:val="22"/>
                <w:lang w:eastAsia="en-AU"/>
              </w:rPr>
            </w:pPr>
            <w:r w:rsidRPr="00A55910">
              <w:rPr>
                <w:rFonts w:ascii="Calibri" w:eastAsia="Times New Roman" w:hAnsi="Calibri" w:cs="Calibri"/>
                <w:szCs w:val="22"/>
                <w:lang w:eastAsia="en-AU"/>
              </w:rPr>
              <w:t>Julia* is a 68-year-old woman who has multiple mental health diagnoses. Julia was subject to a GAA order appointing the Public Guardian as her guardian and the Public Trustee as her administrator for approximately 18 months. Julia had minimal assets, no liabilities, and was a recipient of the Age Pension, approximately $945 per fortnight. </w:t>
            </w:r>
          </w:p>
          <w:p w14:paraId="203A17DB" w14:textId="77777777" w:rsidR="00A55910" w:rsidRPr="00A55910" w:rsidRDefault="00A55910" w:rsidP="00A55910">
            <w:pPr>
              <w:tabs>
                <w:tab w:val="clear" w:pos="288"/>
              </w:tabs>
              <w:spacing w:line="276" w:lineRule="auto"/>
              <w:textAlignment w:val="baseline"/>
              <w:rPr>
                <w:rFonts w:ascii="Segoe UI" w:eastAsia="Times New Roman" w:hAnsi="Segoe UI" w:cs="Segoe UI"/>
                <w:sz w:val="18"/>
                <w:szCs w:val="18"/>
                <w:lang w:eastAsia="en-AU"/>
              </w:rPr>
            </w:pPr>
          </w:p>
          <w:p w14:paraId="7E479ED8" w14:textId="53C40EAE" w:rsidR="00A55910" w:rsidRPr="00C2089E" w:rsidRDefault="00A55910" w:rsidP="00A55910">
            <w:pPr>
              <w:tabs>
                <w:tab w:val="clear" w:pos="288"/>
              </w:tabs>
              <w:spacing w:line="276" w:lineRule="auto"/>
              <w:textAlignment w:val="baseline"/>
              <w:rPr>
                <w:rFonts w:ascii="Calibri" w:eastAsia="Times New Roman" w:hAnsi="Calibri" w:cs="Calibri"/>
                <w:szCs w:val="22"/>
                <w:lang w:eastAsia="en-AU"/>
              </w:rPr>
            </w:pPr>
            <w:r w:rsidRPr="00A55910">
              <w:rPr>
                <w:rFonts w:ascii="Calibri" w:eastAsia="Times New Roman" w:hAnsi="Calibri" w:cs="Calibri"/>
                <w:szCs w:val="22"/>
                <w:lang w:eastAsia="en-AU"/>
              </w:rPr>
              <w:t>During the Public Trustee’s appointment, Julia maintained most of her financial independence, paying her bills and living expenses herself. Julia had concerns about the fees the Public Trustee was charging to manage her limited assets (approximately $570 per month comprised of a “Personal Financial Administration Fee” and “Assets Management Fee”). When Julia’s advocate raised these concerns with the Public Trustee on her behalf, the advocate was informed that: “as part of The Public Trustee’s Community Service Obligation, [Julia] is in receipt of a hardship rebate. Additional information regarding fees and charges can be found on The Public Trustee of Queensland Website under Financial Administration, Fees and Charges”. This response was not only vague and non-descriptive, but the hardship rebate was inconsistently applied to Julia’s account.  </w:t>
            </w:r>
          </w:p>
          <w:p w14:paraId="10CB2893" w14:textId="4622A503" w:rsidR="00A55910" w:rsidRPr="00A55910" w:rsidRDefault="00A55910" w:rsidP="00A55910">
            <w:pPr>
              <w:tabs>
                <w:tab w:val="clear" w:pos="288"/>
              </w:tabs>
              <w:spacing w:line="276" w:lineRule="auto"/>
              <w:textAlignment w:val="baseline"/>
              <w:rPr>
                <w:rFonts w:ascii="Segoe UI" w:eastAsia="Times New Roman" w:hAnsi="Segoe UI" w:cs="Segoe UI"/>
                <w:sz w:val="18"/>
                <w:szCs w:val="18"/>
                <w:lang w:eastAsia="en-AU"/>
              </w:rPr>
            </w:pPr>
            <w:r w:rsidRPr="236B43E2">
              <w:rPr>
                <w:rFonts w:ascii="Calibri" w:eastAsia="Times New Roman" w:hAnsi="Calibri" w:cs="Calibri"/>
                <w:lang w:eastAsia="en-AU"/>
              </w:rPr>
              <w:t xml:space="preserve">In addition to ambiguity surrounding the Public Trustee’s fee structure and response to this uncertainty, the Public Trustee also cancelled Julia’s funeral insurance policy. Upon appointment as her administrator, the Public Trustee cancelled all her direct debits, including her funeral insurance policy, which she had contributed towards for approximately </w:t>
            </w:r>
            <w:r w:rsidR="694979DE" w:rsidRPr="236B43E2">
              <w:rPr>
                <w:rFonts w:ascii="Calibri" w:eastAsia="Times New Roman" w:hAnsi="Calibri" w:cs="Calibri"/>
                <w:lang w:eastAsia="en-AU"/>
              </w:rPr>
              <w:t>nine (</w:t>
            </w:r>
            <w:r w:rsidRPr="236B43E2">
              <w:rPr>
                <w:rFonts w:ascii="Calibri" w:eastAsia="Times New Roman" w:hAnsi="Calibri" w:cs="Calibri"/>
                <w:lang w:eastAsia="en-AU"/>
              </w:rPr>
              <w:t>9</w:t>
            </w:r>
            <w:r w:rsidR="371205B5" w:rsidRPr="236B43E2">
              <w:rPr>
                <w:rFonts w:ascii="Calibri" w:eastAsia="Times New Roman" w:hAnsi="Calibri" w:cs="Calibri"/>
                <w:lang w:eastAsia="en-AU"/>
              </w:rPr>
              <w:t>)</w:t>
            </w:r>
            <w:r w:rsidRPr="236B43E2">
              <w:rPr>
                <w:rFonts w:ascii="Calibri" w:eastAsia="Times New Roman" w:hAnsi="Calibri" w:cs="Calibri"/>
                <w:lang w:eastAsia="en-AU"/>
              </w:rPr>
              <w:t xml:space="preserve"> years. The Public Trustee explained it instead attempted to make an annual payment to Julia’s policy, however, the insurance company was unable to reconcile this payment and redirected the money back to the Public Trustee. No further action was taken by the Public Trustee and, consequently, Julia’s funeral insurance policy was cancelled. The Public Trustee took no action to rectify this and simply informed Julia she is able to look for a new insurance policy.  </w:t>
            </w:r>
          </w:p>
          <w:p w14:paraId="53B1B613" w14:textId="3876329C" w:rsidR="00CD23AB" w:rsidRPr="00782FC8" w:rsidRDefault="00CD23AB" w:rsidP="00B375C5">
            <w:pPr>
              <w:tabs>
                <w:tab w:val="clear" w:pos="288"/>
              </w:tabs>
              <w:textAlignment w:val="baseline"/>
              <w:rPr>
                <w:rFonts w:ascii="Segoe UI" w:eastAsia="Times New Roman" w:hAnsi="Segoe UI" w:cs="Segoe UI"/>
                <w:sz w:val="18"/>
                <w:szCs w:val="18"/>
                <w:lang w:eastAsia="en-AU"/>
              </w:rPr>
            </w:pPr>
          </w:p>
        </w:tc>
      </w:tr>
    </w:tbl>
    <w:p w14:paraId="1D7C5403" w14:textId="77777777" w:rsidR="00D70F57" w:rsidRPr="00577579" w:rsidRDefault="00D70F57" w:rsidP="00577579">
      <w:pPr>
        <w:shd w:val="clear" w:color="auto" w:fill="FFFFFF"/>
        <w:tabs>
          <w:tab w:val="clear" w:pos="288"/>
        </w:tabs>
        <w:spacing w:before="134" w:after="134"/>
        <w:jc w:val="left"/>
        <w:rPr>
          <w:rFonts w:eastAsia="Times New Roman" w:cstheme="minorHAnsi"/>
          <w:color w:val="414042"/>
          <w:szCs w:val="22"/>
          <w:lang w:eastAsia="en-AU"/>
        </w:rPr>
      </w:pPr>
    </w:p>
    <w:p w14:paraId="394AEC22" w14:textId="6A4C0B23" w:rsidR="0061255A" w:rsidRPr="00EB03E4" w:rsidRDefault="0035195A" w:rsidP="0061255A">
      <w:pPr>
        <w:pStyle w:val="Heading1"/>
        <w:spacing w:before="0" w:after="120" w:line="240" w:lineRule="auto"/>
        <w:jc w:val="left"/>
        <w:rPr>
          <w:rFonts w:cstheme="minorHAnsi"/>
        </w:rPr>
      </w:pPr>
      <w:r>
        <w:rPr>
          <w:rFonts w:cstheme="minorHAnsi"/>
        </w:rPr>
        <w:t>Recommendations for change</w:t>
      </w:r>
    </w:p>
    <w:p w14:paraId="0F39E668" w14:textId="0E2BFC54" w:rsidR="00E82120" w:rsidRDefault="00EB4DF9" w:rsidP="00E74E10">
      <w:pPr>
        <w:shd w:val="clear" w:color="auto" w:fill="FFFFFF" w:themeFill="background1"/>
        <w:tabs>
          <w:tab w:val="clear" w:pos="288"/>
        </w:tabs>
        <w:spacing w:before="134" w:after="134" w:line="276" w:lineRule="auto"/>
        <w:rPr>
          <w:rFonts w:eastAsia="Times New Roman" w:cstheme="minorBidi"/>
          <w:lang w:eastAsia="en-AU"/>
        </w:rPr>
      </w:pPr>
      <w:r w:rsidRPr="0095596A">
        <w:rPr>
          <w:rFonts w:eastAsia="Times New Roman" w:cstheme="minorBidi"/>
          <w:lang w:eastAsia="en-AU"/>
        </w:rPr>
        <w:t xml:space="preserve">QAI </w:t>
      </w:r>
      <w:r w:rsidR="00CB396F" w:rsidRPr="0095596A">
        <w:rPr>
          <w:rFonts w:eastAsia="Times New Roman" w:cstheme="minorBidi"/>
          <w:lang w:eastAsia="en-AU"/>
        </w:rPr>
        <w:t>welcomes the Queensland Government’s stated intention to create a Public Trustee board to provide oversight</w:t>
      </w:r>
      <w:r w:rsidR="00471D49" w:rsidRPr="0095596A">
        <w:rPr>
          <w:rFonts w:eastAsia="Times New Roman" w:cstheme="minorBidi"/>
          <w:lang w:eastAsia="en-AU"/>
        </w:rPr>
        <w:t xml:space="preserve"> and direction to the Public Trustee in order to increase its transparency and accountability.</w:t>
      </w:r>
      <w:r w:rsidR="00A30DF4" w:rsidRPr="0095596A">
        <w:rPr>
          <w:rFonts w:eastAsia="Times New Roman" w:cstheme="minorBidi"/>
          <w:lang w:eastAsia="en-AU"/>
        </w:rPr>
        <w:t xml:space="preserve"> </w:t>
      </w:r>
      <w:r w:rsidR="00DF5D07" w:rsidRPr="0095596A">
        <w:rPr>
          <w:rFonts w:eastAsia="Times New Roman" w:cstheme="minorBidi"/>
          <w:lang w:eastAsia="en-AU"/>
        </w:rPr>
        <w:t>Whilst this review represents a welcome first step</w:t>
      </w:r>
      <w:r w:rsidR="005D71BE" w:rsidRPr="0095596A">
        <w:rPr>
          <w:rFonts w:eastAsia="Times New Roman" w:cstheme="minorBidi"/>
          <w:lang w:eastAsia="en-AU"/>
        </w:rPr>
        <w:t xml:space="preserve"> towards reform, m</w:t>
      </w:r>
      <w:r w:rsidR="0063127D" w:rsidRPr="0095596A">
        <w:rPr>
          <w:rFonts w:eastAsia="Times New Roman" w:cstheme="minorBidi"/>
          <w:lang w:eastAsia="en-AU"/>
        </w:rPr>
        <w:t>uch change is needed</w:t>
      </w:r>
      <w:r w:rsidR="009161E0" w:rsidRPr="0095596A">
        <w:rPr>
          <w:rFonts w:eastAsia="Times New Roman" w:cstheme="minorBidi"/>
          <w:lang w:eastAsia="en-AU"/>
        </w:rPr>
        <w:t>.</w:t>
      </w:r>
      <w:r w:rsidR="00392973" w:rsidRPr="0095596A">
        <w:rPr>
          <w:rFonts w:eastAsia="Times New Roman" w:cstheme="minorBidi"/>
          <w:lang w:eastAsia="en-AU"/>
        </w:rPr>
        <w:t xml:space="preserve"> QAI supports the detailed recommendations for r</w:t>
      </w:r>
      <w:r w:rsidR="009161E0" w:rsidRPr="0095596A">
        <w:rPr>
          <w:rFonts w:eastAsia="Times New Roman" w:cstheme="minorBidi"/>
          <w:lang w:eastAsia="en-AU"/>
        </w:rPr>
        <w:t>eform of the</w:t>
      </w:r>
      <w:r w:rsidR="00392973" w:rsidRPr="0095596A">
        <w:rPr>
          <w:rFonts w:eastAsia="Times New Roman" w:cstheme="minorBidi"/>
          <w:lang w:eastAsia="en-AU"/>
        </w:rPr>
        <w:t xml:space="preserve"> Public Trustee’s</w:t>
      </w:r>
      <w:r w:rsidR="009161E0" w:rsidRPr="0095596A">
        <w:rPr>
          <w:rFonts w:eastAsia="Times New Roman" w:cstheme="minorBidi"/>
          <w:lang w:eastAsia="en-AU"/>
        </w:rPr>
        <w:t xml:space="preserve"> fees and charges</w:t>
      </w:r>
      <w:r w:rsidR="0063356F" w:rsidRPr="0095596A">
        <w:rPr>
          <w:rFonts w:eastAsia="Times New Roman" w:cstheme="minorBidi"/>
          <w:lang w:eastAsia="en-AU"/>
        </w:rPr>
        <w:t xml:space="preserve"> model</w:t>
      </w:r>
      <w:r w:rsidR="00235909" w:rsidRPr="0095596A">
        <w:rPr>
          <w:rFonts w:eastAsia="Times New Roman" w:cstheme="minorBidi"/>
          <w:lang w:eastAsia="en-AU"/>
        </w:rPr>
        <w:t xml:space="preserve"> as articulated in the P</w:t>
      </w:r>
      <w:r w:rsidR="00316BAC" w:rsidRPr="0095596A">
        <w:rPr>
          <w:rFonts w:eastAsia="Times New Roman" w:cstheme="minorBidi"/>
          <w:lang w:eastAsia="en-AU"/>
        </w:rPr>
        <w:t xml:space="preserve">ublic Advocate’s report. </w:t>
      </w:r>
      <w:r w:rsidR="000B6345" w:rsidRPr="0095596A">
        <w:rPr>
          <w:rFonts w:eastAsia="Times New Roman" w:cstheme="minorBidi"/>
          <w:lang w:eastAsia="en-AU"/>
        </w:rPr>
        <w:t>Most notably, Recommendations 1 and 2 are direc</w:t>
      </w:r>
      <w:r w:rsidR="006A610E" w:rsidRPr="0095596A">
        <w:rPr>
          <w:rFonts w:eastAsia="Times New Roman" w:cstheme="minorBidi"/>
          <w:lang w:eastAsia="en-AU"/>
        </w:rPr>
        <w:t xml:space="preserve">tly applicable to the scope of this </w:t>
      </w:r>
      <w:r w:rsidR="004954E3" w:rsidRPr="0095596A">
        <w:rPr>
          <w:rFonts w:eastAsia="Times New Roman" w:cstheme="minorBidi"/>
          <w:lang w:eastAsia="en-AU"/>
        </w:rPr>
        <w:t>review</w:t>
      </w:r>
      <w:r w:rsidR="006A610E" w:rsidRPr="0095596A">
        <w:rPr>
          <w:rFonts w:eastAsia="Times New Roman" w:cstheme="minorBidi"/>
          <w:lang w:eastAsia="en-AU"/>
        </w:rPr>
        <w:t xml:space="preserve">. </w:t>
      </w:r>
      <w:r w:rsidR="00E3154A" w:rsidRPr="0095596A">
        <w:rPr>
          <w:rFonts w:eastAsia="Times New Roman" w:cstheme="minorBidi"/>
          <w:lang w:eastAsia="en-AU"/>
        </w:rPr>
        <w:t>The</w:t>
      </w:r>
      <w:r w:rsidR="00094BC4">
        <w:rPr>
          <w:rFonts w:eastAsia="Times New Roman" w:cstheme="minorBidi"/>
          <w:lang w:eastAsia="en-AU"/>
        </w:rPr>
        <w:t>y</w:t>
      </w:r>
      <w:r w:rsidR="00E3154A" w:rsidRPr="0095596A">
        <w:rPr>
          <w:rFonts w:eastAsia="Times New Roman" w:cstheme="minorBidi"/>
          <w:lang w:eastAsia="en-AU"/>
        </w:rPr>
        <w:t xml:space="preserve"> are included here in full</w:t>
      </w:r>
      <w:r w:rsidR="000D46E7" w:rsidRPr="0095596A">
        <w:rPr>
          <w:rFonts w:eastAsia="Times New Roman" w:cstheme="minorBidi"/>
          <w:lang w:eastAsia="en-AU"/>
        </w:rPr>
        <w:t xml:space="preserve"> for the sake of clarity:</w:t>
      </w:r>
    </w:p>
    <w:p w14:paraId="528AFA69" w14:textId="77777777" w:rsidR="0097470A" w:rsidRDefault="0097470A" w:rsidP="0097470A">
      <w:pPr>
        <w:pStyle w:val="NoSpacing"/>
        <w:rPr>
          <w:rFonts w:eastAsia="Times New Roman"/>
          <w:lang w:eastAsia="en-AU"/>
        </w:rPr>
      </w:pPr>
    </w:p>
    <w:p w14:paraId="115B1B13" w14:textId="5D867B13" w:rsidR="000D46E7" w:rsidRPr="000D46E7" w:rsidRDefault="000D46E7"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b/>
          <w:bCs/>
          <w:lang w:eastAsia="en-AU"/>
        </w:rPr>
        <w:t>Recommendation 1: Undertake a full fees and charges review</w:t>
      </w:r>
      <w:r w:rsidR="0040466C" w:rsidRPr="008F5F0B">
        <w:rPr>
          <w:rStyle w:val="FootnoteReference"/>
          <w:rFonts w:asciiTheme="majorHAnsi" w:eastAsia="Times New Roman" w:hAnsiTheme="majorHAnsi" w:cstheme="majorHAnsi"/>
          <w:b/>
          <w:bCs/>
          <w:lang w:eastAsia="en-AU"/>
        </w:rPr>
        <w:footnoteReference w:id="14"/>
      </w:r>
      <w:r w:rsidRPr="000D46E7">
        <w:rPr>
          <w:rFonts w:asciiTheme="majorHAnsi" w:eastAsia="Times New Roman" w:hAnsiTheme="majorHAnsi" w:cstheme="majorHAnsi"/>
          <w:b/>
          <w:bCs/>
          <w:lang w:eastAsia="en-AU"/>
        </w:rPr>
        <w:t xml:space="preserve"> </w:t>
      </w:r>
    </w:p>
    <w:p w14:paraId="6F2A7347" w14:textId="77777777" w:rsidR="000D46E7" w:rsidRPr="000D46E7" w:rsidRDefault="000D46E7"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Review the Public Trustee’s fees and charges regime for administration clients to achieve: </w:t>
      </w:r>
    </w:p>
    <w:p w14:paraId="4A9560A8" w14:textId="627A7D0C" w:rsidR="000D46E7" w:rsidRPr="000D46E7" w:rsidRDefault="000D46E7" w:rsidP="000A690A">
      <w:pPr>
        <w:numPr>
          <w:ilvl w:val="0"/>
          <w:numId w:val="12"/>
        </w:num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a. </w:t>
      </w:r>
      <w:r w:rsidR="00A61A15">
        <w:rPr>
          <w:rFonts w:asciiTheme="majorHAnsi" w:eastAsia="Times New Roman" w:hAnsiTheme="majorHAnsi" w:cstheme="majorHAnsi"/>
          <w:lang w:eastAsia="en-AU"/>
        </w:rPr>
        <w:t>A</w:t>
      </w:r>
      <w:r w:rsidRPr="000D46E7">
        <w:rPr>
          <w:rFonts w:asciiTheme="majorHAnsi" w:eastAsia="Times New Roman" w:hAnsiTheme="majorHAnsi" w:cstheme="majorHAnsi"/>
          <w:lang w:eastAsia="en-AU"/>
        </w:rPr>
        <w:t xml:space="preserve"> simpler fee regime for administration clients. Administration clients and their supporters must be able to easily understand the Public Trustee’s fees, what services are provided for the fees, and how and when the fees will be charged; </w:t>
      </w:r>
    </w:p>
    <w:p w14:paraId="5FA9DC3B" w14:textId="20014362" w:rsidR="000D46E7" w:rsidRPr="000D46E7" w:rsidRDefault="000D46E7" w:rsidP="000A690A">
      <w:pPr>
        <w:numPr>
          <w:ilvl w:val="0"/>
          <w:numId w:val="12"/>
        </w:num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b. </w:t>
      </w:r>
      <w:r w:rsidR="00A61A15">
        <w:rPr>
          <w:rFonts w:asciiTheme="majorHAnsi" w:eastAsia="Times New Roman" w:hAnsiTheme="majorHAnsi" w:cstheme="majorHAnsi"/>
          <w:lang w:eastAsia="en-AU"/>
        </w:rPr>
        <w:t>F</w:t>
      </w:r>
      <w:r w:rsidRPr="000D46E7">
        <w:rPr>
          <w:rFonts w:asciiTheme="majorHAnsi" w:eastAsia="Times New Roman" w:hAnsiTheme="majorHAnsi" w:cstheme="majorHAnsi"/>
          <w:lang w:eastAsia="en-AU"/>
        </w:rPr>
        <w:t xml:space="preserve">ees that are more equitable and take into account clients’ financial circumstances and their level of income. All clients should pay something towards the cost of the Public Trustee services they receive. The fee regime should include a mechanism that ensures the fees payable to the Public Trustee by administration clients with limited income do not reach a level where the fees become financially oppressive and negatively impact clients’ lives, deplete their assets and/or drive them into poverty; </w:t>
      </w:r>
    </w:p>
    <w:p w14:paraId="12729D0D" w14:textId="120C78B9" w:rsidR="000D46E7" w:rsidRPr="000D46E7" w:rsidRDefault="000D46E7" w:rsidP="000A690A">
      <w:pPr>
        <w:numPr>
          <w:ilvl w:val="0"/>
          <w:numId w:val="12"/>
        </w:num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c. </w:t>
      </w:r>
      <w:r w:rsidR="00A61A15">
        <w:rPr>
          <w:rFonts w:asciiTheme="majorHAnsi" w:eastAsia="Times New Roman" w:hAnsiTheme="majorHAnsi" w:cstheme="majorHAnsi"/>
          <w:lang w:eastAsia="en-AU"/>
        </w:rPr>
        <w:t>F</w:t>
      </w:r>
      <w:r w:rsidRPr="000D46E7">
        <w:rPr>
          <w:rFonts w:asciiTheme="majorHAnsi" w:eastAsia="Times New Roman" w:hAnsiTheme="majorHAnsi" w:cstheme="majorHAnsi"/>
          <w:lang w:eastAsia="en-AU"/>
        </w:rPr>
        <w:t xml:space="preserve">ees that reflect the actual cost to the Public Trustee of providing the services. The fees charged should not be inflated to cross-subsidise services provided to other Public Trustee clients, other organisational activities or to provide ‘profit’ for the Public Trustee, unless specifically permitted by legislation; </w:t>
      </w:r>
    </w:p>
    <w:p w14:paraId="51FFB87D" w14:textId="4E7BDF55" w:rsidR="000D46E7" w:rsidRPr="000D46E7" w:rsidRDefault="000D46E7" w:rsidP="000A690A">
      <w:pPr>
        <w:numPr>
          <w:ilvl w:val="0"/>
          <w:numId w:val="12"/>
        </w:num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d. </w:t>
      </w:r>
      <w:r w:rsidR="00A61A15">
        <w:rPr>
          <w:rFonts w:asciiTheme="majorHAnsi" w:eastAsia="Times New Roman" w:hAnsiTheme="majorHAnsi" w:cstheme="majorHAnsi"/>
          <w:lang w:eastAsia="en-AU"/>
        </w:rPr>
        <w:t>N</w:t>
      </w:r>
      <w:r w:rsidRPr="000D46E7">
        <w:rPr>
          <w:rFonts w:asciiTheme="majorHAnsi" w:eastAsia="Times New Roman" w:hAnsiTheme="majorHAnsi" w:cstheme="majorHAnsi"/>
          <w:lang w:eastAsia="en-AU"/>
        </w:rPr>
        <w:t xml:space="preserve">o duplication or overlap in fees. Where clients have been charged an Asset Management Fee on an asset, the Public Trustee should not impose any additional charges for the management or investment of those clients’ funds; </w:t>
      </w:r>
    </w:p>
    <w:p w14:paraId="5A557929" w14:textId="33523CE1" w:rsidR="000D46E7" w:rsidRPr="000D46E7" w:rsidRDefault="000D46E7" w:rsidP="000A690A">
      <w:pPr>
        <w:numPr>
          <w:ilvl w:val="0"/>
          <w:numId w:val="12"/>
        </w:num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e. </w:t>
      </w:r>
      <w:r w:rsidR="00A61A15">
        <w:rPr>
          <w:rFonts w:asciiTheme="majorHAnsi" w:eastAsia="Times New Roman" w:hAnsiTheme="majorHAnsi" w:cstheme="majorHAnsi"/>
          <w:lang w:eastAsia="en-AU"/>
        </w:rPr>
        <w:t>C</w:t>
      </w:r>
      <w:r w:rsidRPr="000D46E7">
        <w:rPr>
          <w:rFonts w:asciiTheme="majorHAnsi" w:eastAsia="Times New Roman" w:hAnsiTheme="majorHAnsi" w:cstheme="majorHAnsi"/>
          <w:lang w:eastAsia="en-AU"/>
        </w:rPr>
        <w:t xml:space="preserve">ease the practice of charging administration clients fees on assets (such as superannuation fund holdings or other investments) managed by third parties and for which the clients are already paying management fees to those third parties. At a minimum the Public Trustee should charge a lower fee for superannuation fund holdings where it can be shown that there is annual ‘active’ management of the clients’ funds; and </w:t>
      </w:r>
    </w:p>
    <w:p w14:paraId="1C160D5D" w14:textId="292EE26D" w:rsidR="000D46E7" w:rsidRPr="008F5F0B" w:rsidRDefault="000D46E7" w:rsidP="000A690A">
      <w:pPr>
        <w:numPr>
          <w:ilvl w:val="0"/>
          <w:numId w:val="12"/>
        </w:num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0D46E7">
        <w:rPr>
          <w:rFonts w:asciiTheme="majorHAnsi" w:eastAsia="Times New Roman" w:hAnsiTheme="majorHAnsi" w:cstheme="majorHAnsi"/>
          <w:lang w:eastAsia="en-AU"/>
        </w:rPr>
        <w:t xml:space="preserve">f. </w:t>
      </w:r>
      <w:r w:rsidR="00A61A15">
        <w:rPr>
          <w:rFonts w:asciiTheme="majorHAnsi" w:eastAsia="Times New Roman" w:hAnsiTheme="majorHAnsi" w:cstheme="majorHAnsi"/>
          <w:lang w:eastAsia="en-AU"/>
        </w:rPr>
        <w:t>A</w:t>
      </w:r>
      <w:r w:rsidRPr="000D46E7">
        <w:rPr>
          <w:rFonts w:asciiTheme="majorHAnsi" w:eastAsia="Times New Roman" w:hAnsiTheme="majorHAnsi" w:cstheme="majorHAnsi"/>
          <w:lang w:eastAsia="en-AU"/>
        </w:rPr>
        <w:t xml:space="preserve"> fee structure that supports and encourages administration clients to exercise autonomy and lead independent lives. Administration clients should not be charged higher fees where they require more support to exercise their capacity and autonomy in relation to their financial affairs. </w:t>
      </w:r>
    </w:p>
    <w:p w14:paraId="7592EB1D" w14:textId="77777777" w:rsidR="00E82120" w:rsidRDefault="00E82120" w:rsidP="000A690A">
      <w:pPr>
        <w:shd w:val="clear" w:color="auto" w:fill="FFFFFF" w:themeFill="background1"/>
        <w:tabs>
          <w:tab w:val="clear" w:pos="288"/>
        </w:tabs>
        <w:spacing w:before="134" w:after="134"/>
        <w:ind w:left="284"/>
        <w:rPr>
          <w:rFonts w:asciiTheme="majorHAnsi" w:eastAsia="Times New Roman" w:hAnsiTheme="majorHAnsi" w:cstheme="majorHAnsi"/>
          <w:b/>
          <w:bCs/>
          <w:lang w:eastAsia="en-AU"/>
        </w:rPr>
      </w:pPr>
    </w:p>
    <w:p w14:paraId="60D975E4" w14:textId="4267081D"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b/>
          <w:bCs/>
          <w:lang w:eastAsia="en-AU"/>
        </w:rPr>
      </w:pPr>
      <w:r w:rsidRPr="6F0C5C1C">
        <w:rPr>
          <w:rFonts w:asciiTheme="majorHAnsi" w:eastAsia="Times New Roman" w:hAnsiTheme="majorHAnsi" w:cstheme="majorBidi"/>
          <w:b/>
          <w:lang w:eastAsia="en-AU"/>
        </w:rPr>
        <w:t>Recommendation 2: Improve the transparency of fees and charges</w:t>
      </w:r>
      <w:r w:rsidR="00565CB0" w:rsidRPr="6F0C5C1C">
        <w:rPr>
          <w:rStyle w:val="FootnoteReference"/>
          <w:rFonts w:asciiTheme="majorHAnsi" w:eastAsia="Times New Roman" w:hAnsiTheme="majorHAnsi" w:cstheme="majorBidi"/>
          <w:b/>
          <w:lang w:eastAsia="en-AU"/>
        </w:rPr>
        <w:footnoteReference w:id="15"/>
      </w:r>
    </w:p>
    <w:p w14:paraId="118CA49E" w14:textId="77777777"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8F5F0B">
        <w:rPr>
          <w:rFonts w:asciiTheme="majorHAnsi" w:eastAsia="Times New Roman" w:hAnsiTheme="majorHAnsi" w:cstheme="majorHAnsi"/>
          <w:lang w:eastAsia="en-AU"/>
        </w:rPr>
        <w:t>The Public Trustee adopt the following practices to improve the transparency of its fees and charges:</w:t>
      </w:r>
    </w:p>
    <w:p w14:paraId="5B93F8D8" w14:textId="77777777"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8F5F0B">
        <w:rPr>
          <w:rFonts w:asciiTheme="majorHAnsi" w:eastAsia="Times New Roman" w:hAnsiTheme="majorHAnsi" w:cstheme="majorHAnsi"/>
          <w:lang w:eastAsia="en-AU"/>
        </w:rPr>
        <w:t>a. Provide clear and accessible information to administration clients about its fees and charges and the services clients will receive for those fees.</w:t>
      </w:r>
    </w:p>
    <w:p w14:paraId="56BE6031" w14:textId="77777777"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8F5F0B">
        <w:rPr>
          <w:rFonts w:asciiTheme="majorHAnsi" w:eastAsia="Times New Roman" w:hAnsiTheme="majorHAnsi" w:cstheme="majorHAnsi"/>
          <w:lang w:eastAsia="en-AU"/>
        </w:rPr>
        <w:t>b. The Public Trustee’s policies and manuals that guide what services administration clients receive and how the fees and charges for those services are calculated and applied be published in accessible language and format. This information should include scenario examples to clearly demonstrate the fees to be paid for that service.</w:t>
      </w:r>
    </w:p>
    <w:p w14:paraId="607D1CF4" w14:textId="77777777"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8F5F0B">
        <w:rPr>
          <w:rFonts w:asciiTheme="majorHAnsi" w:eastAsia="Times New Roman" w:hAnsiTheme="majorHAnsi" w:cstheme="majorHAnsi"/>
          <w:lang w:eastAsia="en-AU"/>
        </w:rPr>
        <w:t>c. On appointment and annually, the Public Trustee send each client personal correspondence detailing the services they will receive and the fees for those services. This should also occur after any significant change to the client’s financial circumstances. This communication should be written in plain English with clear explanations of all terms used. All correspondence to administration clients should explain how to locate relevant fees and charges information, policies and manuals on the Public Trustee website. Where clients do not have access to the internet, the Public Trustee should make this information available in hard copy on request.</w:t>
      </w:r>
    </w:p>
    <w:p w14:paraId="3ACC9EB9" w14:textId="77777777"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8F5F0B">
        <w:rPr>
          <w:rFonts w:asciiTheme="majorHAnsi" w:eastAsia="Times New Roman" w:hAnsiTheme="majorHAnsi" w:cstheme="majorHAnsi"/>
          <w:lang w:eastAsia="en-AU"/>
        </w:rPr>
        <w:t>d. Review its policies and practices to ensure they actively encourage staff to be responsive to clients and their supporters, particularly in relation to explaining its fees and charges. This is likely to improve information transparency, client participation in the management of their financial affairs, and client satisfaction with Public Trustee services.</w:t>
      </w:r>
    </w:p>
    <w:p w14:paraId="16B9F4E1" w14:textId="5DF95CB9" w:rsidR="007E39B5" w:rsidRPr="008F5F0B" w:rsidRDefault="007E39B5" w:rsidP="000A690A">
      <w:pPr>
        <w:shd w:val="clear" w:color="auto" w:fill="FFFFFF" w:themeFill="background1"/>
        <w:tabs>
          <w:tab w:val="clear" w:pos="288"/>
        </w:tabs>
        <w:spacing w:before="134" w:after="134"/>
        <w:ind w:left="284"/>
        <w:rPr>
          <w:rFonts w:asciiTheme="majorHAnsi" w:eastAsia="Times New Roman" w:hAnsiTheme="majorHAnsi" w:cstheme="majorHAnsi"/>
          <w:lang w:eastAsia="en-AU"/>
        </w:rPr>
      </w:pPr>
      <w:r w:rsidRPr="008F5F0B">
        <w:rPr>
          <w:rFonts w:asciiTheme="majorHAnsi" w:eastAsia="Times New Roman" w:hAnsiTheme="majorHAnsi" w:cstheme="majorHAnsi"/>
          <w:lang w:eastAsia="en-AU"/>
        </w:rPr>
        <w:t>e. The information presented in client Statements of Accounts be improved to make the statements more transparent and easier to understand. The statements should include summary information about categories of income and expenses and provide a total of the Public Trustee’s fees, charges, additional service fees and outlays for the relevant period. Any special purpose or professional services payments should be the subject of separate correspondence that fully explains these costs and why they were incurred.</w:t>
      </w:r>
    </w:p>
    <w:p w14:paraId="410A970C" w14:textId="77777777" w:rsidR="008F5F0B" w:rsidRDefault="008F5F0B" w:rsidP="00E74E10">
      <w:pPr>
        <w:shd w:val="clear" w:color="auto" w:fill="FFFFFF" w:themeFill="background1"/>
        <w:tabs>
          <w:tab w:val="clear" w:pos="288"/>
        </w:tabs>
        <w:spacing w:before="134" w:after="134" w:line="276" w:lineRule="auto"/>
        <w:rPr>
          <w:rFonts w:eastAsia="Times New Roman" w:cstheme="minorBidi"/>
          <w:lang w:eastAsia="en-AU"/>
        </w:rPr>
      </w:pPr>
    </w:p>
    <w:p w14:paraId="08B50C8F" w14:textId="1AE43D26" w:rsidR="00430BDF" w:rsidRDefault="00430BDF" w:rsidP="00E74E10">
      <w:pPr>
        <w:shd w:val="clear" w:color="auto" w:fill="FFFFFF" w:themeFill="background1"/>
        <w:tabs>
          <w:tab w:val="clear" w:pos="288"/>
        </w:tabs>
        <w:spacing w:before="134" w:after="134" w:line="276" w:lineRule="auto"/>
        <w:rPr>
          <w:rFonts w:eastAsia="Times New Roman" w:cstheme="minorBidi"/>
          <w:lang w:eastAsia="en-AU"/>
        </w:rPr>
      </w:pPr>
      <w:r w:rsidRPr="0095596A">
        <w:rPr>
          <w:rFonts w:eastAsia="Times New Roman" w:cstheme="minorBidi"/>
          <w:lang w:eastAsia="en-AU"/>
        </w:rPr>
        <w:t>QAI also urgently calls for the implementation of a rights-based appr</w:t>
      </w:r>
      <w:r w:rsidR="005835E3" w:rsidRPr="0095596A">
        <w:rPr>
          <w:rFonts w:eastAsia="Times New Roman" w:cstheme="minorBidi"/>
          <w:lang w:eastAsia="en-AU"/>
        </w:rPr>
        <w:t>oach</w:t>
      </w:r>
      <w:r w:rsidR="00C92CBA" w:rsidRPr="0095596A">
        <w:rPr>
          <w:rFonts w:eastAsia="Times New Roman" w:cstheme="minorBidi"/>
          <w:lang w:eastAsia="en-AU"/>
        </w:rPr>
        <w:t xml:space="preserve"> to working with people with impaired decision-making capacity, including implementation of supported decision-making practices</w:t>
      </w:r>
      <w:r w:rsidR="009E0B75" w:rsidRPr="0095596A">
        <w:rPr>
          <w:rFonts w:eastAsia="Times New Roman" w:cstheme="minorBidi"/>
          <w:lang w:eastAsia="en-AU"/>
        </w:rPr>
        <w:t xml:space="preserve"> as is required</w:t>
      </w:r>
      <w:r w:rsidR="005603FF" w:rsidRPr="0095596A">
        <w:rPr>
          <w:rFonts w:eastAsia="Times New Roman" w:cstheme="minorBidi"/>
          <w:lang w:eastAsia="en-AU"/>
        </w:rPr>
        <w:t xml:space="preserve"> b</w:t>
      </w:r>
      <w:r w:rsidR="007304BA" w:rsidRPr="0095596A">
        <w:rPr>
          <w:rFonts w:eastAsia="Times New Roman" w:cstheme="minorBidi"/>
          <w:lang w:eastAsia="en-AU"/>
        </w:rPr>
        <w:t xml:space="preserve">y the </w:t>
      </w:r>
      <w:r w:rsidR="00A511A5" w:rsidRPr="0095596A">
        <w:rPr>
          <w:rFonts w:eastAsia="Times New Roman" w:cstheme="minorBidi"/>
          <w:lang w:eastAsia="en-AU"/>
        </w:rPr>
        <w:t>Convention on the Rights of Persons with Disabilities</w:t>
      </w:r>
      <w:r w:rsidR="00EF3FA2" w:rsidRPr="0095596A">
        <w:rPr>
          <w:rFonts w:eastAsia="Times New Roman" w:cstheme="minorBidi"/>
          <w:lang w:eastAsia="en-AU"/>
        </w:rPr>
        <w:t xml:space="preserve"> (CRPD). This involves ensuring </w:t>
      </w:r>
      <w:r w:rsidR="006F796A" w:rsidRPr="0095596A">
        <w:rPr>
          <w:rFonts w:eastAsia="Times New Roman" w:cstheme="minorBidi"/>
          <w:lang w:eastAsia="en-AU"/>
        </w:rPr>
        <w:t xml:space="preserve">that people with disability under financial administration of the Public Trustee are properly informed, consulted and involved in decision-making that affects them. </w:t>
      </w:r>
      <w:r w:rsidR="00DA6324" w:rsidRPr="0095596A">
        <w:rPr>
          <w:rFonts w:eastAsia="Times New Roman" w:cstheme="minorBidi"/>
          <w:lang w:eastAsia="en-AU"/>
        </w:rPr>
        <w:t xml:space="preserve">This </w:t>
      </w:r>
      <w:r w:rsidR="00D401B6" w:rsidRPr="0095596A">
        <w:rPr>
          <w:rFonts w:eastAsia="Times New Roman" w:cstheme="minorBidi"/>
          <w:lang w:eastAsia="en-AU"/>
        </w:rPr>
        <w:t xml:space="preserve">will </w:t>
      </w:r>
      <w:r w:rsidR="00DA6324" w:rsidRPr="0095596A">
        <w:rPr>
          <w:rFonts w:eastAsia="Times New Roman" w:cstheme="minorBidi"/>
          <w:lang w:eastAsia="en-AU"/>
        </w:rPr>
        <w:t>require change at both the</w:t>
      </w:r>
      <w:r w:rsidR="005F5D5E" w:rsidRPr="0095596A">
        <w:rPr>
          <w:rFonts w:eastAsia="Times New Roman" w:cstheme="minorBidi"/>
          <w:lang w:eastAsia="en-AU"/>
        </w:rPr>
        <w:t xml:space="preserve"> Public Trustee’s</w:t>
      </w:r>
      <w:r w:rsidR="00DA6324" w:rsidRPr="0095596A">
        <w:rPr>
          <w:rFonts w:eastAsia="Times New Roman" w:cstheme="minorBidi"/>
          <w:lang w:eastAsia="en-AU"/>
        </w:rPr>
        <w:t xml:space="preserve"> policy level as well as </w:t>
      </w:r>
      <w:r w:rsidR="001C5C64" w:rsidRPr="0095596A">
        <w:rPr>
          <w:rFonts w:eastAsia="Times New Roman" w:cstheme="minorBidi"/>
          <w:lang w:eastAsia="en-AU"/>
        </w:rPr>
        <w:t>the individual</w:t>
      </w:r>
      <w:r w:rsidR="00DA6324" w:rsidRPr="0095596A">
        <w:rPr>
          <w:rFonts w:eastAsia="Times New Roman" w:cstheme="minorBidi"/>
          <w:lang w:eastAsia="en-AU"/>
        </w:rPr>
        <w:t xml:space="preserve"> level,</w:t>
      </w:r>
      <w:r w:rsidR="00CF0BBA" w:rsidRPr="0095596A">
        <w:rPr>
          <w:rFonts w:eastAsia="Times New Roman" w:cstheme="minorBidi"/>
          <w:lang w:eastAsia="en-AU"/>
        </w:rPr>
        <w:t xml:space="preserve"> w</w:t>
      </w:r>
      <w:r w:rsidR="00E23676" w:rsidRPr="0095596A">
        <w:rPr>
          <w:rFonts w:eastAsia="Times New Roman" w:cstheme="minorBidi"/>
          <w:lang w:eastAsia="en-AU"/>
        </w:rPr>
        <w:t xml:space="preserve">ith </w:t>
      </w:r>
      <w:r w:rsidR="001C5C64" w:rsidRPr="0095596A">
        <w:rPr>
          <w:rFonts w:eastAsia="Times New Roman" w:cstheme="minorBidi"/>
          <w:lang w:eastAsia="en-AU"/>
        </w:rPr>
        <w:t>day-to</w:t>
      </w:r>
      <w:r w:rsidR="008A5032" w:rsidRPr="0095596A">
        <w:rPr>
          <w:rFonts w:eastAsia="Times New Roman" w:cstheme="minorBidi"/>
          <w:lang w:eastAsia="en-AU"/>
        </w:rPr>
        <w:t>-day</w:t>
      </w:r>
      <w:r w:rsidR="00E23676" w:rsidRPr="0095596A">
        <w:rPr>
          <w:rFonts w:eastAsia="Times New Roman" w:cstheme="minorBidi"/>
          <w:lang w:eastAsia="en-AU"/>
        </w:rPr>
        <w:t xml:space="preserve"> practices of staff</w:t>
      </w:r>
      <w:r w:rsidR="008A5032" w:rsidRPr="0095596A">
        <w:rPr>
          <w:rFonts w:eastAsia="Times New Roman" w:cstheme="minorBidi"/>
          <w:lang w:eastAsia="en-AU"/>
        </w:rPr>
        <w:t xml:space="preserve"> he</w:t>
      </w:r>
      <w:r w:rsidR="00E74E10" w:rsidRPr="0095596A">
        <w:rPr>
          <w:rFonts w:eastAsia="Times New Roman" w:cstheme="minorBidi"/>
          <w:lang w:eastAsia="en-AU"/>
        </w:rPr>
        <w:t>avily influenced by organisational culture</w:t>
      </w:r>
      <w:r w:rsidR="00593CAE" w:rsidRPr="0095596A">
        <w:rPr>
          <w:rFonts w:eastAsia="Times New Roman" w:cstheme="minorBidi"/>
          <w:lang w:eastAsia="en-AU"/>
        </w:rPr>
        <w:t xml:space="preserve"> and values</w:t>
      </w:r>
      <w:r w:rsidR="00E74E10" w:rsidRPr="0095596A">
        <w:rPr>
          <w:rFonts w:eastAsia="Times New Roman" w:cstheme="minorBidi"/>
          <w:lang w:eastAsia="en-AU"/>
        </w:rPr>
        <w:t>.</w:t>
      </w:r>
    </w:p>
    <w:p w14:paraId="1CECA21D" w14:textId="77777777" w:rsidR="008F5F0B" w:rsidRDefault="008F5F0B" w:rsidP="00E74E10">
      <w:pPr>
        <w:shd w:val="clear" w:color="auto" w:fill="FFFFFF" w:themeFill="background1"/>
        <w:tabs>
          <w:tab w:val="clear" w:pos="288"/>
        </w:tabs>
        <w:spacing w:before="134" w:after="134" w:line="276" w:lineRule="auto"/>
        <w:rPr>
          <w:rFonts w:eastAsia="Times New Roman" w:cstheme="minorBidi"/>
          <w:lang w:eastAsia="en-AU"/>
        </w:rPr>
      </w:pPr>
    </w:p>
    <w:p w14:paraId="391E82B9" w14:textId="77777777" w:rsidR="008C19D8" w:rsidRPr="00EB03E4" w:rsidRDefault="008C19D8" w:rsidP="008C19D8">
      <w:pPr>
        <w:pStyle w:val="Heading1"/>
        <w:spacing w:before="0" w:after="120" w:line="240" w:lineRule="auto"/>
        <w:rPr>
          <w:rFonts w:cstheme="minorHAnsi"/>
        </w:rPr>
      </w:pPr>
      <w:r w:rsidRPr="00EB03E4">
        <w:rPr>
          <w:rFonts w:cstheme="minorHAnsi"/>
        </w:rPr>
        <w:t>Conclusion</w:t>
      </w:r>
    </w:p>
    <w:p w14:paraId="48D64AF7" w14:textId="7BF56A16" w:rsidR="00B375C5" w:rsidRPr="00EB03E4" w:rsidRDefault="008C19D8" w:rsidP="0061659C">
      <w:pPr>
        <w:spacing w:line="276" w:lineRule="auto"/>
      </w:pPr>
      <w:r w:rsidRPr="00EB03E4">
        <w:t xml:space="preserve">QAI thanks the </w:t>
      </w:r>
      <w:r w:rsidR="001A49C6">
        <w:t>Public Trustee</w:t>
      </w:r>
      <w:r w:rsidRPr="00EB03E4">
        <w:t xml:space="preserve"> for the opportunity to contribute to this </w:t>
      </w:r>
      <w:r w:rsidR="001A49C6">
        <w:t>review</w:t>
      </w:r>
      <w:r w:rsidRPr="00EB03E4">
        <w:t>. We are happy to provide further information or clarification of any of the matters raised in this submission upon request.</w:t>
      </w:r>
    </w:p>
    <w:sectPr w:rsidR="00B375C5" w:rsidRPr="00EB03E4" w:rsidSect="00EF4028">
      <w:headerReference w:type="default" r:id="rId11"/>
      <w:footerReference w:type="even" r:id="rId12"/>
      <w:footerReference w:type="default" r:id="rId13"/>
      <w:headerReference w:type="first" r:id="rId14"/>
      <w:footerReference w:type="first" r:id="rId15"/>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8AE1" w14:textId="77777777" w:rsidR="002A3D3E" w:rsidRDefault="002A3D3E" w:rsidP="007A3268">
      <w:r>
        <w:separator/>
      </w:r>
    </w:p>
  </w:endnote>
  <w:endnote w:type="continuationSeparator" w:id="0">
    <w:p w14:paraId="066D2290" w14:textId="77777777" w:rsidR="002A3D3E" w:rsidRDefault="002A3D3E" w:rsidP="007A3268">
      <w:r>
        <w:continuationSeparator/>
      </w:r>
    </w:p>
  </w:endnote>
  <w:endnote w:type="continuationNotice" w:id="1">
    <w:p w14:paraId="0AB8BFA0" w14:textId="77777777" w:rsidR="002A3D3E" w:rsidRDefault="002A3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Content>
      <w:p w14:paraId="3F07FD03" w14:textId="77777777" w:rsidR="00B375C5" w:rsidRDefault="007A3268" w:rsidP="00B37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B375C5" w:rsidRDefault="00B375C5" w:rsidP="00B37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B375C5" w:rsidRPr="005079CE" w:rsidRDefault="007A3268" w:rsidP="00B375C5">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A1676"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B375C5" w:rsidRPr="00475C02" w:rsidRDefault="007A3268" w:rsidP="00B375C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B375C5" w:rsidRPr="00BC44D8" w:rsidRDefault="007A3268" w:rsidP="00B375C5">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9ED2"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3"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BF5F2"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1"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C75E"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B375C5"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BA371" id="Rectangle 18" o:spid="_x0000_s1026" style="position:absolute;margin-left:233.95pt;margin-top:-276.75pt;width:6.1pt;height:616.5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0006" w14:textId="77777777" w:rsidR="002A3D3E" w:rsidRDefault="002A3D3E" w:rsidP="007A3268">
      <w:r>
        <w:separator/>
      </w:r>
    </w:p>
  </w:footnote>
  <w:footnote w:type="continuationSeparator" w:id="0">
    <w:p w14:paraId="214292BA" w14:textId="77777777" w:rsidR="002A3D3E" w:rsidRDefault="002A3D3E" w:rsidP="007A3268">
      <w:r>
        <w:continuationSeparator/>
      </w:r>
    </w:p>
  </w:footnote>
  <w:footnote w:type="continuationNotice" w:id="1">
    <w:p w14:paraId="331C3F75" w14:textId="77777777" w:rsidR="002A3D3E" w:rsidRDefault="002A3D3E"/>
  </w:footnote>
  <w:footnote w:id="2">
    <w:p w14:paraId="2AD869E5" w14:textId="0D4B19E7" w:rsidR="00E64C46" w:rsidRPr="00E64C46" w:rsidRDefault="00E64C46">
      <w:pPr>
        <w:pStyle w:val="FootnoteText"/>
        <w:rPr>
          <w:lang w:val="en-US"/>
        </w:rPr>
      </w:pPr>
      <w:r>
        <w:rPr>
          <w:rStyle w:val="FootnoteReference"/>
        </w:rPr>
        <w:footnoteRef/>
      </w:r>
      <w:r>
        <w:t xml:space="preserve"> </w:t>
      </w:r>
      <w:r>
        <w:rPr>
          <w:lang w:val="en-US"/>
        </w:rPr>
        <w:t xml:space="preserve">Public Trustee of Queensland; </w:t>
      </w:r>
      <w:r w:rsidRPr="00E64C46">
        <w:rPr>
          <w:lang w:val="en-US"/>
        </w:rPr>
        <w:t>https://www.pt.qld.gov.au/fees-and-charges-review-public-consultation/</w:t>
      </w:r>
    </w:p>
  </w:footnote>
  <w:footnote w:id="3">
    <w:p w14:paraId="513A7192" w14:textId="7F792EB7" w:rsidR="00170BAD" w:rsidRPr="00170BAD" w:rsidRDefault="00170BAD">
      <w:pPr>
        <w:pStyle w:val="FootnoteText"/>
        <w:rPr>
          <w:lang w:val="en-US"/>
        </w:rPr>
      </w:pPr>
      <w:r>
        <w:rPr>
          <w:rStyle w:val="FootnoteReference"/>
        </w:rPr>
        <w:footnoteRef/>
      </w:r>
      <w:r>
        <w:t xml:space="preserve"> </w:t>
      </w:r>
      <w:r>
        <w:rPr>
          <w:lang w:val="en-US"/>
        </w:rPr>
        <w:t>Ibid</w:t>
      </w:r>
    </w:p>
  </w:footnote>
  <w:footnote w:id="4">
    <w:p w14:paraId="08C9105E" w14:textId="3F7D3699" w:rsidR="00F046AF" w:rsidRPr="00F046AF" w:rsidRDefault="00F046AF">
      <w:pPr>
        <w:pStyle w:val="FootnoteText"/>
        <w:rPr>
          <w:lang w:val="en-US"/>
        </w:rPr>
      </w:pPr>
      <w:r>
        <w:rPr>
          <w:rStyle w:val="FootnoteReference"/>
        </w:rPr>
        <w:footnoteRef/>
      </w:r>
      <w:r>
        <w:t xml:space="preserve"> </w:t>
      </w:r>
      <w:r w:rsidRPr="00497899">
        <w:rPr>
          <w:i/>
          <w:iCs/>
          <w:lang w:val="en-US"/>
        </w:rPr>
        <w:t>Guardianship and Administration Act 2000</w:t>
      </w:r>
      <w:r>
        <w:rPr>
          <w:lang w:val="en-US"/>
        </w:rPr>
        <w:t xml:space="preserve"> (Qld), s</w:t>
      </w:r>
      <w:r w:rsidR="00506886">
        <w:rPr>
          <w:lang w:val="en-US"/>
        </w:rPr>
        <w:t xml:space="preserve"> 11B</w:t>
      </w:r>
      <w:r w:rsidR="00935A05">
        <w:rPr>
          <w:lang w:val="en-US"/>
        </w:rPr>
        <w:t>(3)</w:t>
      </w:r>
      <w:r w:rsidR="00497899">
        <w:rPr>
          <w:lang w:val="en-US"/>
        </w:rPr>
        <w:t>8(2)</w:t>
      </w:r>
    </w:p>
  </w:footnote>
  <w:footnote w:id="5">
    <w:p w14:paraId="4B834AFD" w14:textId="52AB20B7" w:rsidR="003E2E30" w:rsidRPr="003E2E30" w:rsidRDefault="003E2E30">
      <w:pPr>
        <w:pStyle w:val="FootnoteText"/>
        <w:rPr>
          <w:lang w:val="en-US"/>
        </w:rPr>
      </w:pPr>
      <w:r>
        <w:rPr>
          <w:rStyle w:val="FootnoteReference"/>
        </w:rPr>
        <w:footnoteRef/>
      </w:r>
      <w:r>
        <w:t xml:space="preserve"> </w:t>
      </w:r>
      <w:r>
        <w:rPr>
          <w:lang w:val="en-US"/>
        </w:rPr>
        <w:t>Ibid, s11</w:t>
      </w:r>
      <w:r w:rsidR="00C7424F">
        <w:rPr>
          <w:lang w:val="en-US"/>
        </w:rPr>
        <w:t>B(</w:t>
      </w:r>
      <w:r w:rsidR="00DA59BE">
        <w:rPr>
          <w:lang w:val="en-US"/>
        </w:rPr>
        <w:t>3)</w:t>
      </w:r>
      <w:r w:rsidR="006C4889">
        <w:rPr>
          <w:lang w:val="en-US"/>
        </w:rPr>
        <w:t>10(</w:t>
      </w:r>
      <w:r w:rsidR="0074366E">
        <w:rPr>
          <w:lang w:val="en-US"/>
        </w:rPr>
        <w:t>3)</w:t>
      </w:r>
    </w:p>
  </w:footnote>
  <w:footnote w:id="6">
    <w:p w14:paraId="7EA75749" w14:textId="30AA7E5F" w:rsidR="00333AC1" w:rsidRPr="00333AC1" w:rsidRDefault="00333AC1">
      <w:pPr>
        <w:pStyle w:val="FootnoteText"/>
        <w:rPr>
          <w:lang w:val="en-US"/>
        </w:rPr>
      </w:pPr>
      <w:r>
        <w:rPr>
          <w:rStyle w:val="FootnoteReference"/>
        </w:rPr>
        <w:footnoteRef/>
      </w:r>
      <w:r>
        <w:t xml:space="preserve"> </w:t>
      </w:r>
      <w:r w:rsidRPr="00BB494F">
        <w:rPr>
          <w:i/>
          <w:iCs/>
          <w:lang w:val="en-US"/>
        </w:rPr>
        <w:t>Human Rights Act 2019</w:t>
      </w:r>
      <w:r>
        <w:rPr>
          <w:lang w:val="en-US"/>
        </w:rPr>
        <w:t xml:space="preserve"> (Qld), s</w:t>
      </w:r>
      <w:r w:rsidR="002E3A18">
        <w:rPr>
          <w:lang w:val="en-US"/>
        </w:rPr>
        <w:t xml:space="preserve"> 15</w:t>
      </w:r>
    </w:p>
  </w:footnote>
  <w:footnote w:id="7">
    <w:p w14:paraId="41273192" w14:textId="2FF1C7E2" w:rsidR="00070830" w:rsidRPr="00F666BA" w:rsidRDefault="00070830">
      <w:pPr>
        <w:pStyle w:val="FootnoteText"/>
        <w:rPr>
          <w:lang w:val="en-US"/>
        </w:rPr>
      </w:pPr>
      <w:r>
        <w:rPr>
          <w:rStyle w:val="FootnoteReference"/>
        </w:rPr>
        <w:footnoteRef/>
      </w:r>
      <w:r>
        <w:t xml:space="preserve"> </w:t>
      </w:r>
      <w:r>
        <w:rPr>
          <w:lang w:val="en-US"/>
        </w:rPr>
        <w:t>Public Advocate</w:t>
      </w:r>
      <w:r w:rsidR="00CA5DCF">
        <w:rPr>
          <w:lang w:val="en-US"/>
        </w:rPr>
        <w:t xml:space="preserve"> (2021) </w:t>
      </w:r>
      <w:r w:rsidR="00F666BA">
        <w:rPr>
          <w:i/>
          <w:iCs/>
          <w:lang w:val="en-US"/>
        </w:rPr>
        <w:t>Preserving the financial futures of vulnerable Queenslanders: Executive summary</w:t>
      </w:r>
      <w:r w:rsidR="00F666BA">
        <w:rPr>
          <w:lang w:val="en-US"/>
        </w:rPr>
        <w:t>; p 5</w:t>
      </w:r>
    </w:p>
  </w:footnote>
  <w:footnote w:id="8">
    <w:p w14:paraId="1BE40EAD" w14:textId="31A6F666" w:rsidR="006527FA" w:rsidRPr="006527FA" w:rsidRDefault="006527FA">
      <w:pPr>
        <w:pStyle w:val="FootnoteText"/>
        <w:rPr>
          <w:lang w:val="en-US"/>
        </w:rPr>
      </w:pPr>
      <w:r>
        <w:rPr>
          <w:rStyle w:val="FootnoteReference"/>
        </w:rPr>
        <w:footnoteRef/>
      </w:r>
      <w:r>
        <w:t xml:space="preserve"> </w:t>
      </w:r>
      <w:r w:rsidR="0000409E">
        <w:rPr>
          <w:lang w:val="en-US"/>
        </w:rPr>
        <w:t>The Public Trustee</w:t>
      </w:r>
      <w:r w:rsidR="00C618D0">
        <w:rPr>
          <w:lang w:val="en-US"/>
        </w:rPr>
        <w:t xml:space="preserve">, </w:t>
      </w:r>
      <w:r w:rsidR="00C618D0" w:rsidRPr="008505E9">
        <w:rPr>
          <w:i/>
          <w:iCs/>
          <w:lang w:val="en-US"/>
        </w:rPr>
        <w:t>Annual Report</w:t>
      </w:r>
      <w:r w:rsidR="00985409" w:rsidRPr="008505E9">
        <w:rPr>
          <w:i/>
          <w:iCs/>
          <w:lang w:val="en-US"/>
        </w:rPr>
        <w:t xml:space="preserve"> 2019-20</w:t>
      </w:r>
      <w:r w:rsidR="008505E9">
        <w:rPr>
          <w:lang w:val="en-US"/>
        </w:rPr>
        <w:t>, p 14</w:t>
      </w:r>
    </w:p>
  </w:footnote>
  <w:footnote w:id="9">
    <w:p w14:paraId="5757EB59" w14:textId="717D7801" w:rsidR="0019680C" w:rsidRPr="0019680C" w:rsidRDefault="0019680C">
      <w:pPr>
        <w:pStyle w:val="FootnoteText"/>
        <w:rPr>
          <w:lang w:val="en-US"/>
        </w:rPr>
      </w:pPr>
      <w:r>
        <w:rPr>
          <w:rStyle w:val="FootnoteReference"/>
        </w:rPr>
        <w:footnoteRef/>
      </w:r>
      <w:r>
        <w:t xml:space="preserve"> </w:t>
      </w:r>
      <w:r>
        <w:rPr>
          <w:lang w:val="en-US"/>
        </w:rPr>
        <w:t xml:space="preserve">Public Advocate (2021) </w:t>
      </w:r>
      <w:r>
        <w:rPr>
          <w:i/>
          <w:iCs/>
          <w:lang w:val="en-US"/>
        </w:rPr>
        <w:t>Preserving the financial futures of vulnerable Queenslanders: Executive summary</w:t>
      </w:r>
      <w:r>
        <w:rPr>
          <w:lang w:val="en-US"/>
        </w:rPr>
        <w:t>; p 11</w:t>
      </w:r>
    </w:p>
  </w:footnote>
  <w:footnote w:id="10">
    <w:p w14:paraId="0BC0C207" w14:textId="72B81E79" w:rsidR="00E27063" w:rsidRPr="00E27063" w:rsidRDefault="00E27063">
      <w:pPr>
        <w:pStyle w:val="FootnoteText"/>
        <w:rPr>
          <w:lang w:val="en-US"/>
        </w:rPr>
      </w:pPr>
      <w:r>
        <w:rPr>
          <w:rStyle w:val="FootnoteReference"/>
        </w:rPr>
        <w:footnoteRef/>
      </w:r>
      <w:r>
        <w:t xml:space="preserve"> </w:t>
      </w:r>
      <w:r>
        <w:rPr>
          <w:lang w:val="en-US"/>
        </w:rPr>
        <w:t>Ibid</w:t>
      </w:r>
    </w:p>
  </w:footnote>
  <w:footnote w:id="11">
    <w:p w14:paraId="45603655" w14:textId="6D9F72B0" w:rsidR="0032171D" w:rsidRPr="00E81FA6" w:rsidRDefault="0032171D">
      <w:pPr>
        <w:pStyle w:val="FootnoteText"/>
        <w:rPr>
          <w:lang w:val="en-US"/>
        </w:rPr>
      </w:pPr>
      <w:r>
        <w:rPr>
          <w:rStyle w:val="FootnoteReference"/>
        </w:rPr>
        <w:footnoteRef/>
      </w:r>
      <w:r>
        <w:t xml:space="preserve"> </w:t>
      </w:r>
      <w:r>
        <w:rPr>
          <w:lang w:val="en-US"/>
        </w:rPr>
        <w:t xml:space="preserve">Public Advocate (2021) </w:t>
      </w:r>
      <w:r>
        <w:rPr>
          <w:i/>
          <w:iCs/>
          <w:lang w:val="en-US"/>
        </w:rPr>
        <w:t>Preserving the financial futures of vulnerable Queenslanders: Executive summary</w:t>
      </w:r>
      <w:r w:rsidR="00E81FA6">
        <w:rPr>
          <w:lang w:val="en-US"/>
        </w:rPr>
        <w:t>, p 10</w:t>
      </w:r>
    </w:p>
  </w:footnote>
  <w:footnote w:id="12">
    <w:p w14:paraId="77BA4BEF" w14:textId="7C492F99" w:rsidR="00CA73C1" w:rsidRPr="00842402" w:rsidRDefault="00CA73C1">
      <w:pPr>
        <w:pStyle w:val="FootnoteText"/>
        <w:rPr>
          <w:lang w:val="en-US"/>
        </w:rPr>
      </w:pPr>
      <w:r>
        <w:rPr>
          <w:rStyle w:val="FootnoteReference"/>
        </w:rPr>
        <w:footnoteRef/>
      </w:r>
      <w:r>
        <w:t xml:space="preserve"> </w:t>
      </w:r>
      <w:r>
        <w:rPr>
          <w:lang w:val="en-US"/>
        </w:rPr>
        <w:t>Slater &amp; Gordon</w:t>
      </w:r>
      <w:r w:rsidR="005934EB">
        <w:rPr>
          <w:lang w:val="en-US"/>
        </w:rPr>
        <w:t xml:space="preserve">, </w:t>
      </w:r>
      <w:r w:rsidR="005934EB" w:rsidRPr="00D1662B">
        <w:rPr>
          <w:i/>
          <w:iCs/>
          <w:lang w:val="en-US"/>
        </w:rPr>
        <w:t>A Recent Review of The Public Trustee Queensland</w:t>
      </w:r>
      <w:r w:rsidR="00842402">
        <w:rPr>
          <w:lang w:val="en-US"/>
        </w:rPr>
        <w:t xml:space="preserve"> in ‘Social Work </w:t>
      </w:r>
      <w:r w:rsidR="00521AB6">
        <w:rPr>
          <w:lang w:val="en-US"/>
        </w:rPr>
        <w:t>&amp; the Law: Winter 2021</w:t>
      </w:r>
      <w:r w:rsidR="009819BB">
        <w:rPr>
          <w:lang w:val="en-US"/>
        </w:rPr>
        <w:t xml:space="preserve">, p </w:t>
      </w:r>
      <w:r w:rsidR="004E13C4">
        <w:rPr>
          <w:lang w:val="en-US"/>
        </w:rPr>
        <w:t>8</w:t>
      </w:r>
    </w:p>
  </w:footnote>
  <w:footnote w:id="13">
    <w:p w14:paraId="72F708EB" w14:textId="77777777" w:rsidR="00FB7B3E" w:rsidRPr="00920383" w:rsidRDefault="00FB7B3E" w:rsidP="00FB7B3E">
      <w:pPr>
        <w:pStyle w:val="FootnoteText"/>
        <w:rPr>
          <w:lang w:val="en-US"/>
        </w:rPr>
      </w:pPr>
      <w:r>
        <w:rPr>
          <w:rStyle w:val="FootnoteReference"/>
        </w:rPr>
        <w:footnoteRef/>
      </w:r>
      <w:r>
        <w:t xml:space="preserve"> </w:t>
      </w:r>
      <w:r>
        <w:rPr>
          <w:lang w:val="en-US"/>
        </w:rPr>
        <w:t xml:space="preserve">Public Advocate (2021) </w:t>
      </w:r>
      <w:r>
        <w:rPr>
          <w:i/>
          <w:iCs/>
          <w:lang w:val="en-US"/>
        </w:rPr>
        <w:t>Preserving the financial futures of vulnerable Queenslanders: Executive summary</w:t>
      </w:r>
      <w:r>
        <w:rPr>
          <w:lang w:val="en-US"/>
        </w:rPr>
        <w:t>, p 13</w:t>
      </w:r>
    </w:p>
  </w:footnote>
  <w:footnote w:id="14">
    <w:p w14:paraId="0B2C7EAB" w14:textId="11A1D141" w:rsidR="0040466C" w:rsidRPr="00565CB0" w:rsidRDefault="0040466C">
      <w:pPr>
        <w:pStyle w:val="FootnoteText"/>
        <w:rPr>
          <w:lang w:val="en-US"/>
        </w:rPr>
      </w:pPr>
      <w:r>
        <w:rPr>
          <w:rStyle w:val="FootnoteReference"/>
        </w:rPr>
        <w:footnoteRef/>
      </w:r>
      <w:r>
        <w:t xml:space="preserve"> </w:t>
      </w:r>
      <w:r>
        <w:rPr>
          <w:lang w:val="en-US"/>
        </w:rPr>
        <w:t xml:space="preserve">Public Advocate (2021) </w:t>
      </w:r>
      <w:r>
        <w:rPr>
          <w:i/>
          <w:iCs/>
          <w:lang w:val="en-US"/>
        </w:rPr>
        <w:t>Preserving the financial futures of vulnerable Queenslanders</w:t>
      </w:r>
      <w:r w:rsidR="00565CB0">
        <w:rPr>
          <w:i/>
          <w:iCs/>
          <w:lang w:val="en-US"/>
        </w:rPr>
        <w:t>: List of recommendations,</w:t>
      </w:r>
      <w:r w:rsidR="00565CB0">
        <w:rPr>
          <w:lang w:val="en-US"/>
        </w:rPr>
        <w:t xml:space="preserve"> p 1</w:t>
      </w:r>
    </w:p>
  </w:footnote>
  <w:footnote w:id="15">
    <w:p w14:paraId="06429C6C" w14:textId="77777777" w:rsidR="00CE4B6B" w:rsidRPr="00565CB0" w:rsidRDefault="00565CB0" w:rsidP="00CE4B6B">
      <w:pPr>
        <w:pStyle w:val="FootnoteText"/>
        <w:rPr>
          <w:lang w:val="en-US"/>
        </w:rPr>
      </w:pPr>
      <w:r>
        <w:rPr>
          <w:rStyle w:val="FootnoteReference"/>
        </w:rPr>
        <w:footnoteRef/>
      </w:r>
      <w:r>
        <w:t xml:space="preserve"> </w:t>
      </w:r>
      <w:r w:rsidR="00CE4B6B">
        <w:rPr>
          <w:lang w:val="en-US"/>
        </w:rPr>
        <w:t xml:space="preserve">Public Advocate (2021) </w:t>
      </w:r>
      <w:r w:rsidR="00CE4B6B">
        <w:rPr>
          <w:i/>
          <w:iCs/>
          <w:lang w:val="en-US"/>
        </w:rPr>
        <w:t>Preserving the financial futures of vulnerable Queenslanders: List of recommendations,</w:t>
      </w:r>
      <w:r w:rsidR="00CE4B6B">
        <w:rPr>
          <w:lang w:val="en-US"/>
        </w:rPr>
        <w:t xml:space="preserve"> p 1</w:t>
      </w:r>
    </w:p>
    <w:p w14:paraId="4B7D1EB1" w14:textId="03FDDE90" w:rsidR="00565CB0" w:rsidRPr="00565CB0" w:rsidRDefault="00565CB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2A7D3" id="Rectangle 5" o:spid="_x0000_s1026" style="position:absolute;margin-left:252.75pt;margin-top:-313.6pt;width:6.1pt;height:616.5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0F5CFF6B" w:rsidR="00B375C5" w:rsidRDefault="00F85013">
    <w:pPr>
      <w:pStyle w:val="Header"/>
    </w:pPr>
    <w:r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75E53C36">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FC9A" id="_x0000_t202" coordsize="21600,21600" o:spt="202" path="m,l,21600r21600,l21600,xe">
              <v:stroke joinstyle="miter"/>
              <v:path gradientshapeok="t" o:connecttype="rect"/>
            </v:shapetype>
            <v:shape id="Text Box 6" o:spid="_x0000_s1026" type="#_x0000_t202" style="position:absolute;left:0;text-align:left;margin-left:42.75pt;margin-top:1.4pt;width:363.7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5QgIAAHkEAAAOAAAAZHJzL2Uyb0RvYy54bWysVE2P2jAQvVfqf7B8Lwks0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7BB7EE34">
              <wp:simplePos x="0" y="0"/>
              <wp:positionH relativeFrom="margin">
                <wp:posOffset>2047875</wp:posOffset>
              </wp:positionH>
              <wp:positionV relativeFrom="paragraph">
                <wp:posOffset>532131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0679F3AF"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43F4" id="Text Box 1" o:spid="_x0000_s1027" type="#_x0000_t202" style="position:absolute;left:0;text-align:left;margin-left:161.25pt;margin-top:41.9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a1QgIAAIA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" fillcolor="white [3201]" stroked="f" strokeweight=".5pt">
              <v:textbox>
                <w:txbxContent>
                  <w:p w14:paraId="35F44993" w14:textId="0679F3AF" w:rsidR="006127CF" w:rsidRPr="00EF4028" w:rsidRDefault="00FA27BC" w:rsidP="006127CF">
                    <w:pPr>
                      <w:spacing w:line="276" w:lineRule="auto"/>
                      <w:jc w:val="right"/>
                      <w:rPr>
                        <w:rFonts w:cstheme="minorHAnsi"/>
                        <w:color w:val="595959" w:themeColor="text1" w:themeTint="A6"/>
                        <w:sz w:val="24"/>
                      </w:rPr>
                    </w:pPr>
                    <w:r>
                      <w:rPr>
                        <w:rFonts w:cstheme="minorHAnsi"/>
                        <w:color w:val="595959" w:themeColor="text1" w:themeTint="A6"/>
                        <w:sz w:val="24"/>
                      </w:rPr>
                      <w:t>A</w:t>
                    </w:r>
                    <w:r w:rsidR="006127CF" w:rsidRPr="00EF4028">
                      <w:rPr>
                        <w:rFonts w:cstheme="minorHAnsi"/>
                        <w:color w:val="595959" w:themeColor="text1" w:themeTint="A6"/>
                        <w:sz w:val="24"/>
                      </w:rPr>
                      <w:t>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2F35B" id="Rectangle 3" o:spid="_x0000_s1026" style="position:absolute;margin-left:240.15pt;margin-top:-269.5pt;width:6.1pt;height:616.5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fillcolor="red" stroked="f" strokeweight="1pt">
              <w10:wrap anchorx="margin"/>
            </v:rect>
          </w:pict>
        </mc:Fallback>
      </mc:AlternateContent>
    </w:r>
    <w:r w:rsidR="006127CF">
      <w:rPr>
        <w:noProof/>
        <w:color w:val="000000" w:themeColor="text1"/>
        <w:sz w:val="18"/>
        <w:szCs w:val="18"/>
        <w:lang w:eastAsia="en-AU"/>
      </w:rPr>
      <w:drawing>
        <wp:anchor distT="0" distB="0" distL="114300" distR="114300" simplePos="0" relativeHeight="251658246"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6D7"/>
    <w:multiLevelType w:val="multilevel"/>
    <w:tmpl w:val="571C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C78CB"/>
    <w:multiLevelType w:val="hybridMultilevel"/>
    <w:tmpl w:val="A778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17117"/>
    <w:multiLevelType w:val="multilevel"/>
    <w:tmpl w:val="9A0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E773F"/>
    <w:multiLevelType w:val="hybridMultilevel"/>
    <w:tmpl w:val="19263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A4AAD"/>
    <w:multiLevelType w:val="hybridMultilevel"/>
    <w:tmpl w:val="2EE69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916023"/>
    <w:multiLevelType w:val="hybridMultilevel"/>
    <w:tmpl w:val="AD80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C2D58"/>
    <w:multiLevelType w:val="hybridMultilevel"/>
    <w:tmpl w:val="8A4E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B69FE"/>
    <w:multiLevelType w:val="hybridMultilevel"/>
    <w:tmpl w:val="E41803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A20D1"/>
    <w:multiLevelType w:val="multilevel"/>
    <w:tmpl w:val="689E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A2C48"/>
    <w:multiLevelType w:val="hybridMultilevel"/>
    <w:tmpl w:val="328A30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4BA5E56"/>
    <w:multiLevelType w:val="hybridMultilevel"/>
    <w:tmpl w:val="B530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155B32"/>
    <w:multiLevelType w:val="multilevel"/>
    <w:tmpl w:val="8D8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34E87"/>
    <w:multiLevelType w:val="hybridMultilevel"/>
    <w:tmpl w:val="A762D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1165F3"/>
    <w:multiLevelType w:val="hybridMultilevel"/>
    <w:tmpl w:val="C72C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302FED"/>
    <w:multiLevelType w:val="hybridMultilevel"/>
    <w:tmpl w:val="204813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2"/>
  </w:num>
  <w:num w:numId="4">
    <w:abstractNumId w:val="11"/>
  </w:num>
  <w:num w:numId="5">
    <w:abstractNumId w:val="8"/>
  </w:num>
  <w:num w:numId="6">
    <w:abstractNumId w:val="10"/>
  </w:num>
  <w:num w:numId="7">
    <w:abstractNumId w:val="5"/>
  </w:num>
  <w:num w:numId="8">
    <w:abstractNumId w:val="13"/>
  </w:num>
  <w:num w:numId="9">
    <w:abstractNumId w:val="12"/>
  </w:num>
  <w:num w:numId="10">
    <w:abstractNumId w:val="1"/>
  </w:num>
  <w:num w:numId="11">
    <w:abstractNumId w:val="7"/>
  </w:num>
  <w:num w:numId="12">
    <w:abstractNumId w:val="14"/>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9A3"/>
    <w:rsid w:val="0000232C"/>
    <w:rsid w:val="0000409E"/>
    <w:rsid w:val="00004E59"/>
    <w:rsid w:val="00005A78"/>
    <w:rsid w:val="000074C7"/>
    <w:rsid w:val="00007B9D"/>
    <w:rsid w:val="00007BCA"/>
    <w:rsid w:val="0001137B"/>
    <w:rsid w:val="000144A5"/>
    <w:rsid w:val="00017F5A"/>
    <w:rsid w:val="000204E3"/>
    <w:rsid w:val="00020D02"/>
    <w:rsid w:val="0002526A"/>
    <w:rsid w:val="000253D6"/>
    <w:rsid w:val="00027E38"/>
    <w:rsid w:val="000306E4"/>
    <w:rsid w:val="00030B1D"/>
    <w:rsid w:val="00040128"/>
    <w:rsid w:val="00042CF3"/>
    <w:rsid w:val="00046151"/>
    <w:rsid w:val="000506F7"/>
    <w:rsid w:val="00053380"/>
    <w:rsid w:val="000535BC"/>
    <w:rsid w:val="00053F4C"/>
    <w:rsid w:val="00054CD7"/>
    <w:rsid w:val="000566AF"/>
    <w:rsid w:val="00057BFC"/>
    <w:rsid w:val="000603D3"/>
    <w:rsid w:val="00062094"/>
    <w:rsid w:val="00063EA4"/>
    <w:rsid w:val="00070830"/>
    <w:rsid w:val="00070D25"/>
    <w:rsid w:val="0007171C"/>
    <w:rsid w:val="00074933"/>
    <w:rsid w:val="00076159"/>
    <w:rsid w:val="000769E7"/>
    <w:rsid w:val="00076A9B"/>
    <w:rsid w:val="000775A7"/>
    <w:rsid w:val="00077C37"/>
    <w:rsid w:val="000821FF"/>
    <w:rsid w:val="00083367"/>
    <w:rsid w:val="0009050B"/>
    <w:rsid w:val="00094BC4"/>
    <w:rsid w:val="00096B04"/>
    <w:rsid w:val="000A19F5"/>
    <w:rsid w:val="000A1ABB"/>
    <w:rsid w:val="000A27E4"/>
    <w:rsid w:val="000A2AC6"/>
    <w:rsid w:val="000A4E76"/>
    <w:rsid w:val="000A574C"/>
    <w:rsid w:val="000A690A"/>
    <w:rsid w:val="000B6345"/>
    <w:rsid w:val="000C02DD"/>
    <w:rsid w:val="000C33F2"/>
    <w:rsid w:val="000C3967"/>
    <w:rsid w:val="000C5C87"/>
    <w:rsid w:val="000C6BF8"/>
    <w:rsid w:val="000C7F4A"/>
    <w:rsid w:val="000D1A54"/>
    <w:rsid w:val="000D2173"/>
    <w:rsid w:val="000D2702"/>
    <w:rsid w:val="000D3D01"/>
    <w:rsid w:val="000D46E7"/>
    <w:rsid w:val="000D6D0F"/>
    <w:rsid w:val="000D78D3"/>
    <w:rsid w:val="000D7F88"/>
    <w:rsid w:val="000E0756"/>
    <w:rsid w:val="000E2BCD"/>
    <w:rsid w:val="000E31D5"/>
    <w:rsid w:val="000E62D0"/>
    <w:rsid w:val="000F242F"/>
    <w:rsid w:val="000F2A20"/>
    <w:rsid w:val="000F3384"/>
    <w:rsid w:val="00101280"/>
    <w:rsid w:val="00101E6E"/>
    <w:rsid w:val="001020A3"/>
    <w:rsid w:val="00102C47"/>
    <w:rsid w:val="00103AFA"/>
    <w:rsid w:val="00111CBE"/>
    <w:rsid w:val="0011223C"/>
    <w:rsid w:val="0011286B"/>
    <w:rsid w:val="00113701"/>
    <w:rsid w:val="001178B0"/>
    <w:rsid w:val="00121BE1"/>
    <w:rsid w:val="00124D14"/>
    <w:rsid w:val="00124FEC"/>
    <w:rsid w:val="0012550A"/>
    <w:rsid w:val="00126F81"/>
    <w:rsid w:val="001301B5"/>
    <w:rsid w:val="001315E3"/>
    <w:rsid w:val="0013300C"/>
    <w:rsid w:val="00134A53"/>
    <w:rsid w:val="00136E6E"/>
    <w:rsid w:val="00137354"/>
    <w:rsid w:val="00141876"/>
    <w:rsid w:val="00142A7F"/>
    <w:rsid w:val="00143032"/>
    <w:rsid w:val="001442D8"/>
    <w:rsid w:val="0015013D"/>
    <w:rsid w:val="00151121"/>
    <w:rsid w:val="00151EB8"/>
    <w:rsid w:val="00155B0C"/>
    <w:rsid w:val="00156DC9"/>
    <w:rsid w:val="00157A44"/>
    <w:rsid w:val="00160FE0"/>
    <w:rsid w:val="00170BAD"/>
    <w:rsid w:val="0017371A"/>
    <w:rsid w:val="001745A7"/>
    <w:rsid w:val="00175935"/>
    <w:rsid w:val="001817E9"/>
    <w:rsid w:val="001842ED"/>
    <w:rsid w:val="001914A1"/>
    <w:rsid w:val="001950D5"/>
    <w:rsid w:val="0019680C"/>
    <w:rsid w:val="00196AAB"/>
    <w:rsid w:val="001A2E24"/>
    <w:rsid w:val="001A3608"/>
    <w:rsid w:val="001A42A6"/>
    <w:rsid w:val="001A49C6"/>
    <w:rsid w:val="001A56DC"/>
    <w:rsid w:val="001A69B4"/>
    <w:rsid w:val="001A6E01"/>
    <w:rsid w:val="001B1241"/>
    <w:rsid w:val="001B1E0A"/>
    <w:rsid w:val="001B30DD"/>
    <w:rsid w:val="001B4256"/>
    <w:rsid w:val="001B650B"/>
    <w:rsid w:val="001B7CA7"/>
    <w:rsid w:val="001C2C7F"/>
    <w:rsid w:val="001C4B06"/>
    <w:rsid w:val="001C5C64"/>
    <w:rsid w:val="001C5EED"/>
    <w:rsid w:val="001C628F"/>
    <w:rsid w:val="001C696D"/>
    <w:rsid w:val="001D40E5"/>
    <w:rsid w:val="001D65FE"/>
    <w:rsid w:val="001D74E8"/>
    <w:rsid w:val="001D786D"/>
    <w:rsid w:val="001E13B6"/>
    <w:rsid w:val="001E211D"/>
    <w:rsid w:val="001F2252"/>
    <w:rsid w:val="001F2C7D"/>
    <w:rsid w:val="001F4915"/>
    <w:rsid w:val="001F5A26"/>
    <w:rsid w:val="001F735F"/>
    <w:rsid w:val="001F7844"/>
    <w:rsid w:val="00204462"/>
    <w:rsid w:val="002049C7"/>
    <w:rsid w:val="00204E26"/>
    <w:rsid w:val="00205818"/>
    <w:rsid w:val="00210576"/>
    <w:rsid w:val="00210CF8"/>
    <w:rsid w:val="002118EE"/>
    <w:rsid w:val="00212D6F"/>
    <w:rsid w:val="00215525"/>
    <w:rsid w:val="00216F6F"/>
    <w:rsid w:val="00217BD0"/>
    <w:rsid w:val="00217C94"/>
    <w:rsid w:val="00223A05"/>
    <w:rsid w:val="00223E11"/>
    <w:rsid w:val="00225C05"/>
    <w:rsid w:val="0023130C"/>
    <w:rsid w:val="00232DAA"/>
    <w:rsid w:val="002350EC"/>
    <w:rsid w:val="00235220"/>
    <w:rsid w:val="00235909"/>
    <w:rsid w:val="00236507"/>
    <w:rsid w:val="002372E7"/>
    <w:rsid w:val="00243B7F"/>
    <w:rsid w:val="00247A75"/>
    <w:rsid w:val="00250F66"/>
    <w:rsid w:val="00251DE8"/>
    <w:rsid w:val="0025250E"/>
    <w:rsid w:val="002649E7"/>
    <w:rsid w:val="00272E0B"/>
    <w:rsid w:val="002761ED"/>
    <w:rsid w:val="0027659D"/>
    <w:rsid w:val="00284390"/>
    <w:rsid w:val="00286544"/>
    <w:rsid w:val="002879CE"/>
    <w:rsid w:val="002902D2"/>
    <w:rsid w:val="00294D73"/>
    <w:rsid w:val="00294FBC"/>
    <w:rsid w:val="002A3D3E"/>
    <w:rsid w:val="002A44FE"/>
    <w:rsid w:val="002B1916"/>
    <w:rsid w:val="002B3E22"/>
    <w:rsid w:val="002C05CC"/>
    <w:rsid w:val="002C53CC"/>
    <w:rsid w:val="002C6AED"/>
    <w:rsid w:val="002D09FF"/>
    <w:rsid w:val="002E2D75"/>
    <w:rsid w:val="002E2F11"/>
    <w:rsid w:val="002E3087"/>
    <w:rsid w:val="002E3A18"/>
    <w:rsid w:val="002E6D35"/>
    <w:rsid w:val="002F0009"/>
    <w:rsid w:val="002F3213"/>
    <w:rsid w:val="002F7C9D"/>
    <w:rsid w:val="003001D5"/>
    <w:rsid w:val="00301AAA"/>
    <w:rsid w:val="00310C02"/>
    <w:rsid w:val="00310E39"/>
    <w:rsid w:val="003142FF"/>
    <w:rsid w:val="0031545F"/>
    <w:rsid w:val="00316611"/>
    <w:rsid w:val="00316BAC"/>
    <w:rsid w:val="00317D47"/>
    <w:rsid w:val="003210C0"/>
    <w:rsid w:val="0032171D"/>
    <w:rsid w:val="00322FE6"/>
    <w:rsid w:val="003231E4"/>
    <w:rsid w:val="003306D3"/>
    <w:rsid w:val="00333AC1"/>
    <w:rsid w:val="00334C36"/>
    <w:rsid w:val="00336F39"/>
    <w:rsid w:val="003370A2"/>
    <w:rsid w:val="003405CB"/>
    <w:rsid w:val="0034480A"/>
    <w:rsid w:val="003448E2"/>
    <w:rsid w:val="0034501B"/>
    <w:rsid w:val="003455D7"/>
    <w:rsid w:val="003501FB"/>
    <w:rsid w:val="00350CCA"/>
    <w:rsid w:val="0035195A"/>
    <w:rsid w:val="003528C5"/>
    <w:rsid w:val="00353FD1"/>
    <w:rsid w:val="003572F3"/>
    <w:rsid w:val="00361208"/>
    <w:rsid w:val="0036183B"/>
    <w:rsid w:val="003659B1"/>
    <w:rsid w:val="00367C16"/>
    <w:rsid w:val="00367C9E"/>
    <w:rsid w:val="003700DE"/>
    <w:rsid w:val="00370D23"/>
    <w:rsid w:val="003739BF"/>
    <w:rsid w:val="00373B1D"/>
    <w:rsid w:val="00374039"/>
    <w:rsid w:val="0037552E"/>
    <w:rsid w:val="00377380"/>
    <w:rsid w:val="00382EE6"/>
    <w:rsid w:val="00385898"/>
    <w:rsid w:val="00385FAA"/>
    <w:rsid w:val="0038755B"/>
    <w:rsid w:val="003879BD"/>
    <w:rsid w:val="00392973"/>
    <w:rsid w:val="00393EB5"/>
    <w:rsid w:val="00397BA5"/>
    <w:rsid w:val="003A0713"/>
    <w:rsid w:val="003A2A32"/>
    <w:rsid w:val="003A2C5E"/>
    <w:rsid w:val="003A3C97"/>
    <w:rsid w:val="003A3F3F"/>
    <w:rsid w:val="003A4A6A"/>
    <w:rsid w:val="003A5811"/>
    <w:rsid w:val="003A5A56"/>
    <w:rsid w:val="003B2F32"/>
    <w:rsid w:val="003B5790"/>
    <w:rsid w:val="003B76C4"/>
    <w:rsid w:val="003C179A"/>
    <w:rsid w:val="003C1C54"/>
    <w:rsid w:val="003C36C7"/>
    <w:rsid w:val="003C670A"/>
    <w:rsid w:val="003C67D4"/>
    <w:rsid w:val="003C6D39"/>
    <w:rsid w:val="003D1CD3"/>
    <w:rsid w:val="003D2B4A"/>
    <w:rsid w:val="003D3D2C"/>
    <w:rsid w:val="003D48E5"/>
    <w:rsid w:val="003D6A6D"/>
    <w:rsid w:val="003E0567"/>
    <w:rsid w:val="003E0639"/>
    <w:rsid w:val="003E2E30"/>
    <w:rsid w:val="003E717D"/>
    <w:rsid w:val="003E7758"/>
    <w:rsid w:val="003F0746"/>
    <w:rsid w:val="003F4D4C"/>
    <w:rsid w:val="003F551F"/>
    <w:rsid w:val="003F61EF"/>
    <w:rsid w:val="00404410"/>
    <w:rsid w:val="0040466C"/>
    <w:rsid w:val="00406C69"/>
    <w:rsid w:val="00410E5E"/>
    <w:rsid w:val="00411A62"/>
    <w:rsid w:val="00412CD9"/>
    <w:rsid w:val="004144C4"/>
    <w:rsid w:val="00420127"/>
    <w:rsid w:val="0042186F"/>
    <w:rsid w:val="00422A15"/>
    <w:rsid w:val="0042391B"/>
    <w:rsid w:val="00430BDF"/>
    <w:rsid w:val="00430D80"/>
    <w:rsid w:val="00431A06"/>
    <w:rsid w:val="004343E3"/>
    <w:rsid w:val="004347B0"/>
    <w:rsid w:val="004401B0"/>
    <w:rsid w:val="0044230E"/>
    <w:rsid w:val="00446C54"/>
    <w:rsid w:val="0044763A"/>
    <w:rsid w:val="004533D8"/>
    <w:rsid w:val="004557D0"/>
    <w:rsid w:val="0046051E"/>
    <w:rsid w:val="00471624"/>
    <w:rsid w:val="00471D49"/>
    <w:rsid w:val="0047435D"/>
    <w:rsid w:val="0047515C"/>
    <w:rsid w:val="00475DAF"/>
    <w:rsid w:val="00480CAB"/>
    <w:rsid w:val="004812B5"/>
    <w:rsid w:val="00482C03"/>
    <w:rsid w:val="004954E3"/>
    <w:rsid w:val="00496A02"/>
    <w:rsid w:val="00497899"/>
    <w:rsid w:val="004A0860"/>
    <w:rsid w:val="004A4BC3"/>
    <w:rsid w:val="004A6E48"/>
    <w:rsid w:val="004A7209"/>
    <w:rsid w:val="004A730B"/>
    <w:rsid w:val="004B130C"/>
    <w:rsid w:val="004B3D0D"/>
    <w:rsid w:val="004B54D6"/>
    <w:rsid w:val="004B73D1"/>
    <w:rsid w:val="004B7A8B"/>
    <w:rsid w:val="004B7FD2"/>
    <w:rsid w:val="004C18E0"/>
    <w:rsid w:val="004C47C2"/>
    <w:rsid w:val="004C47E5"/>
    <w:rsid w:val="004D5034"/>
    <w:rsid w:val="004D6596"/>
    <w:rsid w:val="004D7835"/>
    <w:rsid w:val="004E025D"/>
    <w:rsid w:val="004E13C4"/>
    <w:rsid w:val="004E246B"/>
    <w:rsid w:val="004E351F"/>
    <w:rsid w:val="004E433C"/>
    <w:rsid w:val="004E5F37"/>
    <w:rsid w:val="004F2D8D"/>
    <w:rsid w:val="004F375C"/>
    <w:rsid w:val="004F55CE"/>
    <w:rsid w:val="004F5F99"/>
    <w:rsid w:val="004F7A9A"/>
    <w:rsid w:val="00504A76"/>
    <w:rsid w:val="00506886"/>
    <w:rsid w:val="00506B4C"/>
    <w:rsid w:val="00507558"/>
    <w:rsid w:val="00510F4F"/>
    <w:rsid w:val="00511326"/>
    <w:rsid w:val="00511CA1"/>
    <w:rsid w:val="00512A66"/>
    <w:rsid w:val="00514AED"/>
    <w:rsid w:val="00516404"/>
    <w:rsid w:val="005219CF"/>
    <w:rsid w:val="00521A11"/>
    <w:rsid w:val="00521AB6"/>
    <w:rsid w:val="005256AE"/>
    <w:rsid w:val="00533FF0"/>
    <w:rsid w:val="00534D50"/>
    <w:rsid w:val="00535931"/>
    <w:rsid w:val="005409CD"/>
    <w:rsid w:val="0054360F"/>
    <w:rsid w:val="005479A0"/>
    <w:rsid w:val="005603FF"/>
    <w:rsid w:val="0056152B"/>
    <w:rsid w:val="00565CB0"/>
    <w:rsid w:val="00567CB9"/>
    <w:rsid w:val="00571553"/>
    <w:rsid w:val="00574DA0"/>
    <w:rsid w:val="005761D5"/>
    <w:rsid w:val="00577579"/>
    <w:rsid w:val="00580181"/>
    <w:rsid w:val="00581367"/>
    <w:rsid w:val="005835E3"/>
    <w:rsid w:val="00583E09"/>
    <w:rsid w:val="005934EB"/>
    <w:rsid w:val="00593CAE"/>
    <w:rsid w:val="005975F9"/>
    <w:rsid w:val="005A1DE6"/>
    <w:rsid w:val="005A2065"/>
    <w:rsid w:val="005A3157"/>
    <w:rsid w:val="005A3957"/>
    <w:rsid w:val="005A3C0F"/>
    <w:rsid w:val="005A541B"/>
    <w:rsid w:val="005B114F"/>
    <w:rsid w:val="005B20AD"/>
    <w:rsid w:val="005B634B"/>
    <w:rsid w:val="005C13F8"/>
    <w:rsid w:val="005C155E"/>
    <w:rsid w:val="005C1606"/>
    <w:rsid w:val="005C37CD"/>
    <w:rsid w:val="005C4030"/>
    <w:rsid w:val="005C6ABC"/>
    <w:rsid w:val="005D1AB3"/>
    <w:rsid w:val="005D4582"/>
    <w:rsid w:val="005D45D6"/>
    <w:rsid w:val="005D71BE"/>
    <w:rsid w:val="005E23A0"/>
    <w:rsid w:val="005E2A52"/>
    <w:rsid w:val="005E3705"/>
    <w:rsid w:val="005E3BC4"/>
    <w:rsid w:val="005E4A28"/>
    <w:rsid w:val="005E688B"/>
    <w:rsid w:val="005F2556"/>
    <w:rsid w:val="005F2FC3"/>
    <w:rsid w:val="005F32A2"/>
    <w:rsid w:val="005F3B52"/>
    <w:rsid w:val="005F5D5E"/>
    <w:rsid w:val="005F7536"/>
    <w:rsid w:val="0060014C"/>
    <w:rsid w:val="00600971"/>
    <w:rsid w:val="006046D3"/>
    <w:rsid w:val="0061255A"/>
    <w:rsid w:val="006127CF"/>
    <w:rsid w:val="0061659C"/>
    <w:rsid w:val="00621CE0"/>
    <w:rsid w:val="00624708"/>
    <w:rsid w:val="006264D6"/>
    <w:rsid w:val="00630A5D"/>
    <w:rsid w:val="0063127D"/>
    <w:rsid w:val="00632232"/>
    <w:rsid w:val="0063356F"/>
    <w:rsid w:val="0063488E"/>
    <w:rsid w:val="0064027E"/>
    <w:rsid w:val="00640DD4"/>
    <w:rsid w:val="00642690"/>
    <w:rsid w:val="00644ABD"/>
    <w:rsid w:val="00644D7B"/>
    <w:rsid w:val="0065186F"/>
    <w:rsid w:val="006527FA"/>
    <w:rsid w:val="00656BCF"/>
    <w:rsid w:val="006577DA"/>
    <w:rsid w:val="0066244D"/>
    <w:rsid w:val="00670738"/>
    <w:rsid w:val="00670BA0"/>
    <w:rsid w:val="006743D2"/>
    <w:rsid w:val="00674900"/>
    <w:rsid w:val="00674D83"/>
    <w:rsid w:val="00681984"/>
    <w:rsid w:val="00685484"/>
    <w:rsid w:val="00685F37"/>
    <w:rsid w:val="00686F16"/>
    <w:rsid w:val="006930F3"/>
    <w:rsid w:val="00693A4A"/>
    <w:rsid w:val="006959E4"/>
    <w:rsid w:val="006A03F3"/>
    <w:rsid w:val="006A56BB"/>
    <w:rsid w:val="006A596E"/>
    <w:rsid w:val="006A610E"/>
    <w:rsid w:val="006A760C"/>
    <w:rsid w:val="006B1839"/>
    <w:rsid w:val="006B33BF"/>
    <w:rsid w:val="006B505A"/>
    <w:rsid w:val="006B58EE"/>
    <w:rsid w:val="006B72A2"/>
    <w:rsid w:val="006C0F25"/>
    <w:rsid w:val="006C2558"/>
    <w:rsid w:val="006C4889"/>
    <w:rsid w:val="006C7278"/>
    <w:rsid w:val="006D0202"/>
    <w:rsid w:val="006D0401"/>
    <w:rsid w:val="006D6749"/>
    <w:rsid w:val="006E0381"/>
    <w:rsid w:val="006E2D72"/>
    <w:rsid w:val="006E530D"/>
    <w:rsid w:val="006F0862"/>
    <w:rsid w:val="006F094E"/>
    <w:rsid w:val="006F0BBB"/>
    <w:rsid w:val="006F22C2"/>
    <w:rsid w:val="006F3459"/>
    <w:rsid w:val="006F4C0F"/>
    <w:rsid w:val="006F5971"/>
    <w:rsid w:val="006F64FB"/>
    <w:rsid w:val="006F796A"/>
    <w:rsid w:val="006F7A59"/>
    <w:rsid w:val="007013BC"/>
    <w:rsid w:val="00710329"/>
    <w:rsid w:val="007105C3"/>
    <w:rsid w:val="007126EA"/>
    <w:rsid w:val="00724A51"/>
    <w:rsid w:val="007258F5"/>
    <w:rsid w:val="007304BA"/>
    <w:rsid w:val="007335D5"/>
    <w:rsid w:val="00733628"/>
    <w:rsid w:val="00733878"/>
    <w:rsid w:val="00734123"/>
    <w:rsid w:val="00734438"/>
    <w:rsid w:val="00734E58"/>
    <w:rsid w:val="007407D7"/>
    <w:rsid w:val="00740E88"/>
    <w:rsid w:val="007427AE"/>
    <w:rsid w:val="00742BCD"/>
    <w:rsid w:val="0074366E"/>
    <w:rsid w:val="00744FDE"/>
    <w:rsid w:val="00747C15"/>
    <w:rsid w:val="007564C6"/>
    <w:rsid w:val="007578EE"/>
    <w:rsid w:val="007606C6"/>
    <w:rsid w:val="00761340"/>
    <w:rsid w:val="00766842"/>
    <w:rsid w:val="007668BB"/>
    <w:rsid w:val="00766C6D"/>
    <w:rsid w:val="0077120C"/>
    <w:rsid w:val="00773BFC"/>
    <w:rsid w:val="00775ACD"/>
    <w:rsid w:val="00781827"/>
    <w:rsid w:val="00782FC8"/>
    <w:rsid w:val="007957D6"/>
    <w:rsid w:val="007968C9"/>
    <w:rsid w:val="007A0ECB"/>
    <w:rsid w:val="007A2A31"/>
    <w:rsid w:val="007A3268"/>
    <w:rsid w:val="007A43DC"/>
    <w:rsid w:val="007A4D11"/>
    <w:rsid w:val="007A57B1"/>
    <w:rsid w:val="007A7CC5"/>
    <w:rsid w:val="007A7D24"/>
    <w:rsid w:val="007B07AC"/>
    <w:rsid w:val="007B31ED"/>
    <w:rsid w:val="007B5DC1"/>
    <w:rsid w:val="007B7E4F"/>
    <w:rsid w:val="007C2D01"/>
    <w:rsid w:val="007C4903"/>
    <w:rsid w:val="007C4953"/>
    <w:rsid w:val="007C787B"/>
    <w:rsid w:val="007D2083"/>
    <w:rsid w:val="007D5B92"/>
    <w:rsid w:val="007D7310"/>
    <w:rsid w:val="007D7AAC"/>
    <w:rsid w:val="007E39B5"/>
    <w:rsid w:val="007E4866"/>
    <w:rsid w:val="007E704E"/>
    <w:rsid w:val="007E7A11"/>
    <w:rsid w:val="007E7B57"/>
    <w:rsid w:val="007F17FF"/>
    <w:rsid w:val="007F20BD"/>
    <w:rsid w:val="007F3BC7"/>
    <w:rsid w:val="00800DCF"/>
    <w:rsid w:val="008019A0"/>
    <w:rsid w:val="0080740F"/>
    <w:rsid w:val="00807D20"/>
    <w:rsid w:val="00810B8F"/>
    <w:rsid w:val="00811833"/>
    <w:rsid w:val="00812961"/>
    <w:rsid w:val="008136D2"/>
    <w:rsid w:val="00815402"/>
    <w:rsid w:val="00820A54"/>
    <w:rsid w:val="00824460"/>
    <w:rsid w:val="00824E9B"/>
    <w:rsid w:val="0082708A"/>
    <w:rsid w:val="00833F15"/>
    <w:rsid w:val="00835CB1"/>
    <w:rsid w:val="00836CAD"/>
    <w:rsid w:val="00836E10"/>
    <w:rsid w:val="00840CBD"/>
    <w:rsid w:val="00842402"/>
    <w:rsid w:val="00842CA5"/>
    <w:rsid w:val="008473C2"/>
    <w:rsid w:val="008505E9"/>
    <w:rsid w:val="00855BC0"/>
    <w:rsid w:val="00857E11"/>
    <w:rsid w:val="008611E1"/>
    <w:rsid w:val="00864664"/>
    <w:rsid w:val="00867E72"/>
    <w:rsid w:val="008711A0"/>
    <w:rsid w:val="00874596"/>
    <w:rsid w:val="00876657"/>
    <w:rsid w:val="00880021"/>
    <w:rsid w:val="008802E3"/>
    <w:rsid w:val="00880AF4"/>
    <w:rsid w:val="00881F31"/>
    <w:rsid w:val="008826A5"/>
    <w:rsid w:val="008853CF"/>
    <w:rsid w:val="008858F8"/>
    <w:rsid w:val="008903C7"/>
    <w:rsid w:val="00890C79"/>
    <w:rsid w:val="008924AD"/>
    <w:rsid w:val="0089371D"/>
    <w:rsid w:val="008965AC"/>
    <w:rsid w:val="00897F99"/>
    <w:rsid w:val="008A153D"/>
    <w:rsid w:val="008A4205"/>
    <w:rsid w:val="008A44AD"/>
    <w:rsid w:val="008A5032"/>
    <w:rsid w:val="008B06F3"/>
    <w:rsid w:val="008B3448"/>
    <w:rsid w:val="008B534F"/>
    <w:rsid w:val="008C19D8"/>
    <w:rsid w:val="008C2D8C"/>
    <w:rsid w:val="008C3E3E"/>
    <w:rsid w:val="008C75EC"/>
    <w:rsid w:val="008D02CF"/>
    <w:rsid w:val="008D0D40"/>
    <w:rsid w:val="008D0F3A"/>
    <w:rsid w:val="008E3637"/>
    <w:rsid w:val="008E4DA6"/>
    <w:rsid w:val="008E528F"/>
    <w:rsid w:val="008E55C7"/>
    <w:rsid w:val="008E7C89"/>
    <w:rsid w:val="008E7FDE"/>
    <w:rsid w:val="008F150E"/>
    <w:rsid w:val="008F3B79"/>
    <w:rsid w:val="008F5F0B"/>
    <w:rsid w:val="008F65F1"/>
    <w:rsid w:val="00902431"/>
    <w:rsid w:val="0091286D"/>
    <w:rsid w:val="00912FBD"/>
    <w:rsid w:val="00913D58"/>
    <w:rsid w:val="00914087"/>
    <w:rsid w:val="009161E0"/>
    <w:rsid w:val="00916EAB"/>
    <w:rsid w:val="00920383"/>
    <w:rsid w:val="00920C8C"/>
    <w:rsid w:val="00926F70"/>
    <w:rsid w:val="00927922"/>
    <w:rsid w:val="0093261F"/>
    <w:rsid w:val="00933E68"/>
    <w:rsid w:val="00935A05"/>
    <w:rsid w:val="0093649F"/>
    <w:rsid w:val="00936723"/>
    <w:rsid w:val="00942EE3"/>
    <w:rsid w:val="009437A8"/>
    <w:rsid w:val="00944B27"/>
    <w:rsid w:val="00945868"/>
    <w:rsid w:val="00953FD2"/>
    <w:rsid w:val="0095596A"/>
    <w:rsid w:val="00957471"/>
    <w:rsid w:val="00964198"/>
    <w:rsid w:val="009666EB"/>
    <w:rsid w:val="0096720B"/>
    <w:rsid w:val="00967634"/>
    <w:rsid w:val="00970500"/>
    <w:rsid w:val="00972B57"/>
    <w:rsid w:val="0097470A"/>
    <w:rsid w:val="00975847"/>
    <w:rsid w:val="00980B4D"/>
    <w:rsid w:val="009819BB"/>
    <w:rsid w:val="00985409"/>
    <w:rsid w:val="00990CCA"/>
    <w:rsid w:val="00993CB5"/>
    <w:rsid w:val="00995A33"/>
    <w:rsid w:val="009961DC"/>
    <w:rsid w:val="009A2201"/>
    <w:rsid w:val="009A3359"/>
    <w:rsid w:val="009A3D59"/>
    <w:rsid w:val="009A470B"/>
    <w:rsid w:val="009A4F5F"/>
    <w:rsid w:val="009A6BFE"/>
    <w:rsid w:val="009B79D3"/>
    <w:rsid w:val="009C79C0"/>
    <w:rsid w:val="009D3BF0"/>
    <w:rsid w:val="009D4221"/>
    <w:rsid w:val="009D4308"/>
    <w:rsid w:val="009D45AF"/>
    <w:rsid w:val="009D5783"/>
    <w:rsid w:val="009D72F8"/>
    <w:rsid w:val="009E0B75"/>
    <w:rsid w:val="009E0FE8"/>
    <w:rsid w:val="009E1F67"/>
    <w:rsid w:val="009E5A4B"/>
    <w:rsid w:val="009F16F6"/>
    <w:rsid w:val="009F3435"/>
    <w:rsid w:val="009F4CC2"/>
    <w:rsid w:val="009F4E6B"/>
    <w:rsid w:val="009F5142"/>
    <w:rsid w:val="009F5F3A"/>
    <w:rsid w:val="00A00492"/>
    <w:rsid w:val="00A00E5B"/>
    <w:rsid w:val="00A02DF6"/>
    <w:rsid w:val="00A13008"/>
    <w:rsid w:val="00A17CF8"/>
    <w:rsid w:val="00A212D6"/>
    <w:rsid w:val="00A251B6"/>
    <w:rsid w:val="00A263B2"/>
    <w:rsid w:val="00A27C47"/>
    <w:rsid w:val="00A30B93"/>
    <w:rsid w:val="00A30DF4"/>
    <w:rsid w:val="00A35A2F"/>
    <w:rsid w:val="00A35B01"/>
    <w:rsid w:val="00A35E1D"/>
    <w:rsid w:val="00A37F69"/>
    <w:rsid w:val="00A40241"/>
    <w:rsid w:val="00A435F9"/>
    <w:rsid w:val="00A43601"/>
    <w:rsid w:val="00A4542B"/>
    <w:rsid w:val="00A470C8"/>
    <w:rsid w:val="00A47FCB"/>
    <w:rsid w:val="00A511A5"/>
    <w:rsid w:val="00A523CF"/>
    <w:rsid w:val="00A5405B"/>
    <w:rsid w:val="00A55910"/>
    <w:rsid w:val="00A56930"/>
    <w:rsid w:val="00A61A15"/>
    <w:rsid w:val="00A71803"/>
    <w:rsid w:val="00A731BA"/>
    <w:rsid w:val="00A73AC3"/>
    <w:rsid w:val="00A750E4"/>
    <w:rsid w:val="00A758CD"/>
    <w:rsid w:val="00A75B31"/>
    <w:rsid w:val="00A87893"/>
    <w:rsid w:val="00A90C24"/>
    <w:rsid w:val="00A92AA1"/>
    <w:rsid w:val="00A93429"/>
    <w:rsid w:val="00A9361C"/>
    <w:rsid w:val="00A94F26"/>
    <w:rsid w:val="00A95F3B"/>
    <w:rsid w:val="00AA3759"/>
    <w:rsid w:val="00AA51CE"/>
    <w:rsid w:val="00AA565B"/>
    <w:rsid w:val="00AA5E73"/>
    <w:rsid w:val="00AA5E83"/>
    <w:rsid w:val="00AB37D3"/>
    <w:rsid w:val="00AB6054"/>
    <w:rsid w:val="00AC0B38"/>
    <w:rsid w:val="00AC357C"/>
    <w:rsid w:val="00AC5003"/>
    <w:rsid w:val="00AD07F3"/>
    <w:rsid w:val="00AD1C82"/>
    <w:rsid w:val="00AD2B26"/>
    <w:rsid w:val="00AD4CB5"/>
    <w:rsid w:val="00AD5107"/>
    <w:rsid w:val="00AD67B5"/>
    <w:rsid w:val="00AE3BB8"/>
    <w:rsid w:val="00AE4BB6"/>
    <w:rsid w:val="00AE5A6C"/>
    <w:rsid w:val="00AE6894"/>
    <w:rsid w:val="00AE77EB"/>
    <w:rsid w:val="00AF131A"/>
    <w:rsid w:val="00AF29BD"/>
    <w:rsid w:val="00AF5DDA"/>
    <w:rsid w:val="00B000F5"/>
    <w:rsid w:val="00B039DF"/>
    <w:rsid w:val="00B04333"/>
    <w:rsid w:val="00B10E1B"/>
    <w:rsid w:val="00B1376E"/>
    <w:rsid w:val="00B14294"/>
    <w:rsid w:val="00B14436"/>
    <w:rsid w:val="00B15AC5"/>
    <w:rsid w:val="00B1611A"/>
    <w:rsid w:val="00B17ACA"/>
    <w:rsid w:val="00B22F3E"/>
    <w:rsid w:val="00B240A6"/>
    <w:rsid w:val="00B24458"/>
    <w:rsid w:val="00B31085"/>
    <w:rsid w:val="00B31937"/>
    <w:rsid w:val="00B32D72"/>
    <w:rsid w:val="00B3461C"/>
    <w:rsid w:val="00B375C5"/>
    <w:rsid w:val="00B520FE"/>
    <w:rsid w:val="00B5295D"/>
    <w:rsid w:val="00B531E9"/>
    <w:rsid w:val="00B53DD9"/>
    <w:rsid w:val="00B54CD9"/>
    <w:rsid w:val="00B566A4"/>
    <w:rsid w:val="00B604D3"/>
    <w:rsid w:val="00B66DA7"/>
    <w:rsid w:val="00B7116E"/>
    <w:rsid w:val="00B76422"/>
    <w:rsid w:val="00B77001"/>
    <w:rsid w:val="00B8078D"/>
    <w:rsid w:val="00B8237D"/>
    <w:rsid w:val="00B83DB0"/>
    <w:rsid w:val="00B90266"/>
    <w:rsid w:val="00B911B7"/>
    <w:rsid w:val="00B92911"/>
    <w:rsid w:val="00BA08F6"/>
    <w:rsid w:val="00BA0A3D"/>
    <w:rsid w:val="00BA5922"/>
    <w:rsid w:val="00BB3DC2"/>
    <w:rsid w:val="00BB417E"/>
    <w:rsid w:val="00BB494F"/>
    <w:rsid w:val="00BB5862"/>
    <w:rsid w:val="00BB5AE5"/>
    <w:rsid w:val="00BB6E7E"/>
    <w:rsid w:val="00BB7CA3"/>
    <w:rsid w:val="00BC131B"/>
    <w:rsid w:val="00BC1C68"/>
    <w:rsid w:val="00BC2811"/>
    <w:rsid w:val="00BC3624"/>
    <w:rsid w:val="00BC5680"/>
    <w:rsid w:val="00BC6FB5"/>
    <w:rsid w:val="00BD1739"/>
    <w:rsid w:val="00BD23D9"/>
    <w:rsid w:val="00BD60FE"/>
    <w:rsid w:val="00BE177D"/>
    <w:rsid w:val="00BE409C"/>
    <w:rsid w:val="00BE4AD0"/>
    <w:rsid w:val="00BE776E"/>
    <w:rsid w:val="00BF427A"/>
    <w:rsid w:val="00C022F4"/>
    <w:rsid w:val="00C02A10"/>
    <w:rsid w:val="00C03871"/>
    <w:rsid w:val="00C038E6"/>
    <w:rsid w:val="00C14FA1"/>
    <w:rsid w:val="00C176B8"/>
    <w:rsid w:val="00C17ADA"/>
    <w:rsid w:val="00C20823"/>
    <w:rsid w:val="00C2089E"/>
    <w:rsid w:val="00C265B4"/>
    <w:rsid w:val="00C27372"/>
    <w:rsid w:val="00C31979"/>
    <w:rsid w:val="00C326F3"/>
    <w:rsid w:val="00C37B4E"/>
    <w:rsid w:val="00C37E1F"/>
    <w:rsid w:val="00C4094B"/>
    <w:rsid w:val="00C45ABE"/>
    <w:rsid w:val="00C4667A"/>
    <w:rsid w:val="00C47117"/>
    <w:rsid w:val="00C50285"/>
    <w:rsid w:val="00C506DF"/>
    <w:rsid w:val="00C508DE"/>
    <w:rsid w:val="00C50E81"/>
    <w:rsid w:val="00C5365E"/>
    <w:rsid w:val="00C53B22"/>
    <w:rsid w:val="00C5489C"/>
    <w:rsid w:val="00C574D7"/>
    <w:rsid w:val="00C618D0"/>
    <w:rsid w:val="00C7424F"/>
    <w:rsid w:val="00C74F3B"/>
    <w:rsid w:val="00C801D0"/>
    <w:rsid w:val="00C838BD"/>
    <w:rsid w:val="00C83B6E"/>
    <w:rsid w:val="00C85903"/>
    <w:rsid w:val="00C90208"/>
    <w:rsid w:val="00C92CBA"/>
    <w:rsid w:val="00C94793"/>
    <w:rsid w:val="00C96899"/>
    <w:rsid w:val="00CA2FEB"/>
    <w:rsid w:val="00CA36BC"/>
    <w:rsid w:val="00CA5D50"/>
    <w:rsid w:val="00CA5DCF"/>
    <w:rsid w:val="00CA73C1"/>
    <w:rsid w:val="00CA7A15"/>
    <w:rsid w:val="00CB3403"/>
    <w:rsid w:val="00CB396F"/>
    <w:rsid w:val="00CB4707"/>
    <w:rsid w:val="00CC160E"/>
    <w:rsid w:val="00CC29F9"/>
    <w:rsid w:val="00CD2053"/>
    <w:rsid w:val="00CD23AB"/>
    <w:rsid w:val="00CD2BA1"/>
    <w:rsid w:val="00CD4715"/>
    <w:rsid w:val="00CD584C"/>
    <w:rsid w:val="00CD6A80"/>
    <w:rsid w:val="00CE0DE7"/>
    <w:rsid w:val="00CE318C"/>
    <w:rsid w:val="00CE42CB"/>
    <w:rsid w:val="00CE4B6B"/>
    <w:rsid w:val="00CE4B8F"/>
    <w:rsid w:val="00CF0BBA"/>
    <w:rsid w:val="00CF1A02"/>
    <w:rsid w:val="00CF5A4C"/>
    <w:rsid w:val="00CF7270"/>
    <w:rsid w:val="00CF7C55"/>
    <w:rsid w:val="00D018C2"/>
    <w:rsid w:val="00D02A65"/>
    <w:rsid w:val="00D02EB4"/>
    <w:rsid w:val="00D04643"/>
    <w:rsid w:val="00D106D5"/>
    <w:rsid w:val="00D10F88"/>
    <w:rsid w:val="00D15AF4"/>
    <w:rsid w:val="00D1662B"/>
    <w:rsid w:val="00D1676B"/>
    <w:rsid w:val="00D20FFA"/>
    <w:rsid w:val="00D23949"/>
    <w:rsid w:val="00D26993"/>
    <w:rsid w:val="00D3093D"/>
    <w:rsid w:val="00D34F1A"/>
    <w:rsid w:val="00D35AA0"/>
    <w:rsid w:val="00D36347"/>
    <w:rsid w:val="00D401B6"/>
    <w:rsid w:val="00D430CF"/>
    <w:rsid w:val="00D5083D"/>
    <w:rsid w:val="00D509DD"/>
    <w:rsid w:val="00D51AB9"/>
    <w:rsid w:val="00D5356E"/>
    <w:rsid w:val="00D53930"/>
    <w:rsid w:val="00D55CE1"/>
    <w:rsid w:val="00D56C2B"/>
    <w:rsid w:val="00D600C1"/>
    <w:rsid w:val="00D61DEB"/>
    <w:rsid w:val="00D626B0"/>
    <w:rsid w:val="00D62E24"/>
    <w:rsid w:val="00D64A38"/>
    <w:rsid w:val="00D6507E"/>
    <w:rsid w:val="00D6527A"/>
    <w:rsid w:val="00D70F57"/>
    <w:rsid w:val="00D73A4C"/>
    <w:rsid w:val="00D75B1A"/>
    <w:rsid w:val="00D839C8"/>
    <w:rsid w:val="00D8424C"/>
    <w:rsid w:val="00D862CA"/>
    <w:rsid w:val="00D869F4"/>
    <w:rsid w:val="00D9110B"/>
    <w:rsid w:val="00D9318B"/>
    <w:rsid w:val="00D968BD"/>
    <w:rsid w:val="00DA1937"/>
    <w:rsid w:val="00DA1960"/>
    <w:rsid w:val="00DA1FF0"/>
    <w:rsid w:val="00DA4E0F"/>
    <w:rsid w:val="00DA59BE"/>
    <w:rsid w:val="00DA6324"/>
    <w:rsid w:val="00DB06D8"/>
    <w:rsid w:val="00DB78E1"/>
    <w:rsid w:val="00DC6B06"/>
    <w:rsid w:val="00DD24D7"/>
    <w:rsid w:val="00DD7EB9"/>
    <w:rsid w:val="00DE0850"/>
    <w:rsid w:val="00DE7A36"/>
    <w:rsid w:val="00DF08B3"/>
    <w:rsid w:val="00DF5D07"/>
    <w:rsid w:val="00DF6D82"/>
    <w:rsid w:val="00E03161"/>
    <w:rsid w:val="00E03BA2"/>
    <w:rsid w:val="00E07C81"/>
    <w:rsid w:val="00E105C2"/>
    <w:rsid w:val="00E117D5"/>
    <w:rsid w:val="00E12F7B"/>
    <w:rsid w:val="00E1350E"/>
    <w:rsid w:val="00E15644"/>
    <w:rsid w:val="00E15CEE"/>
    <w:rsid w:val="00E20AAD"/>
    <w:rsid w:val="00E23676"/>
    <w:rsid w:val="00E24670"/>
    <w:rsid w:val="00E24FFB"/>
    <w:rsid w:val="00E27063"/>
    <w:rsid w:val="00E27098"/>
    <w:rsid w:val="00E30704"/>
    <w:rsid w:val="00E3154A"/>
    <w:rsid w:val="00E32FD0"/>
    <w:rsid w:val="00E41565"/>
    <w:rsid w:val="00E41762"/>
    <w:rsid w:val="00E50F1B"/>
    <w:rsid w:val="00E51D8E"/>
    <w:rsid w:val="00E60B54"/>
    <w:rsid w:val="00E60E58"/>
    <w:rsid w:val="00E61967"/>
    <w:rsid w:val="00E64C46"/>
    <w:rsid w:val="00E67BAD"/>
    <w:rsid w:val="00E726E6"/>
    <w:rsid w:val="00E74E10"/>
    <w:rsid w:val="00E80A0F"/>
    <w:rsid w:val="00E81FA6"/>
    <w:rsid w:val="00E82120"/>
    <w:rsid w:val="00E83501"/>
    <w:rsid w:val="00E850E1"/>
    <w:rsid w:val="00E85D48"/>
    <w:rsid w:val="00E92798"/>
    <w:rsid w:val="00E9483B"/>
    <w:rsid w:val="00EA0EB6"/>
    <w:rsid w:val="00EA4A1E"/>
    <w:rsid w:val="00EB03E4"/>
    <w:rsid w:val="00EB21A2"/>
    <w:rsid w:val="00EB2338"/>
    <w:rsid w:val="00EB29F9"/>
    <w:rsid w:val="00EB4C84"/>
    <w:rsid w:val="00EB4DF9"/>
    <w:rsid w:val="00EC4FD5"/>
    <w:rsid w:val="00EC7685"/>
    <w:rsid w:val="00ED39B5"/>
    <w:rsid w:val="00ED68D2"/>
    <w:rsid w:val="00ED7B88"/>
    <w:rsid w:val="00EE3261"/>
    <w:rsid w:val="00EE3CCE"/>
    <w:rsid w:val="00EF3FA2"/>
    <w:rsid w:val="00EF4028"/>
    <w:rsid w:val="00EF437B"/>
    <w:rsid w:val="00EF5D81"/>
    <w:rsid w:val="00EF77D3"/>
    <w:rsid w:val="00F03DF6"/>
    <w:rsid w:val="00F046AF"/>
    <w:rsid w:val="00F0682B"/>
    <w:rsid w:val="00F06F41"/>
    <w:rsid w:val="00F07CFA"/>
    <w:rsid w:val="00F164FA"/>
    <w:rsid w:val="00F16F3E"/>
    <w:rsid w:val="00F16F5A"/>
    <w:rsid w:val="00F20D9B"/>
    <w:rsid w:val="00F22B51"/>
    <w:rsid w:val="00F32680"/>
    <w:rsid w:val="00F32E47"/>
    <w:rsid w:val="00F33BB6"/>
    <w:rsid w:val="00F403A4"/>
    <w:rsid w:val="00F40C63"/>
    <w:rsid w:val="00F42C04"/>
    <w:rsid w:val="00F44F30"/>
    <w:rsid w:val="00F4692F"/>
    <w:rsid w:val="00F469ED"/>
    <w:rsid w:val="00F618F5"/>
    <w:rsid w:val="00F666BA"/>
    <w:rsid w:val="00F670FC"/>
    <w:rsid w:val="00F719FF"/>
    <w:rsid w:val="00F74BB5"/>
    <w:rsid w:val="00F80CB2"/>
    <w:rsid w:val="00F814DB"/>
    <w:rsid w:val="00F8176F"/>
    <w:rsid w:val="00F81BFB"/>
    <w:rsid w:val="00F85013"/>
    <w:rsid w:val="00F86B13"/>
    <w:rsid w:val="00F907E5"/>
    <w:rsid w:val="00F94E09"/>
    <w:rsid w:val="00F95346"/>
    <w:rsid w:val="00F97614"/>
    <w:rsid w:val="00FA005C"/>
    <w:rsid w:val="00FA27BC"/>
    <w:rsid w:val="00FA4B35"/>
    <w:rsid w:val="00FA4D33"/>
    <w:rsid w:val="00FA5ECB"/>
    <w:rsid w:val="00FB161C"/>
    <w:rsid w:val="00FB656D"/>
    <w:rsid w:val="00FB7978"/>
    <w:rsid w:val="00FB7B3E"/>
    <w:rsid w:val="00FC0234"/>
    <w:rsid w:val="00FC079D"/>
    <w:rsid w:val="00FC10FC"/>
    <w:rsid w:val="00FC23DA"/>
    <w:rsid w:val="00FC4244"/>
    <w:rsid w:val="00FD0F56"/>
    <w:rsid w:val="00FD1F22"/>
    <w:rsid w:val="00FD6034"/>
    <w:rsid w:val="00FE0537"/>
    <w:rsid w:val="00FE1476"/>
    <w:rsid w:val="00FE50B7"/>
    <w:rsid w:val="00FE63C9"/>
    <w:rsid w:val="00FE6FA5"/>
    <w:rsid w:val="00FE76B2"/>
    <w:rsid w:val="00FF5D3F"/>
    <w:rsid w:val="00FF63CA"/>
    <w:rsid w:val="00FF6A75"/>
    <w:rsid w:val="0262D6C5"/>
    <w:rsid w:val="03171FFE"/>
    <w:rsid w:val="036DC038"/>
    <w:rsid w:val="03A74F2A"/>
    <w:rsid w:val="03E40BFD"/>
    <w:rsid w:val="04562A15"/>
    <w:rsid w:val="046B7A97"/>
    <w:rsid w:val="04B9148D"/>
    <w:rsid w:val="05470BB4"/>
    <w:rsid w:val="074D974A"/>
    <w:rsid w:val="07B2E3D0"/>
    <w:rsid w:val="07C73D41"/>
    <w:rsid w:val="08429221"/>
    <w:rsid w:val="08BA96D8"/>
    <w:rsid w:val="098C1911"/>
    <w:rsid w:val="09D44AE8"/>
    <w:rsid w:val="09F24568"/>
    <w:rsid w:val="0A0C128C"/>
    <w:rsid w:val="0AAAB799"/>
    <w:rsid w:val="0CD2BA7D"/>
    <w:rsid w:val="0D47D07A"/>
    <w:rsid w:val="0DB8C246"/>
    <w:rsid w:val="0EC67313"/>
    <w:rsid w:val="0F131E7F"/>
    <w:rsid w:val="0FB0985D"/>
    <w:rsid w:val="0FDC6466"/>
    <w:rsid w:val="0FFE3876"/>
    <w:rsid w:val="101B0C36"/>
    <w:rsid w:val="116F9FC3"/>
    <w:rsid w:val="11B221C5"/>
    <w:rsid w:val="11BCB86A"/>
    <w:rsid w:val="11E02B82"/>
    <w:rsid w:val="152FA899"/>
    <w:rsid w:val="155C7938"/>
    <w:rsid w:val="1670FCEB"/>
    <w:rsid w:val="16856BC7"/>
    <w:rsid w:val="16D9CFA2"/>
    <w:rsid w:val="174575AF"/>
    <w:rsid w:val="174F2ABF"/>
    <w:rsid w:val="17E67B34"/>
    <w:rsid w:val="17EA950F"/>
    <w:rsid w:val="1839BBF3"/>
    <w:rsid w:val="185D2944"/>
    <w:rsid w:val="18FD0581"/>
    <w:rsid w:val="19313E76"/>
    <w:rsid w:val="19CE1D6D"/>
    <w:rsid w:val="19D51C0C"/>
    <w:rsid w:val="1A344A27"/>
    <w:rsid w:val="1A381C75"/>
    <w:rsid w:val="1A4D208A"/>
    <w:rsid w:val="1A610317"/>
    <w:rsid w:val="1ABFDF44"/>
    <w:rsid w:val="1AD76398"/>
    <w:rsid w:val="1AFA847E"/>
    <w:rsid w:val="1B0B93CE"/>
    <w:rsid w:val="1B635E6A"/>
    <w:rsid w:val="1BD81ABB"/>
    <w:rsid w:val="1C314B76"/>
    <w:rsid w:val="1C83B4F9"/>
    <w:rsid w:val="1D00DF4D"/>
    <w:rsid w:val="1D76799C"/>
    <w:rsid w:val="1D7EFF70"/>
    <w:rsid w:val="1F010FF8"/>
    <w:rsid w:val="2041F455"/>
    <w:rsid w:val="20F86415"/>
    <w:rsid w:val="21256DD5"/>
    <w:rsid w:val="21421E0A"/>
    <w:rsid w:val="215241E2"/>
    <w:rsid w:val="22661D9E"/>
    <w:rsid w:val="2328CF95"/>
    <w:rsid w:val="236B43E2"/>
    <w:rsid w:val="23D7906B"/>
    <w:rsid w:val="241071F6"/>
    <w:rsid w:val="244DFA00"/>
    <w:rsid w:val="244FB330"/>
    <w:rsid w:val="24D030FD"/>
    <w:rsid w:val="24DCE01F"/>
    <w:rsid w:val="24DDC5C0"/>
    <w:rsid w:val="24E5FF5B"/>
    <w:rsid w:val="24F039FA"/>
    <w:rsid w:val="251524BF"/>
    <w:rsid w:val="25BDE59E"/>
    <w:rsid w:val="26BFD63F"/>
    <w:rsid w:val="27C27629"/>
    <w:rsid w:val="296569C7"/>
    <w:rsid w:val="29883103"/>
    <w:rsid w:val="299C4D0D"/>
    <w:rsid w:val="2A24A981"/>
    <w:rsid w:val="2AFF562E"/>
    <w:rsid w:val="2D4B040A"/>
    <w:rsid w:val="2DF4E610"/>
    <w:rsid w:val="2FA0D1B9"/>
    <w:rsid w:val="304A266B"/>
    <w:rsid w:val="30702D85"/>
    <w:rsid w:val="324DAB44"/>
    <w:rsid w:val="325F15C5"/>
    <w:rsid w:val="339380C0"/>
    <w:rsid w:val="339F5F3D"/>
    <w:rsid w:val="33F4A719"/>
    <w:rsid w:val="348F7534"/>
    <w:rsid w:val="35B31BA0"/>
    <w:rsid w:val="36E4A52A"/>
    <w:rsid w:val="371205B5"/>
    <w:rsid w:val="38A6A51F"/>
    <w:rsid w:val="38EF0135"/>
    <w:rsid w:val="39BB11A5"/>
    <w:rsid w:val="39FAF39B"/>
    <w:rsid w:val="3A4AA4B1"/>
    <w:rsid w:val="3B81A205"/>
    <w:rsid w:val="3C6D2AC1"/>
    <w:rsid w:val="3EA8306A"/>
    <w:rsid w:val="3EAC10F5"/>
    <w:rsid w:val="3F70AF20"/>
    <w:rsid w:val="407A9DBD"/>
    <w:rsid w:val="40BC544A"/>
    <w:rsid w:val="40FF3F96"/>
    <w:rsid w:val="4221B8D2"/>
    <w:rsid w:val="4305C8AF"/>
    <w:rsid w:val="434DF1E4"/>
    <w:rsid w:val="43800CE9"/>
    <w:rsid w:val="43CB478E"/>
    <w:rsid w:val="43D11499"/>
    <w:rsid w:val="442920F7"/>
    <w:rsid w:val="44D1556B"/>
    <w:rsid w:val="473083B2"/>
    <w:rsid w:val="48BC96B7"/>
    <w:rsid w:val="48FE0F8F"/>
    <w:rsid w:val="4A11EC46"/>
    <w:rsid w:val="4AAC9CFF"/>
    <w:rsid w:val="4B970E68"/>
    <w:rsid w:val="4BEE6E05"/>
    <w:rsid w:val="4C11AB11"/>
    <w:rsid w:val="4C8E28CA"/>
    <w:rsid w:val="4D03FEA1"/>
    <w:rsid w:val="4D0D5492"/>
    <w:rsid w:val="4E218D50"/>
    <w:rsid w:val="4E6D598C"/>
    <w:rsid w:val="4E938C4F"/>
    <w:rsid w:val="4EAE1ED8"/>
    <w:rsid w:val="4FB05DFC"/>
    <w:rsid w:val="4FCB518C"/>
    <w:rsid w:val="506361F5"/>
    <w:rsid w:val="50CEDB8D"/>
    <w:rsid w:val="51274F34"/>
    <w:rsid w:val="5174121A"/>
    <w:rsid w:val="52A62B42"/>
    <w:rsid w:val="52AAE1C7"/>
    <w:rsid w:val="532D4E1F"/>
    <w:rsid w:val="537CAC5F"/>
    <w:rsid w:val="57270B46"/>
    <w:rsid w:val="5769E0C6"/>
    <w:rsid w:val="585CE44D"/>
    <w:rsid w:val="587B1307"/>
    <w:rsid w:val="588F394B"/>
    <w:rsid w:val="5A36BB31"/>
    <w:rsid w:val="5AB27B61"/>
    <w:rsid w:val="5B38F1C5"/>
    <w:rsid w:val="5E87A8C4"/>
    <w:rsid w:val="5EEA3F0E"/>
    <w:rsid w:val="5F287656"/>
    <w:rsid w:val="5F2B57BA"/>
    <w:rsid w:val="604B0592"/>
    <w:rsid w:val="61FC65ED"/>
    <w:rsid w:val="61FC75CA"/>
    <w:rsid w:val="62374FDA"/>
    <w:rsid w:val="628521E9"/>
    <w:rsid w:val="62B95604"/>
    <w:rsid w:val="62F04FA3"/>
    <w:rsid w:val="6302DF2E"/>
    <w:rsid w:val="633E26A5"/>
    <w:rsid w:val="6342100E"/>
    <w:rsid w:val="64C41DA5"/>
    <w:rsid w:val="663A5EB4"/>
    <w:rsid w:val="665050CC"/>
    <w:rsid w:val="67AC527A"/>
    <w:rsid w:val="683E35DB"/>
    <w:rsid w:val="694979DE"/>
    <w:rsid w:val="698B80B6"/>
    <w:rsid w:val="6A56E625"/>
    <w:rsid w:val="6A5C1678"/>
    <w:rsid w:val="6AAAB8CE"/>
    <w:rsid w:val="6ACBCA4D"/>
    <w:rsid w:val="6AF8B5A7"/>
    <w:rsid w:val="6B4CAC88"/>
    <w:rsid w:val="6CBFFFA3"/>
    <w:rsid w:val="6D04420E"/>
    <w:rsid w:val="6D7B3171"/>
    <w:rsid w:val="6E2B8087"/>
    <w:rsid w:val="6E519E22"/>
    <w:rsid w:val="6E9B427A"/>
    <w:rsid w:val="6F0C5C1C"/>
    <w:rsid w:val="6F6051DD"/>
    <w:rsid w:val="6F8016F5"/>
    <w:rsid w:val="6FB95A87"/>
    <w:rsid w:val="6FCC95C8"/>
    <w:rsid w:val="70337575"/>
    <w:rsid w:val="70B92300"/>
    <w:rsid w:val="70BD3E01"/>
    <w:rsid w:val="71A9062A"/>
    <w:rsid w:val="71CD9E5B"/>
    <w:rsid w:val="72A1058C"/>
    <w:rsid w:val="733982CB"/>
    <w:rsid w:val="7472F27C"/>
    <w:rsid w:val="751F5582"/>
    <w:rsid w:val="75E521CD"/>
    <w:rsid w:val="77941273"/>
    <w:rsid w:val="784A73D4"/>
    <w:rsid w:val="7901DEE8"/>
    <w:rsid w:val="7953C6CD"/>
    <w:rsid w:val="7BC7EB52"/>
    <w:rsid w:val="7D14EDE5"/>
    <w:rsid w:val="7DBC0BD1"/>
    <w:rsid w:val="7DBDF759"/>
    <w:rsid w:val="7F6FBA4A"/>
    <w:rsid w:val="7F82C905"/>
    <w:rsid w:val="7FA54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FC01"/>
  <w15:docId w15:val="{4DE0FE82-99A0-43C2-8A18-B76528E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D7"/>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NormalWeb">
    <w:name w:val="Normal (Web)"/>
    <w:basedOn w:val="Normal"/>
    <w:uiPriority w:val="99"/>
    <w:semiHidden/>
    <w:unhideWhenUsed/>
    <w:rsid w:val="00AE3BB8"/>
    <w:pPr>
      <w:tabs>
        <w:tab w:val="clear" w:pos="288"/>
      </w:tabs>
      <w:spacing w:before="100" w:beforeAutospacing="1" w:after="100" w:afterAutospacing="1"/>
      <w:jc w:val="left"/>
    </w:pPr>
    <w:rPr>
      <w:rFonts w:ascii="Times New Roman" w:eastAsia="Times New Roman" w:hAnsi="Times New Roman"/>
      <w:sz w:val="24"/>
      <w:lang w:eastAsia="en-AU"/>
    </w:rPr>
  </w:style>
  <w:style w:type="paragraph" w:styleId="ListParagraph">
    <w:name w:val="List Paragraph"/>
    <w:basedOn w:val="Normal"/>
    <w:uiPriority w:val="34"/>
    <w:qFormat/>
    <w:rsid w:val="00020D02"/>
    <w:pPr>
      <w:ind w:left="720"/>
      <w:contextualSpacing/>
    </w:pPr>
  </w:style>
  <w:style w:type="paragraph" w:styleId="NoSpacing">
    <w:name w:val="No Spacing"/>
    <w:uiPriority w:val="1"/>
    <w:qFormat/>
    <w:rsid w:val="00E15644"/>
    <w:pPr>
      <w:tabs>
        <w:tab w:val="left" w:pos="288"/>
      </w:tabs>
      <w:spacing w:after="0" w:line="240" w:lineRule="auto"/>
      <w:jc w:val="both"/>
    </w:pPr>
    <w:rPr>
      <w:rFonts w:eastAsiaTheme="minorEastAsia" w:cs="Times New Roman"/>
      <w:szCs w:val="24"/>
      <w:lang w:eastAsia="ja-JP"/>
    </w:rPr>
  </w:style>
  <w:style w:type="character" w:styleId="CommentReference">
    <w:name w:val="annotation reference"/>
    <w:basedOn w:val="DefaultParagraphFont"/>
    <w:uiPriority w:val="99"/>
    <w:semiHidden/>
    <w:unhideWhenUsed/>
    <w:rsid w:val="00CD2BA1"/>
    <w:rPr>
      <w:sz w:val="16"/>
      <w:szCs w:val="16"/>
    </w:rPr>
  </w:style>
  <w:style w:type="paragraph" w:styleId="CommentText">
    <w:name w:val="annotation text"/>
    <w:basedOn w:val="Normal"/>
    <w:link w:val="CommentTextChar"/>
    <w:uiPriority w:val="99"/>
    <w:semiHidden/>
    <w:unhideWhenUsed/>
    <w:rsid w:val="00CD2BA1"/>
    <w:rPr>
      <w:sz w:val="20"/>
      <w:szCs w:val="20"/>
    </w:rPr>
  </w:style>
  <w:style w:type="character" w:customStyle="1" w:styleId="CommentTextChar">
    <w:name w:val="Comment Text Char"/>
    <w:basedOn w:val="DefaultParagraphFont"/>
    <w:link w:val="CommentText"/>
    <w:uiPriority w:val="99"/>
    <w:semiHidden/>
    <w:rsid w:val="00CD2BA1"/>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D2BA1"/>
    <w:rPr>
      <w:b/>
      <w:bCs/>
    </w:rPr>
  </w:style>
  <w:style w:type="character" w:customStyle="1" w:styleId="CommentSubjectChar">
    <w:name w:val="Comment Subject Char"/>
    <w:basedOn w:val="CommentTextChar"/>
    <w:link w:val="CommentSubject"/>
    <w:uiPriority w:val="99"/>
    <w:semiHidden/>
    <w:rsid w:val="00CD2BA1"/>
    <w:rPr>
      <w:rFonts w:eastAsiaTheme="minorEastAsia" w:cs="Times New Roman"/>
      <w:b/>
      <w:bCs/>
      <w:sz w:val="20"/>
      <w:szCs w:val="20"/>
      <w:lang w:eastAsia="ja-JP"/>
    </w:rPr>
  </w:style>
  <w:style w:type="paragraph" w:styleId="FootnoteText">
    <w:name w:val="footnote text"/>
    <w:basedOn w:val="Normal"/>
    <w:link w:val="FootnoteTextChar"/>
    <w:uiPriority w:val="99"/>
    <w:semiHidden/>
    <w:unhideWhenUsed/>
    <w:rsid w:val="00E64C46"/>
    <w:rPr>
      <w:sz w:val="20"/>
      <w:szCs w:val="20"/>
    </w:rPr>
  </w:style>
  <w:style w:type="character" w:customStyle="1" w:styleId="FootnoteTextChar">
    <w:name w:val="Footnote Text Char"/>
    <w:basedOn w:val="DefaultParagraphFont"/>
    <w:link w:val="FootnoteText"/>
    <w:uiPriority w:val="99"/>
    <w:semiHidden/>
    <w:rsid w:val="00E64C46"/>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E64C46"/>
    <w:rPr>
      <w:vertAlign w:val="superscript"/>
    </w:rPr>
  </w:style>
  <w:style w:type="character" w:styleId="UnresolvedMention">
    <w:name w:val="Unresolved Mention"/>
    <w:basedOn w:val="DefaultParagraphFont"/>
    <w:uiPriority w:val="99"/>
    <w:unhideWhenUsed/>
    <w:rsid w:val="008711A0"/>
    <w:rPr>
      <w:color w:val="605E5C"/>
      <w:shd w:val="clear" w:color="auto" w:fill="E1DFDD"/>
    </w:rPr>
  </w:style>
  <w:style w:type="character" w:styleId="Mention">
    <w:name w:val="Mention"/>
    <w:basedOn w:val="DefaultParagraphFont"/>
    <w:uiPriority w:val="99"/>
    <w:unhideWhenUsed/>
    <w:rsid w:val="008711A0"/>
    <w:rPr>
      <w:color w:val="2B579A"/>
      <w:shd w:val="clear" w:color="auto" w:fill="E1DFDD"/>
    </w:rPr>
  </w:style>
  <w:style w:type="paragraph" w:customStyle="1" w:styleId="Default">
    <w:name w:val="Default"/>
    <w:rsid w:val="0051132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164008352">
      <w:bodyDiv w:val="1"/>
      <w:marLeft w:val="0"/>
      <w:marRight w:val="0"/>
      <w:marTop w:val="0"/>
      <w:marBottom w:val="0"/>
      <w:divBdr>
        <w:top w:val="none" w:sz="0" w:space="0" w:color="auto"/>
        <w:left w:val="none" w:sz="0" w:space="0" w:color="auto"/>
        <w:bottom w:val="none" w:sz="0" w:space="0" w:color="auto"/>
        <w:right w:val="none" w:sz="0" w:space="0" w:color="auto"/>
      </w:divBdr>
      <w:divsChild>
        <w:div w:id="199708145">
          <w:marLeft w:val="0"/>
          <w:marRight w:val="0"/>
          <w:marTop w:val="0"/>
          <w:marBottom w:val="0"/>
          <w:divBdr>
            <w:top w:val="none" w:sz="0" w:space="0" w:color="auto"/>
            <w:left w:val="none" w:sz="0" w:space="0" w:color="auto"/>
            <w:bottom w:val="none" w:sz="0" w:space="0" w:color="auto"/>
            <w:right w:val="none" w:sz="0" w:space="0" w:color="auto"/>
          </w:divBdr>
        </w:div>
        <w:div w:id="520780822">
          <w:marLeft w:val="0"/>
          <w:marRight w:val="0"/>
          <w:marTop w:val="0"/>
          <w:marBottom w:val="0"/>
          <w:divBdr>
            <w:top w:val="none" w:sz="0" w:space="0" w:color="auto"/>
            <w:left w:val="none" w:sz="0" w:space="0" w:color="auto"/>
            <w:bottom w:val="none" w:sz="0" w:space="0" w:color="auto"/>
            <w:right w:val="none" w:sz="0" w:space="0" w:color="auto"/>
          </w:divBdr>
        </w:div>
        <w:div w:id="817038767">
          <w:marLeft w:val="0"/>
          <w:marRight w:val="0"/>
          <w:marTop w:val="0"/>
          <w:marBottom w:val="0"/>
          <w:divBdr>
            <w:top w:val="none" w:sz="0" w:space="0" w:color="auto"/>
            <w:left w:val="none" w:sz="0" w:space="0" w:color="auto"/>
            <w:bottom w:val="none" w:sz="0" w:space="0" w:color="auto"/>
            <w:right w:val="none" w:sz="0" w:space="0" w:color="auto"/>
          </w:divBdr>
        </w:div>
      </w:divsChild>
    </w:div>
    <w:div w:id="1704133818">
      <w:bodyDiv w:val="1"/>
      <w:marLeft w:val="0"/>
      <w:marRight w:val="0"/>
      <w:marTop w:val="0"/>
      <w:marBottom w:val="0"/>
      <w:divBdr>
        <w:top w:val="none" w:sz="0" w:space="0" w:color="auto"/>
        <w:left w:val="none" w:sz="0" w:space="0" w:color="auto"/>
        <w:bottom w:val="none" w:sz="0" w:space="0" w:color="auto"/>
        <w:right w:val="none" w:sz="0" w:space="0" w:color="auto"/>
      </w:divBdr>
      <w:divsChild>
        <w:div w:id="584071838">
          <w:marLeft w:val="0"/>
          <w:marRight w:val="0"/>
          <w:marTop w:val="0"/>
          <w:marBottom w:val="0"/>
          <w:divBdr>
            <w:top w:val="none" w:sz="0" w:space="0" w:color="auto"/>
            <w:left w:val="none" w:sz="0" w:space="0" w:color="auto"/>
            <w:bottom w:val="none" w:sz="0" w:space="0" w:color="auto"/>
            <w:right w:val="none" w:sz="0" w:space="0" w:color="auto"/>
          </w:divBdr>
        </w:div>
        <w:div w:id="1573615257">
          <w:marLeft w:val="0"/>
          <w:marRight w:val="0"/>
          <w:marTop w:val="0"/>
          <w:marBottom w:val="0"/>
          <w:divBdr>
            <w:top w:val="none" w:sz="0" w:space="0" w:color="auto"/>
            <w:left w:val="none" w:sz="0" w:space="0" w:color="auto"/>
            <w:bottom w:val="none" w:sz="0" w:space="0" w:color="auto"/>
            <w:right w:val="none" w:sz="0" w:space="0" w:color="auto"/>
          </w:divBdr>
        </w:div>
        <w:div w:id="2069454464">
          <w:marLeft w:val="0"/>
          <w:marRight w:val="0"/>
          <w:marTop w:val="0"/>
          <w:marBottom w:val="0"/>
          <w:divBdr>
            <w:top w:val="none" w:sz="0" w:space="0" w:color="auto"/>
            <w:left w:val="none" w:sz="0" w:space="0" w:color="auto"/>
            <w:bottom w:val="none" w:sz="0" w:space="0" w:color="auto"/>
            <w:right w:val="none" w:sz="0" w:space="0" w:color="auto"/>
          </w:divBdr>
        </w:div>
      </w:divsChild>
    </w:div>
    <w:div w:id="1720980349">
      <w:bodyDiv w:val="1"/>
      <w:marLeft w:val="0"/>
      <w:marRight w:val="0"/>
      <w:marTop w:val="0"/>
      <w:marBottom w:val="0"/>
      <w:divBdr>
        <w:top w:val="none" w:sz="0" w:space="0" w:color="auto"/>
        <w:left w:val="none" w:sz="0" w:space="0" w:color="auto"/>
        <w:bottom w:val="none" w:sz="0" w:space="0" w:color="auto"/>
        <w:right w:val="none" w:sz="0" w:space="0" w:color="auto"/>
      </w:divBdr>
      <w:divsChild>
        <w:div w:id="1323923491">
          <w:marLeft w:val="0"/>
          <w:marRight w:val="0"/>
          <w:marTop w:val="0"/>
          <w:marBottom w:val="0"/>
          <w:divBdr>
            <w:top w:val="none" w:sz="0" w:space="0" w:color="auto"/>
            <w:left w:val="none" w:sz="0" w:space="0" w:color="auto"/>
            <w:bottom w:val="none" w:sz="0" w:space="0" w:color="auto"/>
            <w:right w:val="none" w:sz="0" w:space="0" w:color="auto"/>
          </w:divBdr>
        </w:div>
        <w:div w:id="2073120646">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20581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8" ma:contentTypeDescription="Create a new document." ma:contentTypeScope="" ma:versionID="69f8a54c03329daf7c169b8355788d6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99d5ba4be239511111698009dce20ab4"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Emma Phillips</DisplayName>
        <AccountId>20</AccountId>
        <AccountType/>
      </UserInfo>
      <UserInfo>
        <DisplayName>Matilda Alexander</DisplayName>
        <AccountId>521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D153B-024C-47B7-825B-4A955883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http://schemas.microsoft.com/sharepoint/v3"/>
    <ds:schemaRef ds:uri="702ae122-4a2e-4501-abe0-a5b6cd410425"/>
  </ds:schemaRefs>
</ds:datastoreItem>
</file>

<file path=customXml/itemProps3.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4092</Words>
  <Characters>23331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895</cp:revision>
  <dcterms:created xsi:type="dcterms:W3CDTF">2021-08-13T11:40:00Z</dcterms:created>
  <dcterms:modified xsi:type="dcterms:W3CDTF">2021-08-13T22:30:00Z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