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00006pt;margin-top:822.036987pt;width:594.959940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05pt;margin-top:71.149979pt;width:594.959995pt;height:6.1pt;mso-position-horizontal-relative:page;mso-position-vertical-relative:page;z-index:15729664" id="docshape3" filled="true" fillcolor="#ff0000" stroked="false">
            <v:fill type="solid"/>
            <w10:wrap type="none"/>
          </v:rect>
        </w:pic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Heading1"/>
        <w:spacing w:before="35"/>
        <w:ind w:left="165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-275407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rPr>
          <w:color w:val="585858"/>
        </w:rPr>
        <w:t>ueensland</w:t>
      </w:r>
      <w:r>
        <w:rPr>
          <w:color w:val="585858"/>
          <w:spacing w:val="-6"/>
        </w:rPr>
        <w:t> </w:t>
      </w:r>
      <w:r>
        <w:rPr>
          <w:color w:val="FF0000"/>
        </w:rPr>
        <w:t>A</w:t>
      </w:r>
      <w:r>
        <w:rPr>
          <w:color w:val="585858"/>
        </w:rPr>
        <w:t>dvocacy</w:t>
      </w:r>
      <w:r>
        <w:rPr>
          <w:color w:val="585858"/>
          <w:spacing w:val="-6"/>
        </w:rPr>
        <w:t> </w:t>
      </w:r>
      <w:r>
        <w:rPr>
          <w:color w:val="FF0000"/>
        </w:rPr>
        <w:t>I</w:t>
      </w:r>
      <w:r>
        <w:rPr>
          <w:color w:val="585858"/>
        </w:rPr>
        <w:t>ncorporated</w:t>
      </w:r>
    </w:p>
    <w:p>
      <w:pPr>
        <w:pStyle w:val="BodyText"/>
        <w:rPr>
          <w:b/>
          <w:sz w:val="20"/>
        </w:rPr>
      </w:pPr>
    </w:p>
    <w:p>
      <w:pPr>
        <w:spacing w:before="173"/>
        <w:ind w:left="0" w:right="103" w:firstLine="0"/>
        <w:jc w:val="righ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disability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731"/>
        <w:jc w:val="both"/>
      </w:pPr>
      <w:r>
        <w:rPr>
          <w:color w:val="808080"/>
        </w:rPr>
        <w:t>Is it just my child? The use of School Disciplinary Absences in Queensland</w:t>
      </w:r>
      <w:r>
        <w:rPr>
          <w:color w:val="808080"/>
          <w:spacing w:val="-70"/>
        </w:rPr>
        <w:t> </w:t>
      </w:r>
      <w:r>
        <w:rPr>
          <w:color w:val="808080"/>
        </w:rPr>
        <w:t>State</w:t>
      </w:r>
      <w:r>
        <w:rPr>
          <w:color w:val="808080"/>
          <w:spacing w:val="-1"/>
        </w:rPr>
        <w:t> </w:t>
      </w:r>
      <w:r>
        <w:rPr>
          <w:color w:val="808080"/>
        </w:rPr>
        <w:t>Schools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360" w:right="713"/>
        <w:jc w:val="both"/>
      </w:pP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years,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students,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Disciplinary</w:t>
      </w:r>
      <w:r>
        <w:rPr>
          <w:spacing w:val="1"/>
        </w:rPr>
        <w:t> </w:t>
      </w:r>
      <w:r>
        <w:rPr/>
        <w:t>Absences</w:t>
      </w:r>
      <w:r>
        <w:rPr>
          <w:spacing w:val="1"/>
        </w:rPr>
        <w:t> </w:t>
      </w:r>
      <w:r>
        <w:rPr/>
        <w:t>(SDAs).</w:t>
      </w:r>
      <w:r>
        <w:rPr>
          <w:spacing w:val="1"/>
        </w:rPr>
        <w:t> </w:t>
      </w:r>
      <w:r>
        <w:rPr/>
        <w:t>SDAs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suspension,</w:t>
      </w:r>
      <w:r>
        <w:rPr>
          <w:spacing w:val="-9"/>
        </w:rPr>
        <w:t> </w:t>
      </w:r>
      <w:r>
        <w:rPr/>
        <w:t>exclusion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cancellation</w:t>
      </w:r>
      <w:r>
        <w:rPr>
          <w:spacing w:val="-12"/>
        </w:rPr>
        <w:t> </w:t>
      </w:r>
      <w:r>
        <w:rPr/>
        <w:t>of</w:t>
      </w:r>
      <w:r>
        <w:rPr>
          <w:spacing w:val="-6"/>
        </w:rPr>
        <w:t> </w:t>
      </w:r>
      <w:r>
        <w:rPr/>
        <w:t>enrolment</w:t>
      </w:r>
      <w:r>
        <w:rPr>
          <w:spacing w:val="-6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instances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behaviour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/>
        <w:t>deems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unacceptable.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progression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exclusion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longer,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absences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documented. An informal exclusion may occur when a teacher phones a student’s parent and requests that</w:t>
      </w:r>
      <w:r>
        <w:rPr>
          <w:spacing w:val="1"/>
        </w:rPr>
        <w:t> </w:t>
      </w:r>
      <w:r>
        <w:rPr/>
        <w:t>they take their child home. As this fails to address the underlying cause of the behaviour of concern, it tends</w:t>
      </w:r>
      <w:r>
        <w:rPr>
          <w:spacing w:val="1"/>
        </w:rPr>
        <w:t> </w:t>
      </w:r>
      <w:r>
        <w:rPr/>
        <w:t>to happen again. Before long, the student receives a suspension, perhaps initially short-term and then long-</w:t>
      </w:r>
      <w:r>
        <w:rPr>
          <w:spacing w:val="1"/>
        </w:rPr>
        <w:t> </w:t>
      </w:r>
      <w:r>
        <w:rPr/>
        <w:t>term,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severe suspensions and exclusions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(Graham et al,</w:t>
      </w:r>
      <w:r>
        <w:rPr>
          <w:spacing w:val="-4"/>
        </w:rPr>
        <w:t> </w:t>
      </w:r>
      <w:r>
        <w:rPr/>
        <w:t>2020).</w:t>
      </w:r>
      <w:r>
        <w:rPr>
          <w:vertAlign w:val="superscript"/>
        </w:rPr>
        <w:t>i</w:t>
      </w:r>
    </w:p>
    <w:p>
      <w:pPr>
        <w:pStyle w:val="BodyText"/>
      </w:pPr>
    </w:p>
    <w:p>
      <w:pPr>
        <w:pStyle w:val="BodyText"/>
        <w:ind w:left="360" w:right="712"/>
        <w:jc w:val="both"/>
      </w:pPr>
      <w:r>
        <w:rPr/>
        <w:t>Despite</w:t>
      </w:r>
      <w:r>
        <w:rPr>
          <w:spacing w:val="-4"/>
        </w:rPr>
        <w:t> </w:t>
      </w:r>
      <w:r>
        <w:rPr/>
        <w:t>exclusions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suspensions</w:t>
      </w:r>
      <w:r>
        <w:rPr>
          <w:spacing w:val="-4"/>
        </w:rPr>
        <w:t> </w:t>
      </w:r>
      <w:r>
        <w:rPr/>
        <w:t>supposedly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‘a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resort’</w:t>
      </w:r>
      <w:r>
        <w:rPr>
          <w:spacing w:val="-5"/>
        </w:rPr>
        <w:t> </w:t>
      </w:r>
      <w:r>
        <w:rPr/>
        <w:t>measure,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2017</w:t>
      </w:r>
      <w:r>
        <w:rPr>
          <w:spacing w:val="-5"/>
        </w:rPr>
        <w:t> </w:t>
      </w:r>
      <w:r>
        <w:rPr/>
        <w:t>Deloitte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found</w:t>
      </w:r>
      <w:r>
        <w:rPr>
          <w:spacing w:val="-47"/>
        </w:rPr>
        <w:t> </w:t>
      </w:r>
      <w:r>
        <w:rPr/>
        <w:t>that the average use of SDAs among students with disability in Queensland had been consistently growing</w:t>
      </w:r>
      <w:r>
        <w:rPr>
          <w:spacing w:val="1"/>
        </w:rPr>
        <w:t> </w:t>
      </w:r>
      <w:r>
        <w:rPr/>
        <w:t>since 2011, and that the use of SDAs was much higher in secondary schools and consistently higher for</w:t>
      </w:r>
      <w:r>
        <w:rPr>
          <w:spacing w:val="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 an EAP (Education</w:t>
      </w:r>
      <w:r>
        <w:rPr>
          <w:spacing w:val="-1"/>
        </w:rPr>
        <w:t> </w:t>
      </w:r>
      <w:r>
        <w:rPr/>
        <w:t>Adjustment Program)</w:t>
      </w:r>
      <w:r>
        <w:rPr>
          <w:spacing w:val="-4"/>
        </w:rPr>
        <w:t> </w:t>
      </w:r>
      <w:r>
        <w:rPr/>
        <w:t>recognised disability.</w:t>
      </w:r>
      <w:r>
        <w:rPr>
          <w:vertAlign w:val="superscript"/>
        </w:rPr>
        <w:t>ii</w:t>
      </w:r>
    </w:p>
    <w:p>
      <w:pPr>
        <w:pStyle w:val="BodyText"/>
        <w:spacing w:before="1"/>
      </w:pPr>
    </w:p>
    <w:p>
      <w:pPr>
        <w:pStyle w:val="BodyText"/>
        <w:spacing w:before="1"/>
        <w:ind w:left="360" w:right="713"/>
        <w:jc w:val="both"/>
      </w:pPr>
      <w:r>
        <w:rPr/>
        <w:t>We also know that children residing in out-of-home care are four times more likely to experience SDAs than</w:t>
      </w:r>
      <w:r>
        <w:rPr>
          <w:spacing w:val="1"/>
        </w:rPr>
        <w:t> </w:t>
      </w:r>
      <w:r>
        <w:rPr/>
        <w:t>children not residing in out-of-home care.</w:t>
      </w:r>
      <w:r>
        <w:rPr>
          <w:vertAlign w:val="superscript"/>
        </w:rPr>
        <w:t>iii</w:t>
      </w:r>
      <w:r>
        <w:rPr>
          <w:vertAlign w:val="baseline"/>
        </w:rPr>
        <w:t> And that Aboriginal and Torres Strait Islander students receive</w:t>
      </w:r>
      <w:r>
        <w:rPr>
          <w:spacing w:val="1"/>
          <w:vertAlign w:val="baseline"/>
        </w:rPr>
        <w:t> </w:t>
      </w:r>
      <w:r>
        <w:rPr>
          <w:vertAlign w:val="baseline"/>
        </w:rPr>
        <w:t>approximately one quarter of all recorded SDAs</w:t>
      </w:r>
      <w:r>
        <w:rPr>
          <w:vertAlign w:val="superscript"/>
        </w:rPr>
        <w:t>iv</w:t>
      </w:r>
      <w:r>
        <w:rPr>
          <w:vertAlign w:val="baseline"/>
        </w:rPr>
        <w:t> despite only representing 10% of all Queensland full-time</w:t>
      </w:r>
      <w:r>
        <w:rPr>
          <w:spacing w:val="1"/>
          <w:vertAlign w:val="baseline"/>
        </w:rPr>
        <w:t> </w:t>
      </w:r>
      <w:r>
        <w:rPr>
          <w:vertAlign w:val="baseline"/>
        </w:rPr>
        <w:t>state school enrolments.</w:t>
      </w:r>
      <w:r>
        <w:rPr>
          <w:vertAlign w:val="superscript"/>
        </w:rPr>
        <w:t>v</w:t>
      </w:r>
      <w:r>
        <w:rPr>
          <w:vertAlign w:val="baseline"/>
        </w:rPr>
        <w:t> Considered collectively, these statistics suggest that students with backgrounds of</w:t>
      </w:r>
      <w:r>
        <w:rPr>
          <w:spacing w:val="1"/>
          <w:vertAlign w:val="baseline"/>
        </w:rPr>
        <w:t> </w:t>
      </w:r>
      <w:r>
        <w:rPr>
          <w:vertAlign w:val="baseline"/>
        </w:rPr>
        <w:t>disadvantage, be it in relation to their cultural heritage, disability status or involvement with the child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protection</w:t>
      </w:r>
      <w:r>
        <w:rPr>
          <w:spacing w:val="-7"/>
          <w:vertAlign w:val="baseline"/>
        </w:rPr>
        <w:t> </w:t>
      </w:r>
      <w:r>
        <w:rPr>
          <w:vertAlign w:val="baseline"/>
        </w:rPr>
        <w:t>system,</w:t>
      </w:r>
      <w:r>
        <w:rPr>
          <w:spacing w:val="-5"/>
          <w:vertAlign w:val="baseline"/>
        </w:rPr>
        <w:t> </w:t>
      </w:r>
      <w:r>
        <w:rPr>
          <w:vertAlign w:val="baseline"/>
        </w:rPr>
        <w:t>are</w:t>
      </w:r>
      <w:r>
        <w:rPr>
          <w:spacing w:val="-4"/>
          <w:vertAlign w:val="baseline"/>
        </w:rPr>
        <w:t> </w:t>
      </w:r>
      <w:r>
        <w:rPr>
          <w:vertAlign w:val="baseline"/>
        </w:rPr>
        <w:t>disproportionately</w:t>
      </w:r>
      <w:r>
        <w:rPr>
          <w:spacing w:val="-4"/>
          <w:vertAlign w:val="baseline"/>
        </w:rPr>
        <w:t> </w:t>
      </w:r>
      <w:r>
        <w:rPr>
          <w:vertAlign w:val="baseline"/>
        </w:rPr>
        <w:t>receiving</w:t>
      </w:r>
      <w:r>
        <w:rPr>
          <w:spacing w:val="-5"/>
          <w:vertAlign w:val="baseline"/>
        </w:rPr>
        <w:t> </w:t>
      </w:r>
      <w:r>
        <w:rPr>
          <w:vertAlign w:val="baseline"/>
        </w:rPr>
        <w:t>school</w:t>
      </w:r>
      <w:r>
        <w:rPr>
          <w:spacing w:val="-5"/>
          <w:vertAlign w:val="baseline"/>
        </w:rPr>
        <w:t> </w:t>
      </w:r>
      <w:r>
        <w:rPr>
          <w:vertAlign w:val="baseline"/>
        </w:rPr>
        <w:t>disciplinary</w:t>
      </w:r>
      <w:r>
        <w:rPr>
          <w:spacing w:val="-4"/>
          <w:vertAlign w:val="baseline"/>
        </w:rPr>
        <w:t> </w:t>
      </w:r>
      <w:r>
        <w:rPr>
          <w:vertAlign w:val="baseline"/>
        </w:rPr>
        <w:t>absences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6"/>
          <w:vertAlign w:val="baseline"/>
        </w:rPr>
        <w:t> </w:t>
      </w:r>
      <w:r>
        <w:rPr>
          <w:vertAlign w:val="baseline"/>
        </w:rPr>
        <w:t>state</w:t>
      </w:r>
      <w:r>
        <w:rPr>
          <w:spacing w:val="-1"/>
          <w:vertAlign w:val="baseline"/>
        </w:rPr>
        <w:t> </w:t>
      </w:r>
      <w:r>
        <w:rPr>
          <w:vertAlign w:val="baseline"/>
        </w:rPr>
        <w:t>schools.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713"/>
        <w:jc w:val="both"/>
      </w:pPr>
      <w:r>
        <w:rPr/>
        <w:t>The</w:t>
      </w:r>
      <w:r>
        <w:rPr>
          <w:spacing w:val="-8"/>
        </w:rPr>
        <w:t> </w:t>
      </w:r>
      <w:r>
        <w:rPr/>
        <w:t>consequences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SDAs</w:t>
      </w:r>
      <w:r>
        <w:rPr>
          <w:spacing w:val="-10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profound.</w:t>
      </w:r>
      <w:r>
        <w:rPr>
          <w:spacing w:val="-9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removed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denied</w:t>
      </w:r>
      <w:r>
        <w:rPr>
          <w:spacing w:val="-8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fundamental</w:t>
      </w:r>
      <w:r>
        <w:rPr>
          <w:spacing w:val="-47"/>
        </w:rPr>
        <w:t> </w:t>
      </w:r>
      <w:r>
        <w:rPr/>
        <w:t>educational materials, learning opportunities and chances for relationship building. Students do not always</w:t>
      </w:r>
      <w:r>
        <w:rPr>
          <w:spacing w:val="1"/>
        </w:rPr>
        <w:t> </w:t>
      </w:r>
      <w:r>
        <w:rPr/>
        <w:t>receive work to complete at home or appropriate support to continue their education. Students often report</w:t>
      </w:r>
      <w:r>
        <w:rPr>
          <w:spacing w:val="-47"/>
        </w:rPr>
        <w:t> </w:t>
      </w:r>
      <w:r>
        <w:rPr/>
        <w:t>feeling</w:t>
      </w:r>
      <w:r>
        <w:rPr>
          <w:spacing w:val="-10"/>
        </w:rPr>
        <w:t> </w:t>
      </w:r>
      <w:r>
        <w:rPr/>
        <w:t>anxious,</w:t>
      </w:r>
      <w:r>
        <w:rPr>
          <w:spacing w:val="-8"/>
        </w:rPr>
        <w:t> </w:t>
      </w:r>
      <w:r>
        <w:rPr/>
        <w:t>humiliated,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isolated</w:t>
      </w:r>
      <w:r>
        <w:rPr>
          <w:spacing w:val="-11"/>
        </w:rPr>
        <w:t> </w:t>
      </w:r>
      <w:r>
        <w:rPr/>
        <w:t>from</w:t>
      </w:r>
      <w:r>
        <w:rPr>
          <w:spacing w:val="-9"/>
        </w:rPr>
        <w:t> </w:t>
      </w:r>
      <w:r>
        <w:rPr/>
        <w:t>their</w:t>
      </w:r>
      <w:r>
        <w:rPr>
          <w:spacing w:val="-12"/>
        </w:rPr>
        <w:t> </w:t>
      </w:r>
      <w:r>
        <w:rPr/>
        <w:t>peers,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then</w:t>
      </w:r>
      <w:r>
        <w:rPr>
          <w:spacing w:val="-9"/>
        </w:rPr>
        <w:t> </w:t>
      </w:r>
      <w:r>
        <w:rPr/>
        <w:t>impacts</w:t>
      </w:r>
      <w:r>
        <w:rPr>
          <w:spacing w:val="-8"/>
        </w:rPr>
        <w:t> </w:t>
      </w:r>
      <w:r>
        <w:rPr/>
        <w:t>their</w:t>
      </w:r>
      <w:r>
        <w:rPr>
          <w:spacing w:val="-12"/>
        </w:rPr>
        <w:t> </w:t>
      </w:r>
      <w:r>
        <w:rPr/>
        <w:t>ability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successfully</w:t>
      </w:r>
      <w:r>
        <w:rPr>
          <w:spacing w:val="-48"/>
        </w:rPr>
        <w:t> </w:t>
      </w:r>
      <w:r>
        <w:rPr/>
        <w:t>reintegrate back into school following their absence. Sometimes students are prevented from re-enrolling at</w:t>
      </w:r>
      <w:r>
        <w:rPr>
          <w:spacing w:val="1"/>
        </w:rPr>
        <w:t> </w:t>
      </w:r>
      <w:r>
        <w:rPr/>
        <w:t>a school following an exclusion. Attempts to enrol in other schools can be futile due gatekeeping practices of</w:t>
      </w:r>
      <w:r>
        <w:rPr>
          <w:spacing w:val="-47"/>
        </w:rPr>
        <w:t> </w:t>
      </w:r>
      <w:r>
        <w:rPr/>
        <w:t>some school principals, leaving the student faced with either Special Education or home schooling and thus</w:t>
      </w:r>
      <w:r>
        <w:rPr>
          <w:spacing w:val="1"/>
        </w:rPr>
        <w:t> </w:t>
      </w:r>
      <w:r>
        <w:rPr/>
        <w:t>reinforcing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segregated</w:t>
      </w:r>
      <w:r>
        <w:rPr>
          <w:spacing w:val="-11"/>
        </w:rPr>
        <w:t> </w:t>
      </w:r>
      <w:r>
        <w:rPr/>
        <w:t>model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inclusive</w:t>
      </w:r>
      <w:r>
        <w:rPr>
          <w:spacing w:val="-10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policies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seeking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overcome.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particularly</w:t>
      </w:r>
      <w:r>
        <w:rPr>
          <w:spacing w:val="-48"/>
        </w:rPr>
        <w:t> </w:t>
      </w:r>
      <w:r>
        <w:rPr/>
        <w:t>problematic for students in rural or remote parts of Queensland, where there may be limited or no other</w:t>
      </w:r>
      <w:r>
        <w:rPr>
          <w:spacing w:val="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enrol.</w:t>
      </w:r>
    </w:p>
    <w:p>
      <w:pPr>
        <w:pStyle w:val="BodyText"/>
        <w:spacing w:before="1"/>
      </w:pPr>
    </w:p>
    <w:p>
      <w:pPr>
        <w:pStyle w:val="BodyText"/>
        <w:ind w:left="360" w:right="712"/>
        <w:jc w:val="both"/>
      </w:pPr>
      <w:r>
        <w:rPr/>
        <w:t>The long-term impacts of SDAs can also be severe. Research has demonstrated that students who have been</w:t>
      </w:r>
      <w:r>
        <w:rPr>
          <w:spacing w:val="-47"/>
        </w:rPr>
        <w:t> </w:t>
      </w:r>
      <w:r>
        <w:rPr/>
        <w:t>subject to SDAs can go on to experience poorer mental health, prolonged unemployment, increased stigma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feelings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rejection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likelihood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becoming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crime</w:t>
      </w:r>
      <w:r>
        <w:rPr>
          <w:spacing w:val="-2"/>
        </w:rPr>
        <w:t> </w:t>
      </w:r>
      <w:r>
        <w:rPr/>
        <w:t>(Graham,</w:t>
      </w:r>
      <w:r>
        <w:rPr>
          <w:spacing w:val="-3"/>
        </w:rPr>
        <w:t> </w:t>
      </w:r>
      <w:r>
        <w:rPr/>
        <w:t>2020).</w:t>
      </w:r>
      <w:r>
        <w:rPr>
          <w:vertAlign w:val="superscript"/>
        </w:rPr>
        <w:t>vi</w:t>
      </w:r>
      <w:r>
        <w:rPr>
          <w:spacing w:val="-3"/>
          <w:vertAlign w:val="baseline"/>
        </w:rPr>
        <w:t> </w:t>
      </w:r>
      <w:r>
        <w:rPr>
          <w:vertAlign w:val="baseline"/>
        </w:rPr>
        <w:t>Further,</w:t>
      </w:r>
      <w:r>
        <w:rPr>
          <w:spacing w:val="-48"/>
          <w:vertAlign w:val="baseline"/>
        </w:rPr>
        <w:t> </w:t>
      </w:r>
      <w:r>
        <w:rPr>
          <w:vertAlign w:val="baseline"/>
        </w:rPr>
        <w:t>peers are taught to segregate themselves from people who exhibit challenging behaviour, rather than show</w:t>
      </w:r>
      <w:r>
        <w:rPr>
          <w:spacing w:val="1"/>
          <w:vertAlign w:val="baseline"/>
        </w:rPr>
        <w:t> </w:t>
      </w:r>
      <w:r>
        <w:rPr>
          <w:vertAlign w:val="baseline"/>
        </w:rPr>
        <w:t>understanding, empathy and compassion for a person whose behaviour is likely trying to communicate an</w:t>
      </w:r>
      <w:r>
        <w:rPr>
          <w:spacing w:val="1"/>
          <w:vertAlign w:val="baseline"/>
        </w:rPr>
        <w:t> </w:t>
      </w:r>
      <w:r>
        <w:rPr>
          <w:vertAlign w:val="baseline"/>
        </w:rPr>
        <w:t>unmet need. Consequences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parents can also be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significant, with many reporting elevated</w:t>
      </w:r>
      <w:r>
        <w:rPr>
          <w:spacing w:val="1"/>
          <w:vertAlign w:val="baseline"/>
        </w:rPr>
        <w:t> </w:t>
      </w:r>
      <w:r>
        <w:rPr>
          <w:vertAlign w:val="baseline"/>
        </w:rPr>
        <w:t>levels of</w:t>
      </w:r>
      <w:r>
        <w:rPr>
          <w:spacing w:val="1"/>
          <w:vertAlign w:val="baseline"/>
        </w:rPr>
        <w:t> </w:t>
      </w:r>
      <w:r>
        <w:rPr>
          <w:vertAlign w:val="baseline"/>
        </w:rPr>
        <w:t>psychological distress as well as financial hardship and risks to the sustainability of their employment. This</w:t>
      </w:r>
      <w:r>
        <w:rPr>
          <w:spacing w:val="1"/>
          <w:vertAlign w:val="baseline"/>
        </w:rPr>
        <w:t> </w:t>
      </w:r>
      <w:r>
        <w:rPr>
          <w:vertAlign w:val="baseline"/>
        </w:rPr>
        <w:t>occurs due to being unable to attend work and/or being forced to take all their leave whilst tending to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children unexpectedly. These risks are especially high for low-income or single-parent families with limited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supports.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761" w:header="0" w:top="340" w:bottom="960" w:left="720" w:right="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6"/>
        <w:ind w:left="360" w:right="711"/>
        <w:jc w:val="both"/>
      </w:pPr>
      <w:r>
        <w:rPr/>
        <w:t>There is considerable variability in the use of SDAs. Whilst some schools report zero or very few SDAs, some</w:t>
      </w:r>
      <w:r>
        <w:rPr>
          <w:spacing w:val="1"/>
        </w:rPr>
        <w:t> </w:t>
      </w:r>
      <w:r>
        <w:rPr/>
        <w:t>schools have very high numbers of SDAs. QAI considers that the prevalence of SDAs among students with</w:t>
      </w:r>
      <w:r>
        <w:rPr>
          <w:spacing w:val="1"/>
        </w:rPr>
        <w:t> </w:t>
      </w:r>
      <w:r>
        <w:rPr/>
        <w:t>disability typically reflects the culture of an individual school and the extent to which it values and promotes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principles of</w:t>
      </w:r>
      <w:r>
        <w:rPr>
          <w:spacing w:val="1"/>
        </w:rPr>
        <w:t> </w:t>
      </w:r>
      <w:r>
        <w:rPr/>
        <w:t>inclusive education.</w:t>
      </w:r>
      <w:r>
        <w:rPr>
          <w:spacing w:val="1"/>
        </w:rPr>
        <w:t> </w:t>
      </w:r>
      <w:r>
        <w:rPr/>
        <w:t>Whilst some schools</w:t>
      </w:r>
      <w:r>
        <w:rPr>
          <w:spacing w:val="1"/>
        </w:rPr>
        <w:t> </w:t>
      </w:r>
      <w:r>
        <w:rPr/>
        <w:t>provide exemplary</w:t>
      </w:r>
      <w:r>
        <w:rPr>
          <w:spacing w:val="1"/>
        </w:rPr>
        <w:t> </w:t>
      </w:r>
      <w:r>
        <w:rPr/>
        <w:t>support to</w:t>
      </w:r>
      <w:r>
        <w:rPr>
          <w:spacing w:val="1"/>
        </w:rPr>
        <w:t> </w:t>
      </w:r>
      <w:r>
        <w:rPr/>
        <w:t>students with</w:t>
      </w:r>
      <w:r>
        <w:rPr>
          <w:spacing w:val="1"/>
        </w:rPr>
        <w:t> </w:t>
      </w:r>
      <w:r>
        <w:rPr>
          <w:spacing w:val="-1"/>
        </w:rPr>
        <w:t>disability,</w:t>
      </w:r>
      <w:r>
        <w:rPr>
          <w:spacing w:val="-9"/>
        </w:rPr>
        <w:t> </w:t>
      </w:r>
      <w:r>
        <w:rPr/>
        <w:t>others</w:t>
      </w:r>
      <w:r>
        <w:rPr>
          <w:spacing w:val="-9"/>
        </w:rPr>
        <w:t> </w:t>
      </w:r>
      <w:r>
        <w:rPr/>
        <w:t>appear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reject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values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inclusion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operate</w:t>
      </w:r>
      <w:r>
        <w:rPr>
          <w:spacing w:val="-9"/>
        </w:rPr>
        <w:t> </w:t>
      </w:r>
      <w:r>
        <w:rPr/>
        <w:t>practices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discriminatory</w:t>
      </w:r>
      <w:r>
        <w:rPr>
          <w:spacing w:val="-8"/>
        </w:rPr>
        <w:t> </w:t>
      </w:r>
      <w:r>
        <w:rPr/>
        <w:t>towards</w:t>
      </w:r>
      <w:r>
        <w:rPr>
          <w:spacing w:val="-48"/>
        </w:rPr>
        <w:t> </w:t>
      </w:r>
      <w:r>
        <w:rPr/>
        <w:t>students with disability. For example, unreasonably denying requests for reasonable adjustments that would</w:t>
      </w:r>
      <w:r>
        <w:rPr>
          <w:spacing w:val="-47"/>
        </w:rPr>
        <w:t> </w:t>
      </w:r>
      <w:r>
        <w:rPr/>
        <w:t>ensure students with disability can access education on the same basis as others. The absence of reasonable</w:t>
      </w:r>
      <w:r>
        <w:rPr>
          <w:spacing w:val="1"/>
        </w:rPr>
        <w:t> </w:t>
      </w:r>
      <w:r>
        <w:rPr/>
        <w:t>adjustments for many students with disability, particularly students with Autism and/or ADHD, can lead to</w:t>
      </w:r>
      <w:r>
        <w:rPr>
          <w:spacing w:val="1"/>
        </w:rPr>
        <w:t> </w:t>
      </w:r>
      <w:r>
        <w:rPr/>
        <w:t>escalations in behaviour that would otherwise be avoided if reasonable adjustments appropriate to their</w:t>
      </w:r>
      <w:r>
        <w:rPr>
          <w:spacing w:val="1"/>
        </w:rPr>
        <w:t> </w:t>
      </w:r>
      <w:r>
        <w:rPr/>
        <w:t>needs were in place. An absence of trained staff skilled in behaviour management techniques can then lead</w:t>
      </w:r>
      <w:r>
        <w:rPr>
          <w:spacing w:val="1"/>
        </w:rPr>
        <w:t> </w:t>
      </w:r>
      <w:r>
        <w:rPr/>
        <w:t>to further escalations in the child’s behaviour, resulting in disciplinary measures such as a suspension or</w:t>
      </w:r>
      <w:r>
        <w:rPr>
          <w:spacing w:val="1"/>
        </w:rPr>
        <w:t> </w:t>
      </w:r>
      <w:r>
        <w:rPr/>
        <w:t>exclusion</w:t>
      </w:r>
      <w:r>
        <w:rPr>
          <w:spacing w:val="-6"/>
        </w:rPr>
        <w:t> </w:t>
      </w:r>
      <w:r>
        <w:rPr/>
        <w:t>and/or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Restrictive</w:t>
      </w:r>
      <w:r>
        <w:rPr>
          <w:spacing w:val="-5"/>
        </w:rPr>
        <w:t> </w:t>
      </w:r>
      <w:r>
        <w:rPr/>
        <w:t>Practices,</w:t>
      </w:r>
      <w:r>
        <w:rPr>
          <w:spacing w:val="-5"/>
        </w:rPr>
        <w:t> </w:t>
      </w:r>
      <w:r>
        <w:rPr/>
        <w:t>further</w:t>
      </w:r>
      <w:r>
        <w:rPr>
          <w:spacing w:val="-4"/>
        </w:rPr>
        <w:t> </w:t>
      </w:r>
      <w:r>
        <w:rPr/>
        <w:t>entrenching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segregation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school</w:t>
      </w:r>
      <w:r>
        <w:rPr>
          <w:spacing w:val="-47"/>
        </w:rPr>
        <w:t> </w:t>
      </w:r>
      <w:r>
        <w:rPr/>
        <w:t>community.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360" w:right="712"/>
        <w:jc w:val="both"/>
      </w:pPr>
      <w:r>
        <w:rPr/>
        <w:t>SDAs continue to be used despite overwhelming evidence as to their ineffectiveness in reducing behaviours</w:t>
      </w:r>
      <w:r>
        <w:rPr>
          <w:spacing w:val="1"/>
        </w:rPr>
        <w:t> </w:t>
      </w:r>
      <w:r>
        <w:rPr/>
        <w:t>of concern. Professor Graham highlights the fundamentally flawed assumption upon which SDAs are based –</w:t>
      </w:r>
      <w:r>
        <w:rPr>
          <w:spacing w:val="-47"/>
        </w:rPr>
        <w:t> </w:t>
      </w:r>
      <w:r>
        <w:rPr/>
        <w:t>that is, that challenging behaviour is a conscious choice enacted by individuals who are able to self-regulate</w:t>
      </w:r>
      <w:r>
        <w:rPr>
          <w:spacing w:val="1"/>
        </w:rPr>
        <w:t> </w:t>
      </w:r>
      <w:r>
        <w:rPr/>
        <w:t>their emotions (Graham 2020). Therefore, by punishing students who exhibit challenging behaviours, SDAs</w:t>
      </w:r>
      <w:r>
        <w:rPr>
          <w:spacing w:val="1"/>
        </w:rPr>
        <w:t> </w:t>
      </w:r>
      <w:r>
        <w:rPr/>
        <w:t>will act as a deterrent and influence the student’s decision-making when ‘choosing’ their behaviour in future.</w:t>
      </w:r>
      <w:r>
        <w:rPr>
          <w:spacing w:val="-48"/>
        </w:rPr>
        <w:t> </w:t>
      </w:r>
      <w:r>
        <w:rPr/>
        <w:t>However, this fundamentally misunderstands the nature of ‘challenging behaviour’, which is often a reflex</w:t>
      </w:r>
      <w:r>
        <w:rPr>
          <w:spacing w:val="1"/>
        </w:rPr>
        <w:t> </w:t>
      </w:r>
      <w:r>
        <w:rPr/>
        <w:t>communication</w:t>
      </w:r>
      <w:r>
        <w:rPr>
          <w:spacing w:val="-7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heightened</w:t>
      </w:r>
      <w:r>
        <w:rPr>
          <w:spacing w:val="-6"/>
        </w:rPr>
        <w:t> </w:t>
      </w:r>
      <w:r>
        <w:rPr/>
        <w:t>distress.</w:t>
      </w:r>
      <w:r>
        <w:rPr>
          <w:spacing w:val="-48"/>
        </w:rPr>
        <w:t> </w:t>
      </w:r>
      <w:r>
        <w:rPr/>
        <w:t>It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manifestation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 person’s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before="2"/>
      </w:pPr>
    </w:p>
    <w:p>
      <w:pPr>
        <w:pStyle w:val="BodyText"/>
        <w:ind w:left="360" w:right="713"/>
        <w:jc w:val="both"/>
      </w:pPr>
      <w:r>
        <w:rPr/>
        <w:t>Legislative changes introduced by the Newman government in 2014 have had lasting impacts on the use of</w:t>
      </w:r>
      <w:r>
        <w:rPr>
          <w:spacing w:val="1"/>
        </w:rPr>
        <w:t> </w:t>
      </w:r>
      <w:r>
        <w:rPr/>
        <w:t>SDAs in Queensland. Amendments in the </w:t>
      </w:r>
      <w:r>
        <w:rPr>
          <w:i/>
        </w:rPr>
        <w:t>Education (Strengthening Discipline in State Schools) Amendment</w:t>
      </w:r>
      <w:r>
        <w:rPr>
          <w:i/>
          <w:spacing w:val="1"/>
        </w:rPr>
        <w:t> </w:t>
      </w:r>
      <w:r>
        <w:rPr>
          <w:i/>
        </w:rPr>
        <w:t>Act 2013 </w:t>
      </w:r>
      <w:r>
        <w:rPr/>
        <w:t>(Qld) dramatically increased the discretionary powers of school principals with regards to SDAs and</w:t>
      </w:r>
      <w:r>
        <w:rPr>
          <w:spacing w:val="1"/>
        </w:rPr>
        <w:t> </w:t>
      </w:r>
      <w:r>
        <w:rPr/>
        <w:t>extended the length of short-term (and non-reviewable) suspensions from 5 to 10 days. Despite intentions</w:t>
      </w:r>
      <w:r>
        <w:rPr>
          <w:spacing w:val="1"/>
        </w:rPr>
        <w:t> </w:t>
      </w:r>
      <w:r>
        <w:rPr/>
        <w:t>that increasing the discretionary power of principals responding to behaviours of concern would result in a</w:t>
      </w:r>
      <w:r>
        <w:rPr>
          <w:spacing w:val="1"/>
        </w:rPr>
        <w:t> </w:t>
      </w:r>
      <w:r>
        <w:rPr/>
        <w:t>reduction in the number of SDAs, the available evidence suggests that the opposite has occurred (Graham,</w:t>
      </w:r>
      <w:r>
        <w:rPr>
          <w:spacing w:val="1"/>
        </w:rPr>
        <w:t> </w:t>
      </w:r>
      <w:r>
        <w:rPr/>
        <w:t>2020).</w:t>
      </w:r>
    </w:p>
    <w:p>
      <w:pPr>
        <w:pStyle w:val="BodyText"/>
      </w:pPr>
    </w:p>
    <w:p>
      <w:pPr>
        <w:pStyle w:val="BodyText"/>
        <w:ind w:left="360" w:right="713"/>
        <w:jc w:val="both"/>
      </w:pPr>
      <w:r>
        <w:rPr/>
        <w:t>The political context in which these practices operate must also be considered. For example, the role played</w:t>
      </w:r>
      <w:r>
        <w:rPr>
          <w:spacing w:val="1"/>
        </w:rPr>
        <w:t> </w:t>
      </w:r>
      <w:r>
        <w:rPr/>
        <w:t>by the teacher’s union in advocating for the rights of staff and the pressure felt by principals to be seen as</w:t>
      </w:r>
      <w:r>
        <w:rPr>
          <w:spacing w:val="1"/>
        </w:rPr>
        <w:t> </w:t>
      </w:r>
      <w:r>
        <w:rPr/>
        <w:t>‘tough’ in responding to challenging behaviour. These must be understood if meaningful policy change is to</w:t>
      </w:r>
      <w:r>
        <w:rPr>
          <w:spacing w:val="1"/>
        </w:rPr>
        <w:t> </w:t>
      </w:r>
      <w:r>
        <w:rPr/>
        <w:t>occur. However, while teachers can rely upon the union to advocate for their rights, who is advocating for</w:t>
      </w:r>
      <w:r>
        <w:rPr>
          <w:spacing w:val="1"/>
        </w:rPr>
        <w:t> </w:t>
      </w:r>
      <w:r>
        <w:rPr/>
        <w:t>students who continue to be unfairly and disproportionately suspended, without sufficient oversight or</w:t>
      </w:r>
      <w:r>
        <w:rPr>
          <w:spacing w:val="1"/>
        </w:rPr>
        <w:t> </w:t>
      </w:r>
      <w:r>
        <w:rPr/>
        <w:t>accountability?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60" w:right="713"/>
        <w:jc w:val="both"/>
      </w:pPr>
      <w:r>
        <w:rPr/>
        <w:t>To complicate matters further, there are many inconsistencies and inadequacies with the current review and</w:t>
      </w:r>
      <w:r>
        <w:rPr>
          <w:spacing w:val="-47"/>
        </w:rPr>
        <w:t> </w:t>
      </w:r>
      <w:r>
        <w:rPr/>
        <w:t>appeals processes regarding decisions to suspend, exclude or cancel a student’s enrolment. For example,</w:t>
      </w:r>
      <w:r>
        <w:rPr>
          <w:spacing w:val="1"/>
        </w:rPr>
        <w:t> </w:t>
      </w:r>
      <w:r>
        <w:rPr/>
        <w:t>short-term suspensions (suspensions of up to 10 school days) are unable to be reviewed or appealed at all,</w:t>
      </w:r>
      <w:r>
        <w:rPr>
          <w:spacing w:val="1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option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complaint</w:t>
      </w:r>
      <w:r>
        <w:rPr>
          <w:spacing w:val="-4"/>
        </w:rPr>
        <w:t> </w:t>
      </w:r>
      <w:r>
        <w:rPr/>
        <w:t>utilising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Department’s</w:t>
      </w:r>
      <w:r>
        <w:rPr>
          <w:spacing w:val="-5"/>
        </w:rPr>
        <w:t> </w:t>
      </w:r>
      <w:r>
        <w:rPr/>
        <w:t>Customer</w:t>
      </w:r>
      <w:r>
        <w:rPr>
          <w:spacing w:val="-5"/>
        </w:rPr>
        <w:t> </w:t>
      </w:r>
      <w:r>
        <w:rPr/>
        <w:t>Complaints</w:t>
      </w:r>
      <w:r>
        <w:rPr>
          <w:spacing w:val="-8"/>
        </w:rPr>
        <w:t> </w:t>
      </w:r>
      <w:r>
        <w:rPr/>
        <w:t>Process.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avenue</w:t>
      </w:r>
      <w:r>
        <w:rPr>
          <w:spacing w:val="-48"/>
        </w:rPr>
        <w:t> </w:t>
      </w:r>
      <w:r>
        <w:rPr/>
        <w:t>of</w:t>
      </w:r>
      <w:r>
        <w:rPr>
          <w:spacing w:val="-9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appeal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complaint.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lack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oversight</w:t>
      </w:r>
      <w:r>
        <w:rPr>
          <w:spacing w:val="-7"/>
        </w:rPr>
        <w:t> </w:t>
      </w:r>
      <w:r>
        <w:rPr/>
        <w:t>applies</w:t>
      </w:r>
      <w:r>
        <w:rPr>
          <w:spacing w:val="-48"/>
        </w:rPr>
        <w:t> </w:t>
      </w:r>
      <w:r>
        <w:rPr/>
        <w:t>even if a school suspends the same student multiple times. Available data does not capture this practice,</w:t>
      </w:r>
      <w:r>
        <w:rPr>
          <w:spacing w:val="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that the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 repeated short-term</w:t>
      </w:r>
      <w:r>
        <w:rPr>
          <w:spacing w:val="-1"/>
        </w:rPr>
        <w:t> </w:t>
      </w:r>
      <w:r>
        <w:rPr/>
        <w:t>suspensions</w:t>
      </w:r>
      <w:r>
        <w:rPr>
          <w:spacing w:val="-1"/>
        </w:rPr>
        <w:t> </w:t>
      </w:r>
      <w:r>
        <w:rPr/>
        <w:t>is neither recorded nor</w:t>
      </w:r>
      <w:r>
        <w:rPr>
          <w:spacing w:val="-1"/>
        </w:rPr>
        <w:t> </w:t>
      </w:r>
      <w:r>
        <w:rPr/>
        <w:t>reviewable.</w:t>
      </w:r>
    </w:p>
    <w:p>
      <w:pPr>
        <w:pStyle w:val="BodyText"/>
      </w:pPr>
    </w:p>
    <w:p>
      <w:pPr>
        <w:pStyle w:val="BodyText"/>
        <w:spacing w:before="1"/>
        <w:ind w:left="360" w:right="714"/>
        <w:jc w:val="both"/>
      </w:pPr>
      <w:r>
        <w:rPr/>
        <w:t>Further, an internal review of a long-term suspension or exclusion decision can take up to 40 school days to</w:t>
      </w:r>
      <w:r>
        <w:rPr>
          <w:spacing w:val="1"/>
        </w:rPr>
        <w:t> </w:t>
      </w:r>
      <w:r>
        <w:rPr/>
        <w:t>complete,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accessing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meaningful</w:t>
      </w:r>
      <w:r>
        <w:rPr>
          <w:spacing w:val="1"/>
        </w:rPr>
        <w:t> </w:t>
      </w:r>
      <w:r>
        <w:rPr/>
        <w:t>education.</w:t>
      </w:r>
      <w:r>
        <w:rPr>
          <w:spacing w:val="1"/>
        </w:rPr>
        <w:t> </w:t>
      </w:r>
      <w:r>
        <w:rPr/>
        <w:t>Permanent</w:t>
      </w:r>
      <w:r>
        <w:rPr>
          <w:spacing w:val="-47"/>
        </w:rPr>
        <w:t> </w:t>
      </w:r>
      <w:r>
        <w:rPr/>
        <w:t>exclusions can be reviewed initially and then annually; yet a refusal-to-enrol decision can be reviewed</w:t>
      </w:r>
      <w:r>
        <w:rPr>
          <w:spacing w:val="1"/>
        </w:rPr>
        <w:t> </w:t>
      </w:r>
      <w:r>
        <w:rPr/>
        <w:t>externally by Queensland’s Civil and Administrative Tribunal (QCAT) following an unsatisfactory internal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issuance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‘RTE-11:Notice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Outcome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 decision</w:t>
      </w:r>
      <w:r>
        <w:rPr>
          <w:spacing w:val="-2"/>
        </w:rPr>
        <w:t> </w:t>
      </w:r>
      <w:r>
        <w:rPr/>
        <w:t>re</w:t>
      </w:r>
      <w:r>
        <w:rPr>
          <w:spacing w:val="1"/>
        </w:rPr>
        <w:t> </w:t>
      </w:r>
      <w:r>
        <w:rPr/>
        <w:t>refusal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enrol’.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00" w:h="1685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6"/>
        <w:ind w:left="360" w:right="711"/>
        <w:jc w:val="both"/>
      </w:pPr>
      <w:r>
        <w:rPr/>
        <w:t>Lengthy,</w:t>
      </w:r>
      <w:r>
        <w:rPr>
          <w:spacing w:val="-8"/>
        </w:rPr>
        <w:t> </w:t>
      </w:r>
      <w:r>
        <w:rPr/>
        <w:t>confusing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complex</w:t>
      </w:r>
      <w:r>
        <w:rPr>
          <w:spacing w:val="-7"/>
        </w:rPr>
        <w:t> </w:t>
      </w:r>
      <w:r>
        <w:rPr/>
        <w:t>review</w:t>
      </w:r>
      <w:r>
        <w:rPr>
          <w:spacing w:val="-7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exacerbate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harm</w:t>
      </w:r>
      <w:r>
        <w:rPr>
          <w:spacing w:val="-7"/>
        </w:rPr>
        <w:t> </w:t>
      </w:r>
      <w:r>
        <w:rPr/>
        <w:t>caused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disproportionate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47"/>
        </w:rPr>
        <w:t> </w:t>
      </w:r>
      <w:r>
        <w:rPr/>
        <w:t>SDAs on students with backgrounds of disadvantage. They raise concern regarding the accountability of</w:t>
      </w:r>
      <w:r>
        <w:rPr>
          <w:spacing w:val="1"/>
        </w:rPr>
        <w:t> </w:t>
      </w:r>
      <w:r>
        <w:rPr/>
        <w:t>decision-making within the Department. And they cause anguish for students and their parents, leading to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breakdowns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irreparably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students,</w:t>
      </w:r>
      <w:r>
        <w:rPr>
          <w:spacing w:val="1"/>
        </w:rPr>
        <w:t> </w:t>
      </w:r>
      <w:r>
        <w:rPr/>
        <w:t>parents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schools.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360" w:right="713"/>
        <w:jc w:val="both"/>
      </w:pP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i/>
        </w:rPr>
        <w:t>Human</w:t>
      </w:r>
      <w:r>
        <w:rPr>
          <w:i/>
          <w:spacing w:val="-5"/>
        </w:rPr>
        <w:t> </w:t>
      </w:r>
      <w:r>
        <w:rPr>
          <w:i/>
        </w:rPr>
        <w:t>Rights</w:t>
      </w:r>
      <w:r>
        <w:rPr>
          <w:i/>
          <w:spacing w:val="-4"/>
        </w:rPr>
        <w:t> </w:t>
      </w:r>
      <w:r>
        <w:rPr>
          <w:i/>
        </w:rPr>
        <w:t>Act</w:t>
      </w:r>
      <w:r>
        <w:rPr>
          <w:i/>
          <w:spacing w:val="-5"/>
        </w:rPr>
        <w:t> </w:t>
      </w:r>
      <w:r>
        <w:rPr>
          <w:i/>
        </w:rPr>
        <w:t>2019</w:t>
      </w:r>
      <w:r>
        <w:rPr>
          <w:i/>
          <w:spacing w:val="-5"/>
        </w:rPr>
        <w:t> </w:t>
      </w:r>
      <w:r>
        <w:rPr>
          <w:i/>
        </w:rPr>
        <w:t>(</w:t>
      </w:r>
      <w:r>
        <w:rPr/>
        <w:t>Qld),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legal</w:t>
      </w:r>
      <w:r>
        <w:rPr>
          <w:spacing w:val="-5"/>
        </w:rPr>
        <w:t> </w:t>
      </w:r>
      <w:r>
        <w:rPr/>
        <w:t>obligation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uphold</w:t>
      </w:r>
      <w:r>
        <w:rPr>
          <w:spacing w:val="-6"/>
        </w:rPr>
        <w:t> </w:t>
      </w:r>
      <w:r>
        <w:rPr/>
        <w:t>every</w:t>
      </w:r>
      <w:r>
        <w:rPr>
          <w:spacing w:val="-5"/>
        </w:rPr>
        <w:t> </w:t>
      </w:r>
      <w:r>
        <w:rPr/>
        <w:t>child’s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7"/>
        </w:rPr>
        <w:t> </w:t>
      </w:r>
      <w:r>
        <w:rPr/>
        <w:t>access a primary and secondary education appropriate to their needs. This is in addition to the obligation to</w:t>
      </w:r>
      <w:r>
        <w:rPr>
          <w:spacing w:val="1"/>
        </w:rPr>
        <w:t> </w:t>
      </w:r>
      <w:r>
        <w:rPr/>
        <w:t>protect other human rights engaged through the use of SDAs, such as the right to equality and recognition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torture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cruel,</w:t>
      </w:r>
      <w:r>
        <w:rPr>
          <w:spacing w:val="1"/>
        </w:rPr>
        <w:t> </w:t>
      </w:r>
      <w:r>
        <w:rPr/>
        <w:t>inhuman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degrading</w:t>
      </w:r>
      <w:r>
        <w:rPr>
          <w:spacing w:val="1"/>
        </w:rPr>
        <w:t> </w:t>
      </w:r>
      <w:r>
        <w:rPr/>
        <w:t>treatment.</w:t>
      </w:r>
      <w:r>
        <w:rPr>
          <w:spacing w:val="1"/>
        </w:rPr>
        <w:t> </w:t>
      </w:r>
      <w:r>
        <w:rPr/>
        <w:t>Inappropriate recourse to SDAs in situations where alternative, less restrictive and more effective behaviour</w:t>
      </w:r>
      <w:r>
        <w:rPr>
          <w:spacing w:val="1"/>
        </w:rPr>
        <w:t> </w:t>
      </w:r>
      <w:r>
        <w:rPr/>
        <w:t>management strategies are available, arguably represents a failure to comply with these obligations. It may</w:t>
      </w:r>
      <w:r>
        <w:rPr>
          <w:spacing w:val="1"/>
        </w:rPr>
        <w:t> </w:t>
      </w:r>
      <w:r>
        <w:rPr/>
        <w:t>also constitute a breach of the </w:t>
      </w:r>
      <w:r>
        <w:rPr>
          <w:i/>
        </w:rPr>
        <w:t>Anti-Discrimination Act 1991 </w:t>
      </w:r>
      <w:r>
        <w:rPr/>
        <w:t>(Qld) which makes it unlawful to discriminate</w:t>
      </w:r>
      <w:r>
        <w:rPr>
          <w:spacing w:val="1"/>
        </w:rPr>
        <w:t> </w:t>
      </w:r>
      <w:r>
        <w:rPr/>
        <w:t>against a person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basis of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characteristic of</w:t>
      </w:r>
      <w:r>
        <w:rPr>
          <w:spacing w:val="-3"/>
        </w:rPr>
        <w:t> </w:t>
      </w:r>
      <w:r>
        <w:rPr/>
        <w:t>their impairment,</w:t>
      </w:r>
      <w:r>
        <w:rPr>
          <w:spacing w:val="-4"/>
        </w:rPr>
        <w:t> </w:t>
      </w:r>
      <w:r>
        <w:rPr/>
        <w:t>which</w:t>
      </w:r>
      <w:r>
        <w:rPr>
          <w:spacing w:val="-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behaviour.</w:t>
      </w:r>
    </w:p>
    <w:p>
      <w:pPr>
        <w:pStyle w:val="BodyText"/>
      </w:pPr>
    </w:p>
    <w:p>
      <w:pPr>
        <w:pStyle w:val="BodyText"/>
        <w:ind w:left="360" w:right="713"/>
        <w:jc w:val="both"/>
      </w:pPr>
      <w:r>
        <w:rPr/>
        <w:t>Whilst the Department’s inclusive education policies increasingly reference human rights principles and an</w:t>
      </w:r>
      <w:r>
        <w:rPr>
          <w:spacing w:val="1"/>
        </w:rPr>
        <w:t> </w:t>
      </w:r>
      <w:r>
        <w:rPr/>
        <w:t>intention to ensure students with disabilities access education on an equal basis with others, there continues</w:t>
      </w:r>
      <w:r>
        <w:rPr>
          <w:spacing w:val="-47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gap</w:t>
      </w:r>
      <w:r>
        <w:rPr>
          <w:spacing w:val="-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policy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practice.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holistic,</w:t>
      </w:r>
      <w:r>
        <w:rPr>
          <w:spacing w:val="-3"/>
        </w:rPr>
        <w:t> </w:t>
      </w:r>
      <w:r>
        <w:rPr/>
        <w:t>evidence-based,</w:t>
      </w:r>
      <w:r>
        <w:rPr>
          <w:spacing w:val="-4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SDAs</w:t>
      </w:r>
      <w:r>
        <w:rPr>
          <w:spacing w:val="-4"/>
        </w:rPr>
        <w:t> </w:t>
      </w:r>
      <w:r>
        <w:rPr/>
        <w:t>that</w:t>
      </w:r>
      <w:r>
        <w:rPr>
          <w:spacing w:val="-47"/>
        </w:rPr>
        <w:t> </w:t>
      </w:r>
      <w:r>
        <w:rPr/>
        <w:t>effectively address behaviours of concern whilst keeping students at school. To do this, we need to change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language around</w:t>
      </w:r>
      <w:r>
        <w:rPr>
          <w:spacing w:val="-1"/>
        </w:rPr>
        <w:t> </w:t>
      </w:r>
      <w:r>
        <w:rPr/>
        <w:t>discipline by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longer</w:t>
      </w:r>
      <w:r>
        <w:rPr>
          <w:spacing w:val="-1"/>
        </w:rPr>
        <w:t> </w:t>
      </w:r>
      <w:r>
        <w:rPr/>
        <w:t>‘punishing’</w:t>
      </w:r>
      <w:r>
        <w:rPr>
          <w:spacing w:val="-1"/>
        </w:rPr>
        <w:t> </w:t>
      </w:r>
      <w:r>
        <w:rPr/>
        <w:t>students but</w:t>
      </w:r>
      <w:r>
        <w:rPr>
          <w:spacing w:val="-3"/>
        </w:rPr>
        <w:t> </w:t>
      </w:r>
      <w:r>
        <w:rPr/>
        <w:t>‘supporting’ them instead.</w:t>
      </w:r>
    </w:p>
    <w:p>
      <w:pPr>
        <w:pStyle w:val="BodyText"/>
        <w:spacing w:before="1"/>
      </w:pPr>
    </w:p>
    <w:p>
      <w:pPr>
        <w:pStyle w:val="BodyText"/>
        <w:spacing w:before="1"/>
        <w:ind w:left="360" w:right="711"/>
        <w:jc w:val="both"/>
      </w:pPr>
      <w:r>
        <w:rPr/>
        <w:t>Recent investment in Positive Behavioural Intervention Supports (PBIS) by the Department is welcome and</w:t>
      </w:r>
      <w:r>
        <w:rPr>
          <w:spacing w:val="1"/>
        </w:rPr>
        <w:t> </w:t>
      </w:r>
      <w:r>
        <w:rPr/>
        <w:t>may well result in a decrease in overall numbers of SDAs in Queensland state schools, however it alone will</w:t>
      </w:r>
      <w:r>
        <w:rPr>
          <w:spacing w:val="1"/>
        </w:rPr>
        <w:t> </w:t>
      </w:r>
      <w:r>
        <w:rPr/>
        <w:t>not address the overrepresentation of students with backgrounds of disadvantage in those statistics. We</w:t>
      </w:r>
      <w:r>
        <w:rPr>
          <w:spacing w:val="1"/>
        </w:rPr>
        <w:t> </w:t>
      </w:r>
      <w:r>
        <w:rPr/>
        <w:t>therefore need to better understand why particular students are being disproportionately excluded from</w:t>
      </w:r>
      <w:r>
        <w:rPr>
          <w:spacing w:val="1"/>
        </w:rPr>
        <w:t> </w:t>
      </w:r>
      <w:r>
        <w:rPr/>
        <w:t>schools. The collection of nuanced data around SDAs is integral to this, because without sophisticated data</w:t>
      </w:r>
      <w:r>
        <w:rPr>
          <w:spacing w:val="1"/>
        </w:rPr>
        <w:t> </w:t>
      </w:r>
      <w:r>
        <w:rPr/>
        <w:t>analysis,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policies that successfully reduce the</w:t>
      </w:r>
      <w:r>
        <w:rPr>
          <w:spacing w:val="-2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of SDAs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remain</w:t>
      </w:r>
      <w:r>
        <w:rPr>
          <w:spacing w:val="-2"/>
        </w:rPr>
        <w:t> </w:t>
      </w:r>
      <w:r>
        <w:rPr/>
        <w:t>elusive.</w:t>
      </w:r>
    </w:p>
    <w:p>
      <w:pPr>
        <w:pStyle w:val="BodyText"/>
      </w:pPr>
    </w:p>
    <w:p>
      <w:pPr>
        <w:pStyle w:val="Heading2"/>
        <w:jc w:val="both"/>
      </w:pPr>
      <w:r>
        <w:rPr>
          <w:color w:val="808080"/>
        </w:rPr>
        <w:t>About</w:t>
      </w:r>
      <w:r>
        <w:rPr>
          <w:color w:val="808080"/>
          <w:spacing w:val="-3"/>
        </w:rPr>
        <w:t> </w:t>
      </w:r>
      <w:r>
        <w:rPr>
          <w:color w:val="808080"/>
        </w:rPr>
        <w:t>Queensland</w:t>
      </w:r>
      <w:r>
        <w:rPr>
          <w:color w:val="808080"/>
          <w:spacing w:val="-2"/>
        </w:rPr>
        <w:t> </w:t>
      </w:r>
      <w:r>
        <w:rPr>
          <w:color w:val="808080"/>
        </w:rPr>
        <w:t>Advocacy</w:t>
      </w:r>
      <w:r>
        <w:rPr>
          <w:color w:val="808080"/>
          <w:spacing w:val="-3"/>
        </w:rPr>
        <w:t> </w:t>
      </w:r>
      <w:r>
        <w:rPr>
          <w:color w:val="808080"/>
        </w:rPr>
        <w:t>Incorporated</w:t>
      </w:r>
    </w:p>
    <w:p>
      <w:pPr>
        <w:pStyle w:val="BodyText"/>
        <w:spacing w:line="259" w:lineRule="auto" w:before="118"/>
        <w:ind w:left="360" w:right="713"/>
        <w:jc w:val="both"/>
      </w:pPr>
      <w:r>
        <w:rPr>
          <w:spacing w:val="-1"/>
        </w:rPr>
        <w:t>Queensland</w:t>
      </w:r>
      <w:r>
        <w:rPr>
          <w:spacing w:val="-10"/>
        </w:rPr>
        <w:t> </w:t>
      </w:r>
      <w:r>
        <w:rPr>
          <w:spacing w:val="-1"/>
        </w:rPr>
        <w:t>Advocacy</w:t>
      </w:r>
      <w:r>
        <w:rPr>
          <w:spacing w:val="-11"/>
        </w:rPr>
        <w:t> </w:t>
      </w:r>
      <w:r>
        <w:rPr/>
        <w:t>Incorporated</w:t>
      </w:r>
      <w:r>
        <w:rPr>
          <w:spacing w:val="-12"/>
        </w:rPr>
        <w:t> </w:t>
      </w:r>
      <w:r>
        <w:rPr/>
        <w:t>(QAI)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member-driven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non-profit</w:t>
      </w:r>
      <w:r>
        <w:rPr>
          <w:spacing w:val="-12"/>
        </w:rPr>
        <w:t> </w:t>
      </w:r>
      <w:r>
        <w:rPr/>
        <w:t>advocacy</w:t>
      </w:r>
      <w:r>
        <w:rPr>
          <w:spacing w:val="-11"/>
        </w:rPr>
        <w:t> </w:t>
      </w:r>
      <w:r>
        <w:rPr/>
        <w:t>organisation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people</w:t>
      </w:r>
      <w:r>
        <w:rPr>
          <w:spacing w:val="-47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disability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Queensland.</w:t>
      </w:r>
      <w:r>
        <w:rPr/>
        <w:t> QAI</w:t>
      </w:r>
      <w:r>
        <w:rPr>
          <w:spacing w:val="-10"/>
        </w:rPr>
        <w:t> </w:t>
      </w:r>
      <w:r>
        <w:rPr/>
        <w:t>undertakes</w:t>
      </w:r>
      <w:r>
        <w:rPr>
          <w:spacing w:val="-8"/>
        </w:rPr>
        <w:t> </w:t>
      </w:r>
      <w:r>
        <w:rPr/>
        <w:t>systems</w:t>
      </w:r>
      <w:r>
        <w:rPr>
          <w:spacing w:val="-12"/>
        </w:rPr>
        <w:t> </w:t>
      </w:r>
      <w:r>
        <w:rPr/>
        <w:t>advocacy</w:t>
      </w:r>
      <w:r>
        <w:rPr>
          <w:spacing w:val="-11"/>
        </w:rPr>
        <w:t> </w:t>
      </w:r>
      <w:r>
        <w:rPr/>
        <w:t>aimed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changing</w:t>
      </w:r>
      <w:r>
        <w:rPr>
          <w:spacing w:val="-9"/>
        </w:rPr>
        <w:t> </w:t>
      </w:r>
      <w:r>
        <w:rPr/>
        <w:t>policies,</w:t>
      </w:r>
      <w:r>
        <w:rPr>
          <w:spacing w:val="-9"/>
        </w:rPr>
        <w:t> </w:t>
      </w:r>
      <w:r>
        <w:rPr/>
        <w:t>laws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attitudes</w:t>
      </w:r>
      <w:r>
        <w:rPr>
          <w:spacing w:val="-48"/>
        </w:rPr>
        <w:t> </w:t>
      </w:r>
      <w:r>
        <w:rPr/>
        <w:t>in ways that will benefit groups of people with disability rather than individuals alone. QAI also provides a</w:t>
      </w:r>
      <w:r>
        <w:rPr>
          <w:spacing w:val="1"/>
        </w:rPr>
        <w:t> </w:t>
      </w:r>
      <w:r>
        <w:rPr/>
        <w:t>range of individual advocacy services, including an Education Advocacy service for families of students 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 Queensland</w:t>
      </w:r>
      <w:r>
        <w:rPr>
          <w:spacing w:val="-1"/>
        </w:rPr>
        <w:t> </w:t>
      </w:r>
      <w:r>
        <w:rPr/>
        <w:t>state schools</w:t>
      </w:r>
      <w:r>
        <w:rPr>
          <w:spacing w:val="-2"/>
        </w:rPr>
        <w:t> </w:t>
      </w:r>
      <w:r>
        <w:rPr/>
        <w:t>or home</w:t>
      </w:r>
      <w:r>
        <w:rPr>
          <w:spacing w:val="-2"/>
        </w:rPr>
        <w:t> </w:t>
      </w:r>
      <w:r>
        <w:rPr/>
        <w:t>education.</w:t>
      </w:r>
    </w:p>
    <w:p>
      <w:pPr>
        <w:pStyle w:val="BodyText"/>
        <w:spacing w:before="161"/>
        <w:ind w:left="360" w:right="722"/>
        <w:jc w:val="both"/>
      </w:pPr>
      <w:r>
        <w:rPr/>
        <w:t>QAI is committed to ongoing systemic advocacy around the disproportionate use of SDAs on students with</w:t>
      </w:r>
      <w:r>
        <w:rPr>
          <w:spacing w:val="1"/>
        </w:rPr>
        <w:t> </w:t>
      </w:r>
      <w:r>
        <w:rPr/>
        <w:t>disability.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our systems</w:t>
      </w:r>
      <w:r>
        <w:rPr>
          <w:spacing w:val="-3"/>
        </w:rPr>
        <w:t> </w:t>
      </w:r>
      <w:r>
        <w:rPr/>
        <w:t>advocacy team</w:t>
      </w:r>
      <w:r>
        <w:rPr>
          <w:spacing w:val="1"/>
        </w:rPr>
        <w:t> </w:t>
      </w:r>
      <w:r>
        <w:rPr/>
        <w:t>if you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learn</w:t>
      </w:r>
      <w:r>
        <w:rPr>
          <w:spacing w:val="-3"/>
        </w:rPr>
        <w:t> </w:t>
      </w:r>
      <w:r>
        <w:rPr/>
        <w:t>more.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54pt;margin-top:8.873233pt;width:144.050pt;height:.71997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00"/>
      </w:pPr>
      <w:r>
        <w:rPr>
          <w:color w:val="808080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240" w:lineRule="auto" w:before="121" w:after="0"/>
        <w:ind w:left="1073" w:right="720" w:hanging="461"/>
        <w:jc w:val="left"/>
        <w:rPr>
          <w:sz w:val="22"/>
        </w:rPr>
      </w:pPr>
      <w:r>
        <w:rPr>
          <w:sz w:val="22"/>
        </w:rPr>
        <w:t>Graham</w:t>
      </w:r>
      <w:r>
        <w:rPr>
          <w:spacing w:val="3"/>
          <w:sz w:val="22"/>
        </w:rPr>
        <w:t> </w:t>
      </w:r>
      <w:r>
        <w:rPr>
          <w:sz w:val="22"/>
        </w:rPr>
        <w:t>et</w:t>
      </w:r>
      <w:r>
        <w:rPr>
          <w:spacing w:val="6"/>
          <w:sz w:val="22"/>
        </w:rPr>
        <w:t> </w:t>
      </w:r>
      <w:r>
        <w:rPr>
          <w:sz w:val="22"/>
        </w:rPr>
        <w:t>al.</w:t>
      </w:r>
      <w:r>
        <w:rPr>
          <w:spacing w:val="1"/>
          <w:sz w:val="22"/>
        </w:rPr>
        <w:t> </w:t>
      </w:r>
      <w:r>
        <w:rPr>
          <w:sz w:val="22"/>
        </w:rPr>
        <w:t>(2020).</w:t>
      </w:r>
      <w:r>
        <w:rPr>
          <w:spacing w:val="5"/>
          <w:sz w:val="22"/>
        </w:rPr>
        <w:t> </w:t>
      </w:r>
      <w:r>
        <w:rPr>
          <w:sz w:val="22"/>
        </w:rPr>
        <w:t>Inquiry</w:t>
      </w:r>
      <w:r>
        <w:rPr>
          <w:spacing w:val="5"/>
          <w:sz w:val="22"/>
        </w:rPr>
        <w:t> </w:t>
      </w:r>
      <w:r>
        <w:rPr>
          <w:sz w:val="22"/>
        </w:rPr>
        <w:t>into</w:t>
      </w:r>
      <w:r>
        <w:rPr>
          <w:spacing w:val="6"/>
          <w:sz w:val="22"/>
        </w:rPr>
        <w:t> </w:t>
      </w:r>
      <w:r>
        <w:rPr>
          <w:sz w:val="22"/>
        </w:rPr>
        <w:t>Suspension,</w:t>
      </w:r>
      <w:r>
        <w:rPr>
          <w:spacing w:val="4"/>
          <w:sz w:val="22"/>
        </w:rPr>
        <w:t> </w:t>
      </w:r>
      <w:r>
        <w:rPr>
          <w:sz w:val="22"/>
        </w:rPr>
        <w:t>Exclusion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Expulsion</w:t>
      </w:r>
      <w:r>
        <w:rPr>
          <w:spacing w:val="2"/>
          <w:sz w:val="22"/>
        </w:rPr>
        <w:t> </w:t>
      </w:r>
      <w:r>
        <w:rPr>
          <w:sz w:val="22"/>
        </w:rPr>
        <w:t>Processes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South</w:t>
      </w:r>
      <w:r>
        <w:rPr>
          <w:spacing w:val="3"/>
          <w:sz w:val="22"/>
        </w:rPr>
        <w:t> </w:t>
      </w:r>
      <w:r>
        <w:rPr>
          <w:sz w:val="22"/>
        </w:rPr>
        <w:t>Australian</w:t>
      </w:r>
      <w:r>
        <w:rPr>
          <w:spacing w:val="-47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schools: Final</w:t>
      </w:r>
      <w:r>
        <w:rPr>
          <w:spacing w:val="-4"/>
          <w:sz w:val="22"/>
        </w:rPr>
        <w:t> </w:t>
      </w:r>
      <w:r>
        <w:rPr>
          <w:sz w:val="22"/>
        </w:rPr>
        <w:t>Report.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Centre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Education,</w:t>
      </w:r>
      <w:r>
        <w:rPr>
          <w:spacing w:val="-4"/>
          <w:sz w:val="22"/>
        </w:rPr>
        <w:t> </w:t>
      </w:r>
      <w:r>
        <w:rPr>
          <w:sz w:val="22"/>
        </w:rPr>
        <w:t>QUT: Brisbane, QLD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711" w:hanging="512"/>
        <w:jc w:val="left"/>
        <w:rPr>
          <w:sz w:val="22"/>
        </w:rPr>
      </w:pPr>
      <w:r>
        <w:rPr>
          <w:sz w:val="22"/>
        </w:rPr>
        <w:t>Deloitte</w:t>
      </w:r>
      <w:r>
        <w:rPr>
          <w:spacing w:val="5"/>
          <w:sz w:val="22"/>
        </w:rPr>
        <w:t> </w:t>
      </w:r>
      <w:r>
        <w:rPr>
          <w:sz w:val="22"/>
        </w:rPr>
        <w:t>Access</w:t>
      </w:r>
      <w:r>
        <w:rPr>
          <w:spacing w:val="5"/>
          <w:sz w:val="22"/>
        </w:rPr>
        <w:t> </w:t>
      </w:r>
      <w:r>
        <w:rPr>
          <w:sz w:val="22"/>
        </w:rPr>
        <w:t>Economics</w:t>
      </w:r>
      <w:r>
        <w:rPr>
          <w:spacing w:val="5"/>
          <w:sz w:val="22"/>
        </w:rPr>
        <w:t> </w:t>
      </w:r>
      <w:r>
        <w:rPr>
          <w:sz w:val="22"/>
        </w:rPr>
        <w:t>(February</w:t>
      </w:r>
      <w:r>
        <w:rPr>
          <w:spacing w:val="2"/>
          <w:sz w:val="22"/>
        </w:rPr>
        <w:t> </w:t>
      </w:r>
      <w:r>
        <w:rPr>
          <w:sz w:val="22"/>
        </w:rPr>
        <w:t>2017)</w:t>
      </w:r>
      <w:r>
        <w:rPr>
          <w:spacing w:val="5"/>
          <w:sz w:val="22"/>
        </w:rPr>
        <w:t> </w:t>
      </w:r>
      <w:r>
        <w:rPr>
          <w:sz w:val="22"/>
        </w:rPr>
        <w:t>Review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education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students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disability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schools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6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w:pict>
          <v:group style="width:487.1pt;height:.75pt;mso-position-horizontal-relative:char;mso-position-vertical-relative:line" id="docshapegroup7" coordorigin="0,0" coordsize="9742,15">
            <v:rect style="position:absolute;left:0;top:0;width:9742;height:15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95" w:after="0"/>
        <w:ind w:left="1073" w:right="710" w:hanging="564"/>
        <w:jc w:val="both"/>
        <w:rPr>
          <w:sz w:val="22"/>
        </w:rPr>
      </w:pPr>
      <w:r>
        <w:rPr>
          <w:sz w:val="22"/>
        </w:rPr>
        <w:t>Department of Children, Youth Justice and Multicultural Affairs (March 2016) Practice Resource: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Disciplinary</w:t>
      </w:r>
      <w:r>
        <w:rPr>
          <w:spacing w:val="1"/>
          <w:sz w:val="22"/>
        </w:rPr>
        <w:t> </w:t>
      </w:r>
      <w:r>
        <w:rPr>
          <w:sz w:val="22"/>
        </w:rPr>
        <w:t>Absence;</w:t>
      </w:r>
      <w:r>
        <w:rPr>
          <w:spacing w:val="1"/>
          <w:sz w:val="22"/>
        </w:rPr>
        <w:t> </w:t>
      </w:r>
      <w:r>
        <w:rPr>
          <w:sz w:val="22"/>
        </w:rPr>
        <w:t>https://</w:t>
      </w:r>
      <w:hyperlink r:id="rId9">
        <w:r>
          <w:rPr>
            <w:sz w:val="22"/>
          </w:rPr>
          <w:t>www.cyjma.qld.gov.au/resources/childsafety/practice-</w:t>
        </w:r>
      </w:hyperlink>
      <w:r>
        <w:rPr>
          <w:spacing w:val="1"/>
          <w:sz w:val="22"/>
        </w:rPr>
        <w:t> </w:t>
      </w:r>
      <w:r>
        <w:rPr>
          <w:sz w:val="22"/>
        </w:rPr>
        <w:t>manual/practice-resource-sda.pdf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1073" w:right="718" w:hanging="562"/>
        <w:jc w:val="both"/>
        <w:rPr>
          <w:sz w:val="22"/>
        </w:rPr>
      </w:pP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(August</w:t>
      </w:r>
      <w:r>
        <w:rPr>
          <w:spacing w:val="1"/>
          <w:sz w:val="22"/>
        </w:rPr>
        <w:t> </w:t>
      </w:r>
      <w:r>
        <w:rPr>
          <w:sz w:val="22"/>
        </w:rPr>
        <w:t>2020),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Disciplinary</w:t>
      </w:r>
      <w:r>
        <w:rPr>
          <w:spacing w:val="1"/>
          <w:sz w:val="22"/>
        </w:rPr>
        <w:t> </w:t>
      </w:r>
      <w:r>
        <w:rPr>
          <w:sz w:val="22"/>
        </w:rPr>
        <w:t>Absence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student</w:t>
      </w:r>
      <w:r>
        <w:rPr>
          <w:spacing w:val="1"/>
          <w:sz w:val="22"/>
        </w:rPr>
        <w:t> </w:t>
      </w:r>
      <w:r>
        <w:rPr>
          <w:sz w:val="22"/>
        </w:rPr>
        <w:t>demographics,</w:t>
      </w:r>
      <w:r>
        <w:rPr>
          <w:spacing w:val="-6"/>
          <w:sz w:val="22"/>
        </w:rPr>
        <w:t> </w:t>
      </w:r>
      <w:r>
        <w:rPr>
          <w:sz w:val="22"/>
        </w:rPr>
        <w:t>2015-19,</w:t>
      </w:r>
      <w:r>
        <w:rPr>
          <w:spacing w:val="-6"/>
          <w:sz w:val="22"/>
        </w:rPr>
        <w:t> </w:t>
      </w:r>
      <w:r>
        <w:rPr>
          <w:sz w:val="22"/>
        </w:rPr>
        <w:t>https://qed.qld.gov.au/publications/reports/statistics/schooling/students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1073" w:right="711" w:hanging="512"/>
        <w:jc w:val="both"/>
        <w:rPr>
          <w:sz w:val="22"/>
        </w:rPr>
      </w:pP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(November</w:t>
      </w:r>
      <w:r>
        <w:rPr>
          <w:spacing w:val="1"/>
          <w:sz w:val="22"/>
        </w:rPr>
        <w:t> </w:t>
      </w:r>
      <w:r>
        <w:rPr>
          <w:sz w:val="22"/>
        </w:rPr>
        <w:t>2020)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enrolments,</w:t>
      </w:r>
      <w:r>
        <w:rPr>
          <w:spacing w:val="1"/>
          <w:sz w:val="22"/>
        </w:rPr>
        <w:t> </w:t>
      </w:r>
      <w:r>
        <w:rPr>
          <w:sz w:val="22"/>
        </w:rPr>
        <w:t>2016-20;</w:t>
      </w:r>
      <w:r>
        <w:rPr>
          <w:spacing w:val="1"/>
          <w:sz w:val="22"/>
        </w:rPr>
        <w:t> </w:t>
      </w:r>
      <w:r>
        <w:rPr>
          <w:sz w:val="22"/>
        </w:rPr>
        <w:t>https://qed.qld.gov.au/our-publications/reports/statistics/Documents/enrolments-summary.pdf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1073" w:right="713" w:hanging="562"/>
        <w:jc w:val="both"/>
        <w:rPr>
          <w:sz w:val="22"/>
        </w:rPr>
      </w:pPr>
      <w:r>
        <w:rPr>
          <w:sz w:val="22"/>
        </w:rPr>
        <w:t>Graham, L. (2020) Questioning the impacts of legislative change on the use of exclusionary discipline</w:t>
      </w:r>
      <w:r>
        <w:rPr>
          <w:spacing w:val="1"/>
          <w:sz w:val="22"/>
        </w:rPr>
        <w:t> </w:t>
      </w:r>
      <w:r>
        <w:rPr>
          <w:sz w:val="22"/>
        </w:rPr>
        <w:t>in the context of broader system reforms; a Queensland case study; International Journal of Inclusive</w:t>
      </w:r>
      <w:r>
        <w:rPr>
          <w:spacing w:val="-47"/>
          <w:sz w:val="22"/>
        </w:rPr>
        <w:t> </w:t>
      </w:r>
      <w:r>
        <w:rPr>
          <w:sz w:val="22"/>
        </w:rPr>
        <w:t>Education,</w:t>
      </w:r>
      <w:r>
        <w:rPr>
          <w:spacing w:val="-3"/>
          <w:sz w:val="22"/>
        </w:rPr>
        <w:t> </w:t>
      </w:r>
      <w:r>
        <w:rPr>
          <w:sz w:val="22"/>
        </w:rPr>
        <w:t>24:14,</w:t>
      </w:r>
      <w:r>
        <w:rPr>
          <w:spacing w:val="-2"/>
          <w:sz w:val="22"/>
        </w:rPr>
        <w:t> </w:t>
      </w:r>
      <w:r>
        <w:rPr>
          <w:sz w:val="22"/>
        </w:rPr>
        <w:t>1473-1493</w:t>
      </w:r>
    </w:p>
    <w:sectPr>
      <w:pgSz w:w="11900" w:h="1685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39999pt;margin-top:792.977966pt;width:521.1pt;height:12.6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 2,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 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 Brisbane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2.6pt;height:13.05pt;mso-position-horizontal-relative:page;mso-position-vertical-relative:page;z-index:-15792640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793152" id="docshape4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1073" w:hanging="461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053" w:hanging="4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7" w:hanging="4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01" w:hanging="4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75" w:hanging="4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49" w:hanging="4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23" w:hanging="4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97" w:hanging="4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71" w:hanging="4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60"/>
      <w:outlineLvl w:val="1"/>
    </w:pPr>
    <w:rPr>
      <w:rFonts w:ascii="Calibri" w:hAnsi="Calibri" w:eastAsia="Calibri" w:cs="Calibri"/>
      <w:b/>
      <w:bCs/>
      <w:sz w:val="32"/>
      <w:szCs w:val="32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360"/>
      <w:outlineLvl w:val="2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073" w:right="711" w:hanging="562"/>
      <w:jc w:val="both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cyjma.qld.gov.au/resources/childsafety/practice-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2021-12-06T01:38:36Z</dcterms:created>
  <dcterms:modified xsi:type="dcterms:W3CDTF">2021-12-06T01:38:36Z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2021-12-06T00:00:00Z</vt:filetime>
  </property>
</Properties>
</file>