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1900" w:h="16850"/>
          <w:pgMar w:footer="761" w:header="0" w:top="340" w:bottom="960" w:left="720" w:right="360"/>
          <w:pgNumType w:start="1"/>
        </w:sectPr>
      </w:pPr>
    </w:p>
    <w:p>
      <w:pPr>
        <w:spacing w:before="35"/>
        <w:ind w:left="1651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523875</wp:posOffset>
            </wp:positionH>
            <wp:positionV relativeFrom="paragraph">
              <wp:posOffset>-275407</wp:posOffset>
            </wp:positionV>
            <wp:extent cx="961593" cy="6172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9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2"/>
        </w:rPr>
        <w:t>Q</w:t>
      </w:r>
      <w:r>
        <w:rPr>
          <w:b/>
          <w:color w:val="585858"/>
          <w:sz w:val="32"/>
        </w:rPr>
        <w:t>ueensland</w:t>
      </w:r>
      <w:r>
        <w:rPr>
          <w:b/>
          <w:color w:val="585858"/>
          <w:spacing w:val="-7"/>
          <w:sz w:val="32"/>
        </w:rPr>
        <w:t> </w:t>
      </w:r>
      <w:r>
        <w:rPr>
          <w:b/>
          <w:color w:val="FF0000"/>
          <w:sz w:val="32"/>
        </w:rPr>
        <w:t>A</w:t>
      </w:r>
      <w:r>
        <w:rPr>
          <w:b/>
          <w:color w:val="585858"/>
          <w:sz w:val="32"/>
        </w:rPr>
        <w:t>dvocacy</w:t>
      </w:r>
      <w:r>
        <w:rPr>
          <w:b/>
          <w:color w:val="585858"/>
          <w:spacing w:val="-7"/>
          <w:sz w:val="32"/>
        </w:rPr>
        <w:t> </w:t>
      </w:r>
      <w:r>
        <w:rPr>
          <w:b/>
          <w:color w:val="FF0000"/>
          <w:sz w:val="32"/>
        </w:rPr>
        <w:t>I</w:t>
      </w:r>
      <w:r>
        <w:rPr>
          <w:b/>
          <w:color w:val="585858"/>
          <w:sz w:val="32"/>
        </w:rPr>
        <w:t>ncorporated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105" w:right="0" w:firstLine="0"/>
        <w:jc w:val="left"/>
        <w:rPr>
          <w:sz w:val="24"/>
        </w:rPr>
      </w:pPr>
      <w:r>
        <w:rPr>
          <w:color w:val="585858"/>
          <w:sz w:val="24"/>
        </w:rPr>
        <w:t>Advocacy</w:t>
      </w:r>
      <w:r>
        <w:rPr>
          <w:color w:val="585858"/>
          <w:spacing w:val="-2"/>
          <w:sz w:val="24"/>
        </w:rPr>
        <w:t> </w:t>
      </w:r>
      <w:r>
        <w:rPr>
          <w:color w:val="585858"/>
          <w:sz w:val="24"/>
        </w:rPr>
        <w:t>for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people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with</w:t>
      </w:r>
      <w:r>
        <w:rPr>
          <w:color w:val="585858"/>
          <w:spacing w:val="-1"/>
          <w:sz w:val="24"/>
        </w:rPr>
        <w:t> </w:t>
      </w:r>
      <w:r>
        <w:rPr>
          <w:color w:val="585858"/>
          <w:sz w:val="24"/>
        </w:rPr>
        <w:t>disability.</w:t>
      </w:r>
    </w:p>
    <w:p>
      <w:pPr>
        <w:spacing w:after="0"/>
        <w:jc w:val="left"/>
        <w:rPr>
          <w:sz w:val="24"/>
        </w:rPr>
        <w:sectPr>
          <w:type w:val="continuous"/>
          <w:pgSz w:w="11900" w:h="16850"/>
          <w:pgMar w:header="0" w:footer="761" w:top="340" w:bottom="960" w:left="720" w:right="360"/>
          <w:cols w:num="2" w:equalWidth="0">
            <w:col w:w="6428" w:space="716"/>
            <w:col w:w="3676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0006pt;margin-top:822.036987pt;width:594.959940pt;height:6.1pt;mso-position-horizontal-relative:page;mso-position-vertical-relative:page;z-index:15728640" id="docshape2" filled="true" fillcolor="#ff0000" stroked="false">
            <v:fill type="solid"/>
            <w10:wrap type="none"/>
          </v:rect>
        </w:pict>
      </w:r>
      <w:r>
        <w:rPr/>
        <w:pict>
          <v:rect style="position:absolute;margin-left:.000005pt;margin-top:71.149979pt;width:594.959995pt;height:6.1pt;mso-position-horizontal-relative:page;mso-position-vertical-relative:page;z-index:-15917056" id="docshape3" filled="true" fillcolor="#ff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Title"/>
      </w:pPr>
      <w:r>
        <w:rPr>
          <w:color w:val="808080"/>
        </w:rPr>
        <w:t>National</w:t>
      </w:r>
      <w:r>
        <w:rPr>
          <w:color w:val="808080"/>
          <w:spacing w:val="14"/>
        </w:rPr>
        <w:t> </w:t>
      </w:r>
      <w:r>
        <w:rPr>
          <w:color w:val="808080"/>
        </w:rPr>
        <w:t>Disability</w:t>
      </w:r>
      <w:r>
        <w:rPr>
          <w:color w:val="808080"/>
          <w:spacing w:val="20"/>
        </w:rPr>
        <w:t> </w:t>
      </w:r>
      <w:r>
        <w:rPr>
          <w:color w:val="808080"/>
        </w:rPr>
        <w:t>Insurance</w:t>
      </w:r>
      <w:r>
        <w:rPr>
          <w:color w:val="808080"/>
          <w:spacing w:val="16"/>
        </w:rPr>
        <w:t> </w:t>
      </w:r>
      <w:r>
        <w:rPr>
          <w:color w:val="808080"/>
        </w:rPr>
        <w:t>Scheme</w:t>
      </w:r>
      <w:r>
        <w:rPr>
          <w:color w:val="808080"/>
          <w:spacing w:val="1"/>
        </w:rPr>
        <w:t> </w:t>
      </w:r>
      <w:r>
        <w:rPr>
          <w:color w:val="808080"/>
        </w:rPr>
        <w:t>Amendment</w:t>
      </w:r>
      <w:r>
        <w:rPr>
          <w:color w:val="808080"/>
          <w:spacing w:val="51"/>
        </w:rPr>
        <w:t> </w:t>
      </w:r>
      <w:r>
        <w:rPr>
          <w:color w:val="808080"/>
        </w:rPr>
        <w:t>(Participant</w:t>
      </w:r>
      <w:r>
        <w:rPr>
          <w:color w:val="808080"/>
          <w:spacing w:val="51"/>
        </w:rPr>
        <w:t> </w:t>
      </w:r>
      <w:r>
        <w:rPr>
          <w:color w:val="808080"/>
        </w:rPr>
        <w:t>Service</w:t>
      </w:r>
      <w:r>
        <w:rPr>
          <w:color w:val="808080"/>
          <w:spacing w:val="53"/>
        </w:rPr>
        <w:t> </w:t>
      </w:r>
      <w:r>
        <w:rPr>
          <w:color w:val="808080"/>
        </w:rPr>
        <w:t>Guarantee</w:t>
      </w:r>
      <w:r>
        <w:rPr>
          <w:color w:val="808080"/>
          <w:spacing w:val="-106"/>
        </w:rPr>
        <w:t> </w:t>
      </w:r>
      <w:r>
        <w:rPr>
          <w:color w:val="808080"/>
        </w:rPr>
        <w:t>and</w:t>
      </w:r>
      <w:r>
        <w:rPr>
          <w:color w:val="808080"/>
          <w:spacing w:val="9"/>
        </w:rPr>
        <w:t> </w:t>
      </w:r>
      <w:r>
        <w:rPr>
          <w:color w:val="808080"/>
        </w:rPr>
        <w:t>Other</w:t>
      </w:r>
      <w:r>
        <w:rPr>
          <w:color w:val="808080"/>
          <w:spacing w:val="13"/>
        </w:rPr>
        <w:t> </w:t>
      </w:r>
      <w:r>
        <w:rPr>
          <w:color w:val="808080"/>
        </w:rPr>
        <w:t>Measures)</w:t>
      </w:r>
      <w:r>
        <w:rPr>
          <w:color w:val="808080"/>
          <w:spacing w:val="10"/>
        </w:rPr>
        <w:t> </w:t>
      </w:r>
      <w:r>
        <w:rPr>
          <w:color w:val="808080"/>
        </w:rPr>
        <w:t>Bill</w:t>
      </w:r>
      <w:r>
        <w:rPr>
          <w:color w:val="808080"/>
          <w:spacing w:val="13"/>
        </w:rPr>
        <w:t> </w:t>
      </w:r>
      <w:r>
        <w:rPr>
          <w:color w:val="808080"/>
        </w:rPr>
        <w:t>2021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5"/>
        <w:rPr>
          <w:b/>
          <w:sz w:val="57"/>
        </w:rPr>
      </w:pPr>
    </w:p>
    <w:p>
      <w:pPr>
        <w:spacing w:line="297" w:lineRule="auto" w:before="1"/>
        <w:ind w:left="2266" w:right="2614" w:firstLine="1771"/>
        <w:jc w:val="left"/>
        <w:rPr>
          <w:b/>
          <w:sz w:val="40"/>
        </w:rPr>
      </w:pPr>
      <w:r>
        <w:rPr>
          <w:b/>
          <w:color w:val="FF0000"/>
          <w:sz w:val="40"/>
        </w:rPr>
        <w:t>Submission by</w:t>
      </w:r>
      <w:r>
        <w:rPr>
          <w:b/>
          <w:color w:val="FF0000"/>
          <w:spacing w:val="1"/>
          <w:sz w:val="40"/>
        </w:rPr>
        <w:t> </w:t>
      </w:r>
      <w:r>
        <w:rPr>
          <w:b/>
          <w:color w:val="FF0000"/>
          <w:sz w:val="40"/>
        </w:rPr>
        <w:t>Queensland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Advocacy</w:t>
      </w:r>
      <w:r>
        <w:rPr>
          <w:b/>
          <w:color w:val="FF0000"/>
          <w:spacing w:val="-4"/>
          <w:sz w:val="40"/>
        </w:rPr>
        <w:t> </w:t>
      </w:r>
      <w:r>
        <w:rPr>
          <w:b/>
          <w:color w:val="FF0000"/>
          <w:sz w:val="40"/>
        </w:rPr>
        <w:t>Incorporated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8"/>
        <w:rPr>
          <w:b/>
          <w:sz w:val="47"/>
        </w:rPr>
      </w:pPr>
    </w:p>
    <w:p>
      <w:pPr>
        <w:spacing w:before="1"/>
        <w:ind w:left="724" w:right="1085" w:firstLine="0"/>
        <w:jc w:val="center"/>
        <w:rPr>
          <w:b/>
          <w:sz w:val="44"/>
        </w:rPr>
      </w:pPr>
      <w:r>
        <w:rPr>
          <w:b/>
          <w:color w:val="808080"/>
          <w:sz w:val="44"/>
        </w:rPr>
        <w:t>Senate</w:t>
      </w:r>
      <w:r>
        <w:rPr>
          <w:b/>
          <w:color w:val="808080"/>
          <w:spacing w:val="-3"/>
          <w:sz w:val="44"/>
        </w:rPr>
        <w:t> </w:t>
      </w:r>
      <w:r>
        <w:rPr>
          <w:b/>
          <w:color w:val="808080"/>
          <w:sz w:val="44"/>
        </w:rPr>
        <w:t>Community</w:t>
      </w:r>
      <w:r>
        <w:rPr>
          <w:b/>
          <w:color w:val="808080"/>
          <w:spacing w:val="-5"/>
          <w:sz w:val="44"/>
        </w:rPr>
        <w:t> </w:t>
      </w:r>
      <w:r>
        <w:rPr>
          <w:b/>
          <w:color w:val="808080"/>
          <w:sz w:val="44"/>
        </w:rPr>
        <w:t>Affairs</w:t>
      </w:r>
      <w:r>
        <w:rPr>
          <w:b/>
          <w:color w:val="808080"/>
          <w:spacing w:val="-3"/>
          <w:sz w:val="44"/>
        </w:rPr>
        <w:t> </w:t>
      </w:r>
      <w:r>
        <w:rPr>
          <w:b/>
          <w:color w:val="808080"/>
          <w:sz w:val="44"/>
        </w:rPr>
        <w:t>Legislation</w:t>
      </w:r>
      <w:r>
        <w:rPr>
          <w:b/>
          <w:color w:val="808080"/>
          <w:spacing w:val="-3"/>
          <w:sz w:val="44"/>
        </w:rPr>
        <w:t> </w:t>
      </w:r>
      <w:r>
        <w:rPr>
          <w:b/>
          <w:color w:val="808080"/>
          <w:sz w:val="44"/>
        </w:rPr>
        <w:t>Committee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6"/>
        <w:rPr>
          <w:b/>
          <w:sz w:val="51"/>
        </w:rPr>
      </w:pPr>
    </w:p>
    <w:p>
      <w:pPr>
        <w:spacing w:before="0"/>
        <w:ind w:left="724" w:right="1079" w:firstLine="0"/>
        <w:jc w:val="center"/>
        <w:rPr>
          <w:b/>
          <w:sz w:val="36"/>
        </w:rPr>
      </w:pPr>
      <w:r>
        <w:rPr>
          <w:b/>
          <w:color w:val="FF0000"/>
          <w:sz w:val="36"/>
        </w:rPr>
        <w:t>November</w:t>
      </w:r>
      <w:r>
        <w:rPr>
          <w:b/>
          <w:color w:val="FF0000"/>
          <w:spacing w:val="-2"/>
          <w:sz w:val="36"/>
        </w:rPr>
        <w:t> </w:t>
      </w:r>
      <w:r>
        <w:rPr>
          <w:b/>
          <w:color w:val="FF0000"/>
          <w:sz w:val="36"/>
        </w:rPr>
        <w:t>2021</w:t>
      </w:r>
    </w:p>
    <w:p>
      <w:pPr>
        <w:spacing w:after="0"/>
        <w:jc w:val="center"/>
        <w:rPr>
          <w:sz w:val="36"/>
        </w:rPr>
        <w:sectPr>
          <w:type w:val="continuous"/>
          <w:pgSz w:w="11900" w:h="16850"/>
          <w:pgMar w:header="0" w:footer="761" w:top="340" w:bottom="960" w:left="720" w:right="3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Heading1"/>
        <w:spacing w:before="35"/>
      </w:pPr>
      <w:r>
        <w:rPr>
          <w:color w:val="808080"/>
        </w:rPr>
        <w:t>About</w:t>
      </w:r>
      <w:r>
        <w:rPr>
          <w:color w:val="808080"/>
          <w:spacing w:val="-5"/>
        </w:rPr>
        <w:t> </w:t>
      </w:r>
      <w:r>
        <w:rPr>
          <w:color w:val="808080"/>
        </w:rPr>
        <w:t>Queensland</w:t>
      </w:r>
      <w:r>
        <w:rPr>
          <w:color w:val="808080"/>
          <w:spacing w:val="-6"/>
        </w:rPr>
        <w:t> </w:t>
      </w:r>
      <w:r>
        <w:rPr>
          <w:color w:val="808080"/>
        </w:rPr>
        <w:t>Advocacy</w:t>
      </w:r>
      <w:r>
        <w:rPr>
          <w:color w:val="808080"/>
          <w:spacing w:val="-5"/>
        </w:rPr>
        <w:t> </w:t>
      </w:r>
      <w:r>
        <w:rPr>
          <w:color w:val="808080"/>
        </w:rPr>
        <w:t>Incorporated</w:t>
      </w:r>
    </w:p>
    <w:p>
      <w:pPr>
        <w:pStyle w:val="BodyText"/>
        <w:spacing w:line="276" w:lineRule="auto" w:before="120"/>
        <w:ind w:left="360" w:right="773"/>
      </w:pPr>
      <w:r>
        <w:rPr/>
        <w:t>Queensland Advocacy Incorporated (</w:t>
      </w:r>
      <w:r>
        <w:rPr>
          <w:b/>
        </w:rPr>
        <w:t>QAI</w:t>
      </w:r>
      <w:r>
        <w:rPr/>
        <w:t>) is an independent, community-based advocacy organisation and</w:t>
      </w:r>
      <w:r>
        <w:rPr>
          <w:spacing w:val="1"/>
        </w:rPr>
        <w:t> </w:t>
      </w:r>
      <w:r>
        <w:rPr/>
        <w:t>community legal service that provides individual and systems advocacy for people with disability. Our</w:t>
      </w:r>
      <w:r>
        <w:rPr>
          <w:spacing w:val="1"/>
        </w:rPr>
        <w:t> </w:t>
      </w:r>
      <w:r>
        <w:rPr/>
        <w:t>mission is to advocate for the protection and advancement of the fundamental needs, rights and lives of the</w:t>
      </w:r>
      <w:r>
        <w:rPr>
          <w:spacing w:val="-47"/>
        </w:rPr>
        <w:t> </w:t>
      </w:r>
      <w:r>
        <w:rPr/>
        <w:t>most vulnerable people with disability in Queensland. The majority of QAI’s Management Committee are</w:t>
      </w:r>
      <w:r>
        <w:rPr>
          <w:spacing w:val="1"/>
        </w:rPr>
        <w:t> </w:t>
      </w:r>
      <w:r>
        <w:rPr/>
        <w:t>persons</w:t>
      </w:r>
      <w:r>
        <w:rPr>
          <w:spacing w:val="-3"/>
        </w:rPr>
        <w:t> </w:t>
      </w:r>
      <w:r>
        <w:rPr/>
        <w:t>with disability,</w:t>
      </w:r>
      <w:r>
        <w:rPr>
          <w:spacing w:val="-3"/>
        </w:rPr>
        <w:t> </w:t>
      </w:r>
      <w:r>
        <w:rPr/>
        <w:t>whose</w:t>
      </w:r>
      <w:r>
        <w:rPr>
          <w:spacing w:val="-2"/>
        </w:rPr>
        <w:t> </w:t>
      </w:r>
      <w:r>
        <w:rPr/>
        <w:t>wisdom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lived experience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disability is</w:t>
      </w:r>
      <w:r>
        <w:rPr>
          <w:spacing w:val="-3"/>
        </w:rPr>
        <w:t> </w:t>
      </w:r>
      <w:r>
        <w:rPr/>
        <w:t>our foundation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guide.</w:t>
      </w:r>
    </w:p>
    <w:p>
      <w:pPr>
        <w:pStyle w:val="BodyText"/>
        <w:spacing w:line="276" w:lineRule="auto" w:before="119"/>
        <w:ind w:left="360" w:right="827"/>
      </w:pPr>
      <w:r>
        <w:rPr/>
        <w:t>QAI has been engaged in systems advocacy for over thirty years, advocating for change through campaigns</w:t>
      </w:r>
      <w:r>
        <w:rPr>
          <w:spacing w:val="1"/>
        </w:rPr>
        <w:t> </w:t>
      </w:r>
      <w:r>
        <w:rPr/>
        <w:t>directed at attitudinal, law and policy reform. QAI has also supported the development of a range of</w:t>
      </w:r>
      <w:r>
        <w:rPr>
          <w:spacing w:val="1"/>
        </w:rPr>
        <w:t> </w:t>
      </w:r>
      <w:r>
        <w:rPr/>
        <w:t>advocacy initiatives in this state. For over a decade, QAI has provided highly in-demand individual advocacy</w:t>
      </w:r>
      <w:r>
        <w:rPr>
          <w:spacing w:val="-47"/>
        </w:rPr>
        <w:t> </w:t>
      </w:r>
      <w:r>
        <w:rPr/>
        <w:t>services. These services are currently provided through our three advocacy practices: the Human Rights</w:t>
      </w:r>
      <w:r>
        <w:rPr>
          <w:spacing w:val="1"/>
        </w:rPr>
        <w:t> </w:t>
      </w:r>
      <w:r>
        <w:rPr/>
        <w:t>Advocacy Practice (which provides legal advocacy in the areas of guardianship and administration, disability</w:t>
      </w:r>
      <w:r>
        <w:rPr>
          <w:spacing w:val="-47"/>
        </w:rPr>
        <w:t> </w:t>
      </w:r>
      <w:r>
        <w:rPr/>
        <w:t>discrimination and human rights law, non-legal advocacy support with the Disability Royal Commission, the</w:t>
      </w:r>
      <w:r>
        <w:rPr>
          <w:spacing w:val="1"/>
        </w:rPr>
        <w:t> </w:t>
      </w:r>
      <w:r>
        <w:rPr/>
        <w:t>justice</w:t>
      </w:r>
      <w:r>
        <w:rPr>
          <w:spacing w:val="-1"/>
        </w:rPr>
        <w:t> </w:t>
      </w:r>
      <w:r>
        <w:rPr/>
        <w:t>interface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education,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work</w:t>
      </w:r>
      <w:r>
        <w:rPr>
          <w:spacing w:val="-1"/>
        </w:rPr>
        <w:t> </w:t>
      </w:r>
      <w:r>
        <w:rPr/>
        <w:t>services);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</w:t>
      </w:r>
      <w:r>
        <w:rPr>
          <w:spacing w:val="1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Practice</w:t>
      </w:r>
    </w:p>
    <w:p>
      <w:pPr>
        <w:pStyle w:val="BodyText"/>
        <w:spacing w:before="1"/>
        <w:ind w:left="360"/>
      </w:pPr>
      <w:r>
        <w:rPr/>
        <w:t>(which</w:t>
      </w:r>
      <w:r>
        <w:rPr>
          <w:spacing w:val="-2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receiving</w:t>
      </w:r>
      <w:r>
        <w:rPr>
          <w:spacing w:val="-2"/>
        </w:rPr>
        <w:t> </w:t>
      </w:r>
      <w:r>
        <w:rPr/>
        <w:t>involuntary</w:t>
      </w:r>
      <w:r>
        <w:rPr>
          <w:spacing w:val="-4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mental</w:t>
      </w:r>
      <w:r>
        <w:rPr>
          <w:spacing w:val="-1"/>
        </w:rPr>
        <w:t> </w:t>
      </w:r>
      <w:r>
        <w:rPr/>
        <w:t>illness); and</w:t>
      </w:r>
      <w:r>
        <w:rPr>
          <w:spacing w:val="-5"/>
        </w:rPr>
        <w:t> </w:t>
      </w:r>
      <w:r>
        <w:rPr/>
        <w:t>the NDIS</w:t>
      </w:r>
      <w:r>
        <w:rPr>
          <w:spacing w:val="-1"/>
        </w:rPr>
        <w:t> </w:t>
      </w:r>
      <w:r>
        <w:rPr/>
        <w:t>Advocacy</w:t>
      </w:r>
    </w:p>
    <w:p>
      <w:pPr>
        <w:pStyle w:val="BodyText"/>
        <w:spacing w:line="273" w:lineRule="auto" w:before="41"/>
        <w:ind w:left="360" w:right="718"/>
      </w:pPr>
      <w:r>
        <w:rPr/>
        <w:t>Practice (which provides support for people challenging decisions of the National Disability Insurance Agency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decision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access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NDIS).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73" w:lineRule="auto"/>
        <w:ind w:left="360" w:right="1300"/>
      </w:pPr>
      <w:r>
        <w:rPr/>
        <w:t>Our individual advocacy experience informs our understanding and prioritisation of systemic advocacy</w:t>
      </w:r>
      <w:r>
        <w:rPr>
          <w:spacing w:val="-47"/>
        </w:rPr>
        <w:t> </w:t>
      </w:r>
      <w:r>
        <w:rPr/>
        <w:t>issues.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>
          <w:color w:val="808080"/>
        </w:rPr>
        <w:t>QAI’s</w:t>
      </w:r>
      <w:r>
        <w:rPr>
          <w:color w:val="808080"/>
          <w:spacing w:val="-6"/>
        </w:rPr>
        <w:t> </w:t>
      </w:r>
      <w:r>
        <w:rPr>
          <w:color w:val="808080"/>
        </w:rPr>
        <w:t>recommendations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1069" w:val="left" w:leader="none"/>
        </w:tabs>
        <w:spacing w:line="276" w:lineRule="auto" w:before="129" w:after="0"/>
        <w:ind w:left="1068" w:right="942" w:hanging="420"/>
        <w:jc w:val="left"/>
        <w:rPr>
          <w:sz w:val="22"/>
        </w:rPr>
      </w:pPr>
      <w:r>
        <w:rPr/>
        <w:pict>
          <v:group style="position:absolute;margin-left:54pt;margin-top:6.003652pt;width:487.1pt;height:345.9pt;mso-position-horizontal-relative:page;mso-position-vertical-relative:paragraph;z-index:-15916544" id="docshapegroup6" coordorigin="1080,120" coordsize="9742,6918">
            <v:rect style="position:absolute;left:1090;top:129;width:9722;height:6899" id="docshape7" filled="true" fillcolor="#bebebe" stroked="false">
              <v:fill type="solid"/>
            </v:rect>
            <v:shape style="position:absolute;left:1080;top:120;width:9742;height:6918" id="docshape8" coordorigin="1080,120" coordsize="9742,6918" path="m10822,7028l10812,7028,10812,7028,1090,7028,1080,7028,1080,7038,1090,7038,10812,7038,10812,7038,10822,7038,10822,7028xm10822,120l10812,120,10812,120,1090,120,1080,120,1080,130,1080,130,1080,7028,1090,7028,1090,130,10812,130,10812,7028,10822,7028,10822,130,10822,130,10822,12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2"/>
        </w:rPr>
        <w:t>The Participant Service Guarantee must be implemented alongside an injection of additional</w:t>
      </w:r>
      <w:r>
        <w:rPr>
          <w:spacing w:val="1"/>
          <w:sz w:val="22"/>
        </w:rPr>
        <w:t> </w:t>
      </w:r>
      <w:r>
        <w:rPr>
          <w:sz w:val="22"/>
        </w:rPr>
        <w:t>resources to the Agency to ensure it is adequately positioned to meets its objectives. Without this,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feasibility</w:t>
      </w:r>
      <w:r>
        <w:rPr>
          <w:spacing w:val="-2"/>
          <w:sz w:val="22"/>
        </w:rPr>
        <w:t> </w:t>
      </w:r>
      <w:r>
        <w:rPr>
          <w:sz w:val="22"/>
        </w:rPr>
        <w:t>of improved</w:t>
      </w:r>
      <w:r>
        <w:rPr>
          <w:spacing w:val="-2"/>
          <w:sz w:val="22"/>
        </w:rPr>
        <w:t> </w:t>
      </w:r>
      <w:r>
        <w:rPr>
          <w:sz w:val="22"/>
        </w:rPr>
        <w:t>performance</w:t>
      </w:r>
      <w:r>
        <w:rPr>
          <w:spacing w:val="-2"/>
          <w:sz w:val="22"/>
        </w:rPr>
        <w:t> </w:t>
      </w:r>
      <w:r>
        <w:rPr>
          <w:sz w:val="22"/>
        </w:rPr>
        <w:t>will remain</w:t>
      </w:r>
      <w:r>
        <w:rPr>
          <w:spacing w:val="-4"/>
          <w:sz w:val="22"/>
        </w:rPr>
        <w:t> </w:t>
      </w:r>
      <w:r>
        <w:rPr>
          <w:sz w:val="22"/>
        </w:rPr>
        <w:t>elusive.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1069" w:val="left" w:leader="none"/>
        </w:tabs>
        <w:spacing w:line="276" w:lineRule="auto" w:before="121" w:after="0"/>
        <w:ind w:left="1068" w:right="865" w:hanging="420"/>
        <w:jc w:val="left"/>
        <w:rPr>
          <w:sz w:val="22"/>
        </w:rPr>
      </w:pPr>
      <w:r>
        <w:rPr>
          <w:sz w:val="22"/>
        </w:rPr>
        <w:t>Reasons for decisions must be of sufficient quality and must provide meaningful information that</w:t>
      </w:r>
      <w:r>
        <w:rPr>
          <w:spacing w:val="1"/>
          <w:sz w:val="22"/>
        </w:rPr>
        <w:t> </w:t>
      </w:r>
      <w:r>
        <w:rPr>
          <w:sz w:val="22"/>
        </w:rPr>
        <w:t>meets a certain standard. For example, providing an explanation as to why the person did not meet</w:t>
      </w:r>
      <w:r>
        <w:rPr>
          <w:spacing w:val="-47"/>
          <w:sz w:val="22"/>
        </w:rPr>
        <w:t> </w:t>
      </w:r>
      <w:r>
        <w:rPr>
          <w:sz w:val="22"/>
        </w:rPr>
        <w:t>certain criteria, including suggestions for information that may assist in changing the decision,</w:t>
      </w:r>
      <w:r>
        <w:rPr>
          <w:spacing w:val="1"/>
          <w:sz w:val="22"/>
        </w:rPr>
        <w:t> </w:t>
      </w:r>
      <w:r>
        <w:rPr>
          <w:sz w:val="22"/>
        </w:rPr>
        <w:t>ensuring all correspondence is in writing and not just hearsay and referencing the evidence upon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delegate</w:t>
      </w:r>
      <w:r>
        <w:rPr>
          <w:spacing w:val="1"/>
          <w:sz w:val="22"/>
        </w:rPr>
        <w:t> </w:t>
      </w:r>
      <w:r>
        <w:rPr>
          <w:sz w:val="22"/>
        </w:rPr>
        <w:t>has based their decision.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1069" w:val="left" w:leader="none"/>
        </w:tabs>
        <w:spacing w:line="240" w:lineRule="auto" w:before="119" w:after="0"/>
        <w:ind w:left="1068" w:right="0" w:hanging="421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legislation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require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Agency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provide draft</w:t>
      </w:r>
      <w:r>
        <w:rPr>
          <w:spacing w:val="-1"/>
          <w:sz w:val="22"/>
        </w:rPr>
        <w:t> </w:t>
      </w: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to all</w:t>
      </w:r>
      <w:r>
        <w:rPr>
          <w:spacing w:val="-2"/>
          <w:sz w:val="22"/>
        </w:rPr>
        <w:t> </w:t>
      </w:r>
      <w:r>
        <w:rPr>
          <w:sz w:val="22"/>
        </w:rPr>
        <w:t>participants.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1069" w:val="left" w:leader="none"/>
        </w:tabs>
        <w:spacing w:line="276" w:lineRule="auto" w:before="161" w:after="0"/>
        <w:ind w:left="1068" w:right="908" w:hanging="420"/>
        <w:jc w:val="left"/>
        <w:rPr>
          <w:sz w:val="22"/>
        </w:rPr>
      </w:pPr>
      <w:r>
        <w:rPr>
          <w:sz w:val="22"/>
        </w:rPr>
        <w:t>The Commonwealth Ombudsman’s report to the Minister should include the number and type of</w:t>
      </w:r>
      <w:r>
        <w:rPr>
          <w:spacing w:val="1"/>
          <w:sz w:val="22"/>
        </w:rPr>
        <w:t> </w:t>
      </w:r>
      <w:r>
        <w:rPr>
          <w:sz w:val="22"/>
        </w:rPr>
        <w:t>investigations conducted and the systemic issues identified. It must also be made publicly available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published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website.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1069" w:val="left" w:leader="none"/>
        </w:tabs>
        <w:spacing w:line="276" w:lineRule="auto" w:before="120" w:after="0"/>
        <w:ind w:left="1068" w:right="1166" w:hanging="420"/>
        <w:jc w:val="left"/>
        <w:rPr>
          <w:sz w:val="22"/>
        </w:rPr>
      </w:pPr>
      <w:r>
        <w:rPr>
          <w:sz w:val="22"/>
        </w:rPr>
        <w:t>Plan variation powers must only be introduced and available in the circumstances articulated by</w:t>
      </w:r>
      <w:r>
        <w:rPr>
          <w:spacing w:val="-47"/>
          <w:sz w:val="22"/>
        </w:rPr>
        <w:t> </w:t>
      </w:r>
      <w:r>
        <w:rPr>
          <w:sz w:val="22"/>
        </w:rPr>
        <w:t>the Tune Review. Further, plan variations must require the participant’s consent. Principles of</w:t>
      </w:r>
      <w:r>
        <w:rPr>
          <w:spacing w:val="1"/>
          <w:sz w:val="22"/>
        </w:rPr>
        <w:t> </w:t>
      </w:r>
      <w:r>
        <w:rPr>
          <w:sz w:val="22"/>
        </w:rPr>
        <w:t>procedural fairness must be clearly articulated to people with disability and made available in</w:t>
      </w:r>
      <w:r>
        <w:rPr>
          <w:spacing w:val="1"/>
          <w:sz w:val="22"/>
        </w:rPr>
        <w:t> </w:t>
      </w:r>
      <w:r>
        <w:rPr>
          <w:sz w:val="22"/>
        </w:rPr>
        <w:t>accessible</w:t>
      </w:r>
      <w:r>
        <w:rPr>
          <w:spacing w:val="-4"/>
          <w:sz w:val="22"/>
        </w:rPr>
        <w:t> </w:t>
      </w:r>
      <w:r>
        <w:rPr>
          <w:sz w:val="22"/>
        </w:rPr>
        <w:t>formats.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1069" w:val="left" w:leader="none"/>
        </w:tabs>
        <w:spacing w:line="276" w:lineRule="auto" w:before="121" w:after="0"/>
        <w:ind w:left="1068" w:right="1378" w:hanging="420"/>
        <w:jc w:val="left"/>
        <w:rPr>
          <w:sz w:val="22"/>
        </w:rPr>
      </w:pPr>
      <w:r>
        <w:rPr>
          <w:sz w:val="22"/>
        </w:rPr>
        <w:t>Clarify residual ambiguity regarding the status of section 48 reassessments that occur whilst a</w:t>
      </w:r>
      <w:r>
        <w:rPr>
          <w:spacing w:val="-47"/>
          <w:sz w:val="22"/>
        </w:rPr>
        <w:t> </w:t>
      </w:r>
      <w:r>
        <w:rPr>
          <w:sz w:val="22"/>
        </w:rPr>
        <w:t>matter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before the</w:t>
      </w:r>
      <w:r>
        <w:rPr>
          <w:spacing w:val="1"/>
          <w:sz w:val="22"/>
        </w:rPr>
        <w:t> </w:t>
      </w:r>
      <w:r>
        <w:rPr>
          <w:sz w:val="22"/>
        </w:rPr>
        <w:t>AAT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legislate</w:t>
      </w:r>
      <w:r>
        <w:rPr>
          <w:spacing w:val="-3"/>
          <w:sz w:val="22"/>
        </w:rPr>
        <w:t> </w:t>
      </w:r>
      <w:r>
        <w:rPr>
          <w:sz w:val="22"/>
        </w:rPr>
        <w:t>the recent Federal</w:t>
      </w:r>
      <w:r>
        <w:rPr>
          <w:spacing w:val="-1"/>
          <w:sz w:val="22"/>
        </w:rPr>
        <w:t> </w:t>
      </w:r>
      <w:r>
        <w:rPr>
          <w:sz w:val="22"/>
        </w:rPr>
        <w:t>Court decision</w:t>
      </w:r>
      <w:r>
        <w:rPr>
          <w:spacing w:val="-2"/>
          <w:sz w:val="22"/>
        </w:rPr>
        <w:t> </w:t>
      </w:r>
      <w:r>
        <w:rPr>
          <w:sz w:val="22"/>
        </w:rPr>
        <w:t>in </w:t>
      </w:r>
      <w:r>
        <w:rPr>
          <w:i/>
          <w:sz w:val="22"/>
        </w:rPr>
        <w:t>QDKH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1069" w:val="left" w:leader="none"/>
        </w:tabs>
        <w:spacing w:line="276" w:lineRule="auto" w:before="119" w:after="0"/>
        <w:ind w:left="1068" w:right="942" w:hanging="420"/>
        <w:jc w:val="left"/>
        <w:rPr>
          <w:sz w:val="22"/>
        </w:rPr>
      </w:pPr>
      <w:r>
        <w:rPr>
          <w:sz w:val="22"/>
        </w:rPr>
        <w:t>Provide further detail as to how the proposed market intervention powers will be exercised and in</w:t>
      </w:r>
      <w:r>
        <w:rPr>
          <w:spacing w:val="-47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circumstances.</w:t>
      </w:r>
      <w:r>
        <w:rPr>
          <w:spacing w:val="-4"/>
          <w:sz w:val="22"/>
        </w:rPr>
        <w:t> </w:t>
      </w:r>
      <w:r>
        <w:rPr>
          <w:sz w:val="22"/>
        </w:rPr>
        <w:t>Market</w:t>
      </w:r>
      <w:r>
        <w:rPr>
          <w:spacing w:val="-1"/>
          <w:sz w:val="22"/>
        </w:rPr>
        <w:t> </w:t>
      </w:r>
      <w:r>
        <w:rPr>
          <w:sz w:val="22"/>
        </w:rPr>
        <w:t>intervention</w:t>
      </w:r>
      <w:r>
        <w:rPr>
          <w:spacing w:val="-2"/>
          <w:sz w:val="22"/>
        </w:rPr>
        <w:t> </w:t>
      </w:r>
      <w:r>
        <w:rPr>
          <w:sz w:val="22"/>
        </w:rPr>
        <w:t>powers</w:t>
      </w:r>
      <w:r>
        <w:rPr>
          <w:spacing w:val="-3"/>
          <w:sz w:val="22"/>
        </w:rPr>
        <w:t> </w:t>
      </w:r>
      <w:r>
        <w:rPr>
          <w:sz w:val="22"/>
        </w:rPr>
        <w:t>must be</w:t>
      </w:r>
      <w:r>
        <w:rPr>
          <w:spacing w:val="-3"/>
          <w:sz w:val="22"/>
        </w:rPr>
        <w:t> </w:t>
      </w:r>
      <w:r>
        <w:rPr>
          <w:sz w:val="22"/>
        </w:rPr>
        <w:t>exercised</w:t>
      </w:r>
      <w:r>
        <w:rPr>
          <w:spacing w:val="-3"/>
          <w:sz w:val="22"/>
        </w:rPr>
        <w:t> </w:t>
      </w:r>
      <w:r>
        <w:rPr>
          <w:sz w:val="22"/>
        </w:rPr>
        <w:t>with caution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encroach</w:t>
      </w:r>
    </w:p>
    <w:p>
      <w:pPr>
        <w:spacing w:after="0" w:line="276" w:lineRule="auto"/>
        <w:jc w:val="left"/>
        <w:rPr>
          <w:sz w:val="22"/>
        </w:rPr>
        <w:sectPr>
          <w:headerReference w:type="default" r:id="rId7"/>
          <w:footerReference w:type="default" r:id="rId8"/>
          <w:pgSz w:w="11900" w:h="16850"/>
          <w:pgMar w:header="463" w:footer="611" w:top="660" w:bottom="800" w:left="720" w:right="3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6" w:lineRule="auto" w:before="57"/>
        <w:ind w:left="1068" w:right="1572"/>
      </w:pPr>
      <w:r>
        <w:rPr/>
        <w:pict>
          <v:group style="position:absolute;margin-left:54pt;margin-top:2.383608pt;width:487.1pt;height:315.05pt;mso-position-horizontal-relative:page;mso-position-vertical-relative:paragraph;z-index:-15915520" id="docshapegroup9" coordorigin="1080,48" coordsize="9742,6301">
            <v:rect style="position:absolute;left:1090;top:57;width:9722;height:6280" id="docshape10" filled="true" fillcolor="#bebebe" stroked="false">
              <v:fill type="solid"/>
            </v:rect>
            <v:shape style="position:absolute;left:1080;top:47;width:9742;height:6301" id="docshape11" coordorigin="1080,48" coordsize="9742,6301" path="m10822,48l10812,48,10812,57,10812,6339,1090,6339,1090,57,10812,57,10812,48,1090,48,1080,48,1080,57,1080,6339,1080,6349,1090,6349,10812,6349,10822,6349,10822,6339,10822,57,10822,4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upon the choice and control of participants, frequently heralded as one of the fundamental</w:t>
      </w:r>
      <w:r>
        <w:rPr>
          <w:spacing w:val="-47"/>
        </w:rPr>
        <w:t> </w:t>
      </w:r>
      <w:r>
        <w:rPr/>
        <w:t>principles of</w:t>
      </w:r>
      <w:r>
        <w:rPr>
          <w:spacing w:val="-2"/>
        </w:rPr>
        <w:t> </w:t>
      </w:r>
      <w:r>
        <w:rPr/>
        <w:t>the scheme.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1069" w:val="left" w:leader="none"/>
        </w:tabs>
        <w:spacing w:line="276" w:lineRule="auto" w:before="121" w:after="0"/>
        <w:ind w:left="1068" w:right="1197" w:hanging="420"/>
        <w:jc w:val="left"/>
        <w:rPr>
          <w:sz w:val="22"/>
        </w:rPr>
      </w:pPr>
      <w:r>
        <w:rPr>
          <w:sz w:val="22"/>
        </w:rPr>
        <w:t>Legislate the exceptional circumstances listed in the operational guidelines that outline when</w:t>
      </w:r>
      <w:r>
        <w:rPr>
          <w:spacing w:val="1"/>
          <w:sz w:val="22"/>
        </w:rPr>
        <w:t> </w:t>
      </w:r>
      <w:r>
        <w:rPr>
          <w:sz w:val="22"/>
        </w:rPr>
        <w:t>participants can engage family members to provide support. This will bring much needed clarity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1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decisions</w:t>
      </w:r>
      <w:r>
        <w:rPr>
          <w:spacing w:val="-3"/>
          <w:sz w:val="22"/>
        </w:rPr>
        <w:t> </w:t>
      </w:r>
      <w:r>
        <w:rPr>
          <w:sz w:val="22"/>
        </w:rPr>
        <w:t>reviewable.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  <w:tab w:pos="1069" w:val="left" w:leader="none"/>
        </w:tabs>
        <w:spacing w:line="276" w:lineRule="auto" w:before="120" w:after="0"/>
        <w:ind w:left="1068" w:right="844" w:hanging="420"/>
        <w:jc w:val="left"/>
        <w:rPr>
          <w:sz w:val="22"/>
        </w:rPr>
      </w:pPr>
      <w:r>
        <w:rPr>
          <w:sz w:val="22"/>
        </w:rPr>
        <w:t>Provide further clarity regarding the intended application of changes to the eligibility criteria for</w:t>
      </w:r>
      <w:r>
        <w:rPr>
          <w:spacing w:val="1"/>
          <w:sz w:val="22"/>
        </w:rPr>
        <w:t> </w:t>
      </w:r>
      <w:r>
        <w:rPr>
          <w:sz w:val="22"/>
        </w:rPr>
        <w:t>participants with psychosocial disability, for example by releasing the accompanying proposed NDIS</w:t>
      </w:r>
      <w:r>
        <w:rPr>
          <w:spacing w:val="-47"/>
          <w:sz w:val="22"/>
        </w:rPr>
        <w:t> </w:t>
      </w:r>
      <w:r>
        <w:rPr>
          <w:sz w:val="22"/>
        </w:rPr>
        <w:t>Rules.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273" w:lineRule="auto" w:before="120" w:after="0"/>
        <w:ind w:left="1068" w:right="1390" w:hanging="420"/>
        <w:jc w:val="left"/>
        <w:rPr>
          <w:sz w:val="22"/>
        </w:rPr>
      </w:pPr>
      <w:r>
        <w:rPr>
          <w:sz w:val="22"/>
        </w:rPr>
        <w:t>Remove the reference to scheme sustainability in amended section 209(3) which requires the</w:t>
      </w:r>
      <w:r>
        <w:rPr>
          <w:spacing w:val="-47"/>
          <w:sz w:val="22"/>
        </w:rPr>
        <w:t> </w:t>
      </w:r>
      <w:r>
        <w:rPr>
          <w:sz w:val="22"/>
        </w:rPr>
        <w:t>Minister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regard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 financial</w:t>
      </w:r>
      <w:r>
        <w:rPr>
          <w:spacing w:val="-1"/>
          <w:sz w:val="22"/>
        </w:rPr>
        <w:t> </w:t>
      </w:r>
      <w:r>
        <w:rPr>
          <w:sz w:val="22"/>
        </w:rPr>
        <w:t>sustainability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NDIS</w:t>
      </w:r>
      <w:r>
        <w:rPr>
          <w:spacing w:val="-3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making</w:t>
      </w:r>
      <w:r>
        <w:rPr>
          <w:spacing w:val="-1"/>
          <w:sz w:val="22"/>
        </w:rPr>
        <w:t> </w:t>
      </w:r>
      <w:r>
        <w:rPr>
          <w:sz w:val="22"/>
        </w:rPr>
        <w:t>rules.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276" w:lineRule="auto" w:before="125" w:after="0"/>
        <w:ind w:left="1068" w:right="854" w:hanging="420"/>
        <w:jc w:val="left"/>
        <w:rPr>
          <w:sz w:val="22"/>
        </w:rPr>
      </w:pPr>
      <w:r>
        <w:rPr>
          <w:sz w:val="22"/>
        </w:rPr>
        <w:t>Consider the representation of different disability types on the Board, such as intellectual disability,</w:t>
      </w:r>
      <w:r>
        <w:rPr>
          <w:spacing w:val="-47"/>
          <w:sz w:val="22"/>
        </w:rPr>
        <w:t> </w:t>
      </w:r>
      <w:r>
        <w:rPr>
          <w:sz w:val="22"/>
        </w:rPr>
        <w:t>cognitive disability, psychosocial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276" w:lineRule="auto" w:before="119" w:after="0"/>
        <w:ind w:left="1068" w:right="933" w:hanging="420"/>
        <w:jc w:val="left"/>
        <w:rPr>
          <w:sz w:val="22"/>
        </w:rPr>
      </w:pPr>
      <w:r>
        <w:rPr>
          <w:sz w:val="22"/>
        </w:rPr>
        <w:t>Address the recurring issue of participants wrongly being denied access to supports because the</w:t>
      </w:r>
      <w:r>
        <w:rPr>
          <w:spacing w:val="1"/>
          <w:sz w:val="22"/>
        </w:rPr>
        <w:t> </w:t>
      </w:r>
      <w:r>
        <w:rPr>
          <w:sz w:val="22"/>
        </w:rPr>
        <w:t>supports do not relate to the impairment upon which they relied to gain access. This stance, which</w:t>
      </w:r>
      <w:r>
        <w:rPr>
          <w:spacing w:val="-47"/>
          <w:sz w:val="22"/>
        </w:rPr>
        <w:t> </w:t>
      </w:r>
      <w:r>
        <w:rPr>
          <w:sz w:val="22"/>
        </w:rPr>
        <w:t>is not a criterion in section 34 of the NDIS Act nor is it contained within the Supports for</w:t>
      </w:r>
      <w:r>
        <w:rPr>
          <w:spacing w:val="1"/>
          <w:sz w:val="22"/>
        </w:rPr>
        <w:t> </w:t>
      </w:r>
      <w:r>
        <w:rPr>
          <w:sz w:val="22"/>
        </w:rPr>
        <w:t>Participants rules, is a recurring error made by the Agency and is erroneously printed in several</w:t>
      </w:r>
      <w:r>
        <w:rPr>
          <w:spacing w:val="1"/>
          <w:sz w:val="22"/>
        </w:rPr>
        <w:t> </w:t>
      </w:r>
      <w:r>
        <w:rPr>
          <w:sz w:val="22"/>
        </w:rPr>
        <w:t>NDIS publications. The case of </w:t>
      </w:r>
      <w:r>
        <w:rPr>
          <w:i/>
          <w:sz w:val="22"/>
        </w:rPr>
        <w:t>McLaughlin </w:t>
      </w:r>
      <w:r>
        <w:rPr>
          <w:sz w:val="22"/>
        </w:rPr>
        <w:t>provides some guidance, however the issue requires</w:t>
      </w:r>
      <w:r>
        <w:rPr>
          <w:spacing w:val="1"/>
          <w:sz w:val="22"/>
        </w:rPr>
        <w:t> </w:t>
      </w:r>
      <w:r>
        <w:rPr>
          <w:sz w:val="22"/>
        </w:rPr>
        <w:t>legislative</w:t>
      </w:r>
      <w:r>
        <w:rPr>
          <w:spacing w:val="1"/>
          <w:sz w:val="22"/>
        </w:rPr>
        <w:t> </w:t>
      </w:r>
      <w:r>
        <w:rPr>
          <w:sz w:val="22"/>
        </w:rPr>
        <w:t>authority.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76"/>
      </w:pPr>
      <w:r>
        <w:rPr>
          <w:color w:val="808080"/>
        </w:rPr>
        <w:t>Introduction</w:t>
      </w:r>
    </w:p>
    <w:p>
      <w:pPr>
        <w:pStyle w:val="BodyText"/>
        <w:spacing w:line="276" w:lineRule="auto" w:before="120"/>
        <w:ind w:left="360" w:right="713"/>
        <w:jc w:val="both"/>
      </w:pPr>
      <w:r>
        <w:rPr/>
        <w:t>QAI supports the underlying intention behind many of the proposed reforms contained in the </w:t>
      </w:r>
      <w:r>
        <w:rPr>
          <w:i/>
        </w:rPr>
        <w:t>National</w:t>
      </w:r>
      <w:r>
        <w:rPr>
          <w:i/>
          <w:spacing w:val="1"/>
        </w:rPr>
        <w:t> </w:t>
      </w:r>
      <w:r>
        <w:rPr>
          <w:i/>
        </w:rPr>
        <w:t>Disability Insurance Scheme Amendment (Participant Service Guarantee and Other Measures) Bill 2021 </w:t>
      </w:r>
      <w:r>
        <w:rPr/>
        <w:t>(the</w:t>
      </w:r>
      <w:r>
        <w:rPr>
          <w:spacing w:val="1"/>
        </w:rPr>
        <w:t> </w:t>
      </w:r>
      <w:r>
        <w:rPr/>
        <w:t>Bill).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move</w:t>
      </w:r>
      <w:r>
        <w:rPr>
          <w:spacing w:val="-2"/>
        </w:rPr>
        <w:t> </w:t>
      </w:r>
      <w:r>
        <w:rPr/>
        <w:t>towards</w:t>
      </w:r>
      <w:r>
        <w:rPr>
          <w:spacing w:val="-3"/>
        </w:rPr>
        <w:t> </w:t>
      </w:r>
      <w:r>
        <w:rPr/>
        <w:t>improving</w:t>
      </w:r>
      <w:r>
        <w:rPr>
          <w:spacing w:val="-3"/>
        </w:rPr>
        <w:t> </w:t>
      </w:r>
      <w:r>
        <w:rPr/>
        <w:t>participant</w:t>
      </w:r>
      <w:r>
        <w:rPr>
          <w:spacing w:val="-3"/>
        </w:rPr>
        <w:t> </w:t>
      </w:r>
      <w:r>
        <w:rPr/>
        <w:t>outcomes,</w:t>
      </w:r>
      <w:r>
        <w:rPr>
          <w:spacing w:val="-2"/>
        </w:rPr>
        <w:t> </w:t>
      </w:r>
      <w:r>
        <w:rPr/>
        <w:t>reducing</w:t>
      </w:r>
      <w:r>
        <w:rPr>
          <w:spacing w:val="-4"/>
        </w:rPr>
        <w:t> </w:t>
      </w:r>
      <w:r>
        <w:rPr/>
        <w:t>‘red</w:t>
      </w:r>
      <w:r>
        <w:rPr>
          <w:spacing w:val="-3"/>
        </w:rPr>
        <w:t> </w:t>
      </w:r>
      <w:r>
        <w:rPr/>
        <w:t>tape’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increasing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flexibility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47"/>
        </w:rPr>
        <w:t> </w:t>
      </w:r>
      <w:r>
        <w:rPr/>
        <w:t>notoriously</w:t>
      </w:r>
      <w:r>
        <w:rPr>
          <w:spacing w:val="1"/>
        </w:rPr>
        <w:t> </w:t>
      </w:r>
      <w:r>
        <w:rPr/>
        <w:t>rigid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bureaucratic</w:t>
      </w:r>
      <w:r>
        <w:rPr>
          <w:spacing w:val="1"/>
        </w:rPr>
        <w:t> </w:t>
      </w:r>
      <w:r>
        <w:rPr/>
        <w:t>scheme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extremely</w:t>
      </w:r>
      <w:r>
        <w:rPr>
          <w:spacing w:val="1"/>
        </w:rPr>
        <w:t> </w:t>
      </w:r>
      <w:r>
        <w:rPr/>
        <w:t>welcome.</w:t>
      </w:r>
      <w:r>
        <w:rPr>
          <w:spacing w:val="1"/>
        </w:rPr>
        <w:t> </w:t>
      </w:r>
      <w:r>
        <w:rPr/>
        <w:t>Further,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acknowledges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 reforms do not include mandatory independent assessments following the extensive advocacy</w:t>
      </w:r>
      <w:r>
        <w:rPr>
          <w:spacing w:val="1"/>
        </w:rPr>
        <w:t> </w:t>
      </w:r>
      <w:r>
        <w:rPr/>
        <w:t>efforts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sector.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60" w:right="710"/>
        <w:jc w:val="both"/>
      </w:pPr>
      <w:r>
        <w:rPr/>
        <w:t>However,</w:t>
      </w:r>
      <w:r>
        <w:rPr>
          <w:spacing w:val="-4"/>
        </w:rPr>
        <w:t> </w:t>
      </w:r>
      <w:r>
        <w:rPr/>
        <w:t>while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4"/>
        </w:rPr>
        <w:t> </w:t>
      </w:r>
      <w:r>
        <w:rPr/>
        <w:t>changes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fundamentally</w:t>
      </w:r>
      <w:r>
        <w:rPr>
          <w:spacing w:val="-4"/>
        </w:rPr>
        <w:t> </w:t>
      </w:r>
      <w:r>
        <w:rPr/>
        <w:t>alter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scheme,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volume</w:t>
      </w:r>
      <w:r>
        <w:rPr>
          <w:spacing w:val="-2"/>
        </w:rPr>
        <w:t> </w:t>
      </w:r>
      <w:r>
        <w:rPr/>
        <w:t>of</w:t>
      </w:r>
      <w:r>
        <w:rPr>
          <w:spacing w:val="-47"/>
        </w:rPr>
        <w:t> </w:t>
      </w:r>
      <w:r>
        <w:rPr/>
        <w:t>changes and associated material released for such a short period of consultation, undermines the Minster’s</w:t>
      </w:r>
      <w:r>
        <w:rPr>
          <w:spacing w:val="1"/>
        </w:rPr>
        <w:t> </w:t>
      </w:r>
      <w:r>
        <w:rPr/>
        <w:t>commitment to co-designing scheme reform alongside people with disability. One of the primary objects of</w:t>
      </w:r>
      <w:r>
        <w:rPr>
          <w:spacing w:val="1"/>
        </w:rPr>
        <w:t> </w:t>
      </w:r>
      <w:r>
        <w:rPr/>
        <w:t>the </w:t>
      </w:r>
      <w:r>
        <w:rPr>
          <w:i/>
        </w:rPr>
        <w:t>National Disability Insurance Scheme Act 2013 </w:t>
      </w:r>
      <w:r>
        <w:rPr/>
        <w:t>(Cth) is to give effect to Australia’s obligations under the</w:t>
      </w:r>
      <w:r>
        <w:rPr>
          <w:spacing w:val="1"/>
        </w:rPr>
        <w:t> </w:t>
      </w:r>
      <w:r>
        <w:rPr/>
        <w:t>Convention on the Rights of Person’s with Disability (CRPD).</w:t>
      </w:r>
      <w:r>
        <w:rPr>
          <w:vertAlign w:val="superscript"/>
        </w:rPr>
        <w:t>1</w:t>
      </w:r>
      <w:r>
        <w:rPr>
          <w:vertAlign w:val="baseline"/>
        </w:rPr>
        <w:t> Yet denying people with disability and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supporters sufficient opportunity to understand and obtain support where necessary to respond to the</w:t>
      </w:r>
      <w:r>
        <w:rPr>
          <w:spacing w:val="1"/>
          <w:vertAlign w:val="baseline"/>
        </w:rPr>
        <w:t> </w:t>
      </w:r>
      <w:r>
        <w:rPr>
          <w:vertAlign w:val="baseline"/>
        </w:rPr>
        <w:t>proposed</w:t>
      </w:r>
      <w:r>
        <w:rPr>
          <w:spacing w:val="-7"/>
          <w:vertAlign w:val="baseline"/>
        </w:rPr>
        <w:t> </w:t>
      </w:r>
      <w:r>
        <w:rPr>
          <w:vertAlign w:val="baseline"/>
        </w:rPr>
        <w:t>reforms</w:t>
      </w:r>
      <w:r>
        <w:rPr>
          <w:spacing w:val="-5"/>
          <w:vertAlign w:val="baseline"/>
        </w:rPr>
        <w:t> </w:t>
      </w:r>
      <w:r>
        <w:rPr>
          <w:vertAlign w:val="baseline"/>
        </w:rPr>
        <w:t>arguably</w:t>
      </w:r>
      <w:r>
        <w:rPr>
          <w:spacing w:val="-7"/>
          <w:vertAlign w:val="baseline"/>
        </w:rPr>
        <w:t> </w:t>
      </w:r>
      <w:r>
        <w:rPr>
          <w:vertAlign w:val="baseline"/>
        </w:rPr>
        <w:t>breaches</w:t>
      </w:r>
      <w:r>
        <w:rPr>
          <w:spacing w:val="-5"/>
          <w:vertAlign w:val="baseline"/>
        </w:rPr>
        <w:t> </w:t>
      </w:r>
      <w:r>
        <w:rPr>
          <w:vertAlign w:val="baseline"/>
        </w:rPr>
        <w:t>Article</w:t>
      </w:r>
      <w:r>
        <w:rPr>
          <w:spacing w:val="-5"/>
          <w:vertAlign w:val="baseline"/>
        </w:rPr>
        <w:t> </w:t>
      </w:r>
      <w:r>
        <w:rPr>
          <w:vertAlign w:val="baseline"/>
        </w:rPr>
        <w:t>4(3)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CRPD</w:t>
      </w:r>
      <w:r>
        <w:rPr>
          <w:spacing w:val="-5"/>
          <w:vertAlign w:val="baseline"/>
        </w:rPr>
        <w:t> </w:t>
      </w:r>
      <w:r>
        <w:rPr>
          <w:vertAlign w:val="baseline"/>
        </w:rPr>
        <w:t>which</w:t>
      </w:r>
      <w:r>
        <w:rPr>
          <w:spacing w:val="-7"/>
          <w:vertAlign w:val="baseline"/>
        </w:rPr>
        <w:t> </w:t>
      </w:r>
      <w:r>
        <w:rPr>
          <w:vertAlign w:val="baseline"/>
        </w:rPr>
        <w:t>requires</w:t>
      </w:r>
      <w:r>
        <w:rPr>
          <w:spacing w:val="-6"/>
          <w:vertAlign w:val="baseline"/>
        </w:rPr>
        <w:t> </w:t>
      </w:r>
      <w:r>
        <w:rPr>
          <w:vertAlign w:val="baseline"/>
        </w:rPr>
        <w:t>States</w:t>
      </w:r>
      <w:r>
        <w:rPr>
          <w:spacing w:val="-5"/>
          <w:vertAlign w:val="baseline"/>
        </w:rPr>
        <w:t> </w:t>
      </w:r>
      <w:r>
        <w:rPr>
          <w:vertAlign w:val="baseline"/>
        </w:rPr>
        <w:t>Parties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‘actively</w:t>
      </w:r>
      <w:r>
        <w:rPr>
          <w:spacing w:val="-6"/>
          <w:vertAlign w:val="baseline"/>
        </w:rPr>
        <w:t> </w:t>
      </w:r>
      <w:r>
        <w:rPr>
          <w:vertAlign w:val="baseline"/>
        </w:rPr>
        <w:t>involve</w:t>
      </w:r>
      <w:r>
        <w:rPr>
          <w:spacing w:val="-47"/>
          <w:vertAlign w:val="baseline"/>
        </w:rPr>
        <w:t> </w:t>
      </w:r>
      <w:r>
        <w:rPr>
          <w:vertAlign w:val="baseline"/>
        </w:rPr>
        <w:t>persons</w:t>
      </w:r>
      <w:r>
        <w:rPr>
          <w:spacing w:val="-3"/>
          <w:vertAlign w:val="baseline"/>
        </w:rPr>
        <w:t> </w:t>
      </w:r>
      <w:r>
        <w:rPr>
          <w:vertAlign w:val="baseline"/>
        </w:rPr>
        <w:t>with disabilities’</w:t>
      </w:r>
      <w:r>
        <w:rPr>
          <w:spacing w:val="-1"/>
          <w:vertAlign w:val="baseline"/>
        </w:rPr>
        <w:t> </w:t>
      </w:r>
      <w:r>
        <w:rPr>
          <w:vertAlign w:val="baseline"/>
        </w:rPr>
        <w:t>when</w:t>
      </w:r>
      <w:r>
        <w:rPr>
          <w:spacing w:val="-1"/>
          <w:vertAlign w:val="baseline"/>
        </w:rPr>
        <w:t> </w:t>
      </w:r>
      <w:r>
        <w:rPr>
          <w:vertAlign w:val="baseline"/>
        </w:rPr>
        <w:t>developing</w:t>
      </w:r>
      <w:r>
        <w:rPr>
          <w:spacing w:val="-1"/>
          <w:vertAlign w:val="baseline"/>
        </w:rPr>
        <w:t> </w:t>
      </w:r>
      <w:r>
        <w:rPr>
          <w:vertAlign w:val="baseline"/>
        </w:rPr>
        <w:t>policies</w:t>
      </w:r>
      <w:r>
        <w:rPr>
          <w:spacing w:val="-2"/>
          <w:vertAlign w:val="baseline"/>
        </w:rPr>
        <w:t> </w:t>
      </w:r>
      <w:r>
        <w:rPr>
          <w:vertAlign w:val="baseline"/>
        </w:rPr>
        <w:t>that</w:t>
      </w:r>
      <w:r>
        <w:rPr>
          <w:spacing w:val="-1"/>
          <w:vertAlign w:val="baseline"/>
        </w:rPr>
        <w:t> </w:t>
      </w:r>
      <w:r>
        <w:rPr>
          <w:vertAlign w:val="baseline"/>
        </w:rPr>
        <w:t>implement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Convention.</w:t>
      </w:r>
      <w:r>
        <w:rPr>
          <w:vertAlign w:val="superscript"/>
        </w:rPr>
        <w:t>2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Overall, QAI considers that many of the changes are positive. However, there is uncertainty regarding the</w:t>
      </w:r>
      <w:r>
        <w:rPr>
          <w:spacing w:val="1"/>
        </w:rPr>
        <w:t> </w:t>
      </w:r>
      <w:r>
        <w:rPr/>
        <w:t>extent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change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occur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result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proposed</w:t>
      </w:r>
      <w:r>
        <w:rPr>
          <w:spacing w:val="-8"/>
        </w:rPr>
        <w:t> </w:t>
      </w:r>
      <w:r>
        <w:rPr/>
        <w:t>legislative</w:t>
      </w:r>
      <w:r>
        <w:rPr>
          <w:spacing w:val="-7"/>
        </w:rPr>
        <w:t> </w:t>
      </w:r>
      <w:r>
        <w:rPr/>
        <w:t>reforms.</w:t>
      </w:r>
      <w:r>
        <w:rPr>
          <w:spacing w:val="-10"/>
        </w:rPr>
        <w:t> </w:t>
      </w: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because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Bill</w:t>
      </w:r>
      <w:r>
        <w:rPr>
          <w:spacing w:val="-11"/>
        </w:rPr>
        <w:t> </w:t>
      </w:r>
      <w:r>
        <w:rPr/>
        <w:t>provides</w:t>
      </w: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54pt;margin-top:10.563447pt;width:144.050pt;height:.72003pt;mso-position-horizontal-relative:page;mso-position-vertical-relative:paragraph;z-index:-15726592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National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Insurance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Scheme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Act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2013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(Cth)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section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3(1)a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Convention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Rights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Persons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Disabilities,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Article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2"/>
        <w:jc w:val="both"/>
      </w:pPr>
      <w:r>
        <w:rPr/>
        <w:t>increased</w:t>
      </w:r>
      <w:r>
        <w:rPr>
          <w:spacing w:val="-9"/>
        </w:rPr>
        <w:t> </w:t>
      </w:r>
      <w:r>
        <w:rPr/>
        <w:t>scope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Disability</w:t>
      </w:r>
      <w:r>
        <w:rPr>
          <w:spacing w:val="-7"/>
        </w:rPr>
        <w:t> </w:t>
      </w:r>
      <w:r>
        <w:rPr/>
        <w:t>Insurance</w:t>
      </w:r>
      <w:r>
        <w:rPr>
          <w:spacing w:val="-7"/>
        </w:rPr>
        <w:t> </w:t>
      </w:r>
      <w:r>
        <w:rPr/>
        <w:t>Agency</w:t>
      </w:r>
      <w:r>
        <w:rPr>
          <w:spacing w:val="-7"/>
        </w:rPr>
        <w:t> </w:t>
      </w:r>
      <w:r>
        <w:rPr/>
        <w:t>(the</w:t>
      </w:r>
      <w:r>
        <w:rPr>
          <w:spacing w:val="-7"/>
        </w:rPr>
        <w:t> </w:t>
      </w:r>
      <w:r>
        <w:rPr/>
        <w:t>Agency)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create</w:t>
      </w:r>
      <w:r>
        <w:rPr>
          <w:spacing w:val="-7"/>
        </w:rPr>
        <w:t> </w:t>
      </w:r>
      <w:r>
        <w:rPr/>
        <w:t>Rules</w:t>
      </w:r>
      <w:r>
        <w:rPr>
          <w:spacing w:val="-7"/>
        </w:rPr>
        <w:t> </w:t>
      </w:r>
      <w:r>
        <w:rPr/>
        <w:t>that</w:t>
      </w:r>
      <w:r>
        <w:rPr>
          <w:spacing w:val="-11"/>
        </w:rPr>
        <w:t> </w:t>
      </w:r>
      <w:r>
        <w:rPr/>
        <w:t>will</w:t>
      </w:r>
      <w:r>
        <w:rPr>
          <w:spacing w:val="-8"/>
        </w:rPr>
        <w:t> </w:t>
      </w:r>
      <w:r>
        <w:rPr/>
        <w:t>govern</w:t>
      </w:r>
      <w:r>
        <w:rPr>
          <w:spacing w:val="-8"/>
        </w:rPr>
        <w:t> </w:t>
      </w:r>
      <w:r>
        <w:rPr/>
        <w:t>how</w:t>
      </w:r>
      <w:r>
        <w:rPr>
          <w:spacing w:val="-47"/>
        </w:rPr>
        <w:t> </w:t>
      </w:r>
      <w:r>
        <w:rPr/>
        <w:t>the legislation is to be applied in practice; Rules that have not been provided alongside this Bill. Increased</w:t>
      </w:r>
      <w:r>
        <w:rPr>
          <w:spacing w:val="1"/>
        </w:rPr>
        <w:t> </w:t>
      </w:r>
      <w:r>
        <w:rPr>
          <w:spacing w:val="-1"/>
        </w:rPr>
        <w:t>discretionary</w:t>
      </w:r>
      <w:r>
        <w:rPr>
          <w:spacing w:val="-9"/>
        </w:rPr>
        <w:t> </w:t>
      </w:r>
      <w:r>
        <w:rPr/>
        <w:t>power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Agency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cause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concern.</w:t>
      </w:r>
      <w:r>
        <w:rPr>
          <w:spacing w:val="-9"/>
        </w:rPr>
        <w:t> </w:t>
      </w:r>
      <w:r>
        <w:rPr/>
        <w:t>Whilst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/>
        <w:t>facilitates</w:t>
      </w:r>
      <w:r>
        <w:rPr>
          <w:spacing w:val="-9"/>
        </w:rPr>
        <w:t> </w:t>
      </w:r>
      <w:r>
        <w:rPr/>
        <w:t>greater</w:t>
      </w:r>
      <w:r>
        <w:rPr>
          <w:spacing w:val="-8"/>
        </w:rPr>
        <w:t> </w:t>
      </w:r>
      <w:r>
        <w:rPr/>
        <w:t>flexibility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one</w:t>
      </w:r>
      <w:r>
        <w:rPr>
          <w:spacing w:val="-9"/>
        </w:rPr>
        <w:t> </w:t>
      </w:r>
      <w:r>
        <w:rPr/>
        <w:t>hand,</w:t>
      </w:r>
      <w:r>
        <w:rPr>
          <w:spacing w:val="-47"/>
        </w:rPr>
        <w:t> </w:t>
      </w:r>
      <w:r>
        <w:rPr/>
        <w:t>it begins to erode the choice and control of participants on the other. This must remain at the heart of the</w:t>
      </w:r>
      <w:r>
        <w:rPr>
          <w:spacing w:val="1"/>
        </w:rPr>
        <w:t> </w:t>
      </w:r>
      <w:r>
        <w:rPr/>
        <w:t>scheme if the NDIS is to stay true to its original purpose; that is, to support the independence of people with</w:t>
      </w:r>
      <w:r>
        <w:rPr>
          <w:spacing w:val="1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full</w:t>
      </w:r>
      <w:r>
        <w:rPr>
          <w:spacing w:val="-1"/>
        </w:rPr>
        <w:t> </w:t>
      </w:r>
      <w:r>
        <w:rPr/>
        <w:t>inclusion</w:t>
      </w:r>
      <w:r>
        <w:rPr>
          <w:spacing w:val="-1"/>
        </w:rPr>
        <w:t> </w:t>
      </w:r>
      <w:r>
        <w:rPr/>
        <w:t>within</w:t>
      </w:r>
      <w:r>
        <w:rPr>
          <w:spacing w:val="-3"/>
        </w:rPr>
        <w:t> </w:t>
      </w:r>
      <w:r>
        <w:rPr/>
        <w:t>society.</w:t>
      </w:r>
    </w:p>
    <w:p>
      <w:pPr>
        <w:pStyle w:val="BodyText"/>
      </w:pPr>
    </w:p>
    <w:p>
      <w:pPr>
        <w:pStyle w:val="Heading1"/>
        <w:spacing w:before="162"/>
        <w:jc w:val="both"/>
      </w:pPr>
      <w:r>
        <w:rPr>
          <w:color w:val="808080"/>
        </w:rPr>
        <w:t>Schedule</w:t>
      </w:r>
      <w:r>
        <w:rPr>
          <w:color w:val="808080"/>
          <w:spacing w:val="-4"/>
        </w:rPr>
        <w:t> </w:t>
      </w:r>
      <w:r>
        <w:rPr>
          <w:color w:val="808080"/>
        </w:rPr>
        <w:t>1</w:t>
      </w:r>
      <w:r>
        <w:rPr>
          <w:color w:val="808080"/>
          <w:spacing w:val="-4"/>
        </w:rPr>
        <w:t> </w:t>
      </w:r>
      <w:r>
        <w:rPr>
          <w:color w:val="808080"/>
        </w:rPr>
        <w:t>-</w:t>
      </w:r>
      <w:r>
        <w:rPr>
          <w:color w:val="808080"/>
          <w:spacing w:val="-3"/>
        </w:rPr>
        <w:t> </w:t>
      </w:r>
      <w:r>
        <w:rPr>
          <w:color w:val="808080"/>
        </w:rPr>
        <w:t>Participant</w:t>
      </w:r>
      <w:r>
        <w:rPr>
          <w:color w:val="808080"/>
          <w:spacing w:val="-3"/>
        </w:rPr>
        <w:t> </w:t>
      </w:r>
      <w:r>
        <w:rPr>
          <w:color w:val="808080"/>
        </w:rPr>
        <w:t>Service</w:t>
      </w:r>
      <w:r>
        <w:rPr>
          <w:color w:val="808080"/>
          <w:spacing w:val="-4"/>
        </w:rPr>
        <w:t> </w:t>
      </w:r>
      <w:r>
        <w:rPr>
          <w:color w:val="808080"/>
        </w:rPr>
        <w:t>Guarantee</w:t>
      </w:r>
    </w:p>
    <w:p>
      <w:pPr>
        <w:pStyle w:val="BodyText"/>
        <w:spacing w:line="276" w:lineRule="auto" w:before="177"/>
        <w:ind w:left="360" w:right="710"/>
        <w:jc w:val="both"/>
      </w:pPr>
      <w:r>
        <w:rPr/>
        <w:t>Whilst QAI supports legislating the Participant Service Guarantee, it remains unclear whether the ‘new</w:t>
      </w:r>
      <w:r>
        <w:rPr>
          <w:spacing w:val="1"/>
        </w:rPr>
        <w:t> </w:t>
      </w:r>
      <w:r>
        <w:rPr/>
        <w:t>Category C NDIS Rules’ that will give effect to the Guarantee are the same as those released during the</w:t>
      </w:r>
      <w:r>
        <w:rPr>
          <w:spacing w:val="1"/>
        </w:rPr>
        <w:t> </w:t>
      </w:r>
      <w:r>
        <w:rPr/>
        <w:t>Department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Social</w:t>
      </w:r>
      <w:r>
        <w:rPr>
          <w:spacing w:val="-9"/>
        </w:rPr>
        <w:t> </w:t>
      </w:r>
      <w:r>
        <w:rPr/>
        <w:t>Services’</w:t>
      </w:r>
      <w:r>
        <w:rPr>
          <w:spacing w:val="-6"/>
        </w:rPr>
        <w:t> </w:t>
      </w:r>
      <w:r>
        <w:rPr/>
        <w:t>recent</w:t>
      </w:r>
      <w:r>
        <w:rPr>
          <w:spacing w:val="-7"/>
        </w:rPr>
        <w:t> </w:t>
      </w:r>
      <w:r>
        <w:rPr/>
        <w:t>consultation.</w:t>
      </w:r>
      <w:r>
        <w:rPr>
          <w:spacing w:val="-8"/>
        </w:rPr>
        <w:t> </w:t>
      </w:r>
      <w:r>
        <w:rPr/>
        <w:t>QAI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primarily</w:t>
      </w:r>
      <w:r>
        <w:rPr>
          <w:spacing w:val="-8"/>
        </w:rPr>
        <w:t> </w:t>
      </w:r>
      <w:r>
        <w:rPr/>
        <w:t>concerned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NDIA</w:t>
      </w:r>
      <w:r>
        <w:rPr>
          <w:spacing w:val="-10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8"/>
        </w:rPr>
        <w:t> </w:t>
      </w:r>
      <w:r>
        <w:rPr/>
        <w:t>sufficiently</w:t>
      </w:r>
      <w:r>
        <w:rPr>
          <w:spacing w:val="-47"/>
        </w:rPr>
        <w:t> </w:t>
      </w:r>
      <w:r>
        <w:rPr/>
        <w:t>resourced to meet the requirements in the guarantee and that the complaint process for participants is time</w:t>
      </w:r>
      <w:r>
        <w:rPr>
          <w:spacing w:val="1"/>
        </w:rPr>
        <w:t> </w:t>
      </w:r>
      <w:r>
        <w:rPr/>
        <w:t>consuming and difficult to navigate. QAI also considers that the reporting obligations of the Commonwealth</w:t>
      </w:r>
      <w:r>
        <w:rPr>
          <w:spacing w:val="1"/>
        </w:rPr>
        <w:t> </w:t>
      </w:r>
      <w:r>
        <w:rPr/>
        <w:t>Ombudsman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be strengthened.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rPr>
          <w:i/>
        </w:rPr>
      </w:pPr>
      <w:r>
        <w:rPr>
          <w:i/>
          <w:color w:val="808080"/>
        </w:rPr>
        <w:t>Practical</w:t>
      </w:r>
      <w:r>
        <w:rPr>
          <w:i/>
          <w:color w:val="808080"/>
          <w:spacing w:val="-2"/>
        </w:rPr>
        <w:t> </w:t>
      </w:r>
      <w:r>
        <w:rPr>
          <w:i/>
          <w:color w:val="808080"/>
        </w:rPr>
        <w:t>implications</w:t>
      </w:r>
      <w:r>
        <w:rPr>
          <w:i/>
          <w:color w:val="808080"/>
          <w:spacing w:val="-4"/>
        </w:rPr>
        <w:t> </w:t>
      </w:r>
      <w:r>
        <w:rPr>
          <w:i/>
          <w:color w:val="808080"/>
        </w:rPr>
        <w:t>of</w:t>
      </w:r>
      <w:r>
        <w:rPr>
          <w:i/>
          <w:color w:val="808080"/>
          <w:spacing w:val="-2"/>
        </w:rPr>
        <w:t> </w:t>
      </w:r>
      <w:r>
        <w:rPr>
          <w:i/>
          <w:color w:val="808080"/>
        </w:rPr>
        <w:t>legislated</w:t>
      </w:r>
      <w:r>
        <w:rPr>
          <w:i/>
          <w:color w:val="808080"/>
          <w:spacing w:val="-1"/>
        </w:rPr>
        <w:t> </w:t>
      </w:r>
      <w:r>
        <w:rPr>
          <w:i/>
          <w:color w:val="808080"/>
        </w:rPr>
        <w:t>timeframes</w:t>
      </w:r>
    </w:p>
    <w:p>
      <w:pPr>
        <w:pStyle w:val="BodyText"/>
        <w:spacing w:line="276" w:lineRule="auto" w:before="49"/>
        <w:ind w:left="360" w:right="713"/>
        <w:jc w:val="both"/>
      </w:pPr>
      <w:r>
        <w:rPr/>
        <w:t>Legislated timeframes for decision-making and specified service standards for the Agency’s engagement with</w:t>
      </w:r>
      <w:r>
        <w:rPr>
          <w:spacing w:val="-47"/>
        </w:rPr>
        <w:t> </w:t>
      </w:r>
      <w:r>
        <w:rPr/>
        <w:t>participants are only meaningful when they are realistic, achievable, and effectively enforced. Through our</w:t>
      </w:r>
      <w:r>
        <w:rPr>
          <w:spacing w:val="1"/>
        </w:rPr>
        <w:t> </w:t>
      </w:r>
      <w:r>
        <w:rPr/>
        <w:t>NDIS Appeals and Decision-Support Programs, QAI has become acutely aware of significant resourcing issues</w:t>
      </w:r>
      <w:r>
        <w:rPr>
          <w:spacing w:val="-47"/>
        </w:rPr>
        <w:t> </w:t>
      </w:r>
      <w:r>
        <w:rPr/>
        <w:t>at the Agency. Current timeframes, such as 21 days for an access decision or 28 days in which to action</w:t>
      </w:r>
      <w:r>
        <w:rPr>
          <w:spacing w:val="1"/>
        </w:rPr>
        <w:t> </w:t>
      </w:r>
      <w:r>
        <w:rPr/>
        <w:t>decisions of the Administrative Appeals Tribunal (AAT) are routinely not met. The progress of internal and</w:t>
      </w:r>
      <w:r>
        <w:rPr>
          <w:spacing w:val="1"/>
        </w:rPr>
        <w:t> </w:t>
      </w:r>
      <w:r>
        <w:rPr/>
        <w:t>external reviews is frequently frustrated by the seemingly limited number of decision-makers at the Agency.</w:t>
      </w:r>
      <w:r>
        <w:rPr>
          <w:spacing w:val="1"/>
        </w:rPr>
        <w:t> </w:t>
      </w:r>
      <w:r>
        <w:rPr/>
        <w:t>QAI is currently supporting a participant with an internal review that was lodged on 26</w:t>
      </w:r>
      <w:r>
        <w:rPr>
          <w:vertAlign w:val="superscript"/>
        </w:rPr>
        <w:t>th</w:t>
      </w:r>
      <w:r>
        <w:rPr>
          <w:vertAlign w:val="baseline"/>
        </w:rPr>
        <w:t> June 2021. No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response had been received as of 6</w:t>
      </w:r>
      <w:r>
        <w:rPr>
          <w:vertAlign w:val="superscript"/>
        </w:rPr>
        <w:t>th</w:t>
      </w:r>
      <w:r>
        <w:rPr>
          <w:vertAlign w:val="baseline"/>
        </w:rPr>
        <w:t> October 2021 despite several follow up attempts. On one occasion, the</w:t>
      </w:r>
      <w:r>
        <w:rPr>
          <w:spacing w:val="1"/>
          <w:vertAlign w:val="baseline"/>
        </w:rPr>
        <w:t> </w:t>
      </w:r>
      <w:r>
        <w:rPr>
          <w:vertAlign w:val="baseline"/>
        </w:rPr>
        <w:t>advocate</w:t>
      </w:r>
      <w:r>
        <w:rPr>
          <w:spacing w:val="-6"/>
          <w:vertAlign w:val="baseline"/>
        </w:rPr>
        <w:t> </w:t>
      </w:r>
      <w:r>
        <w:rPr>
          <w:vertAlign w:val="baseline"/>
        </w:rPr>
        <w:t>spent</w:t>
      </w:r>
      <w:r>
        <w:rPr>
          <w:spacing w:val="-7"/>
          <w:vertAlign w:val="baseline"/>
        </w:rPr>
        <w:t> </w:t>
      </w:r>
      <w:r>
        <w:rPr>
          <w:vertAlign w:val="baseline"/>
        </w:rPr>
        <w:t>over</w:t>
      </w:r>
      <w:r>
        <w:rPr>
          <w:spacing w:val="-5"/>
          <w:vertAlign w:val="baseline"/>
        </w:rPr>
        <w:t> </w:t>
      </w:r>
      <w:r>
        <w:rPr>
          <w:vertAlign w:val="baseline"/>
        </w:rPr>
        <w:t>an</w:t>
      </w:r>
      <w:r>
        <w:rPr>
          <w:spacing w:val="-4"/>
          <w:vertAlign w:val="baseline"/>
        </w:rPr>
        <w:t> </w:t>
      </w:r>
      <w:r>
        <w:rPr>
          <w:vertAlign w:val="baseline"/>
        </w:rPr>
        <w:t>hour</w:t>
      </w:r>
      <w:r>
        <w:rPr>
          <w:spacing w:val="-3"/>
          <w:vertAlign w:val="baseline"/>
        </w:rPr>
        <w:t> </w:t>
      </w:r>
      <w:r>
        <w:rPr>
          <w:vertAlign w:val="baseline"/>
        </w:rPr>
        <w:t>on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phone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Agency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6"/>
          <w:vertAlign w:val="baseline"/>
        </w:rPr>
        <w:t> </w:t>
      </w:r>
      <w:r>
        <w:rPr>
          <w:vertAlign w:val="baseline"/>
        </w:rPr>
        <w:t>after</w:t>
      </w:r>
      <w:r>
        <w:rPr>
          <w:spacing w:val="-3"/>
          <w:vertAlign w:val="baseline"/>
        </w:rPr>
        <w:t> </w:t>
      </w:r>
      <w:r>
        <w:rPr>
          <w:vertAlign w:val="baseline"/>
        </w:rPr>
        <w:t>being</w:t>
      </w:r>
      <w:r>
        <w:rPr>
          <w:spacing w:val="-4"/>
          <w:vertAlign w:val="baseline"/>
        </w:rPr>
        <w:t> </w:t>
      </w:r>
      <w:r>
        <w:rPr>
          <w:vertAlign w:val="baseline"/>
        </w:rPr>
        <w:t>transferred</w:t>
      </w:r>
      <w:r>
        <w:rPr>
          <w:spacing w:val="-5"/>
          <w:vertAlign w:val="baseline"/>
        </w:rPr>
        <w:t> </w:t>
      </w:r>
      <w:r>
        <w:rPr>
          <w:vertAlign w:val="baseline"/>
        </w:rPr>
        <w:t>three</w:t>
      </w:r>
      <w:r>
        <w:rPr>
          <w:spacing w:val="-5"/>
          <w:vertAlign w:val="baseline"/>
        </w:rPr>
        <w:t> </w:t>
      </w:r>
      <w:r>
        <w:rPr>
          <w:vertAlign w:val="baseline"/>
        </w:rPr>
        <w:t>times,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call</w:t>
      </w:r>
      <w:r>
        <w:rPr>
          <w:spacing w:val="-6"/>
          <w:vertAlign w:val="baseline"/>
        </w:rPr>
        <w:t> </w:t>
      </w:r>
      <w:r>
        <w:rPr>
          <w:vertAlign w:val="baseline"/>
        </w:rPr>
        <w:t>was</w:t>
      </w:r>
      <w:r>
        <w:rPr>
          <w:spacing w:val="-48"/>
          <w:vertAlign w:val="baseline"/>
        </w:rPr>
        <w:t> </w:t>
      </w:r>
      <w:r>
        <w:rPr>
          <w:vertAlign w:val="baseline"/>
        </w:rPr>
        <w:t>cancelled after ‘hello’.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Legal representatives of the Agency, whilst generally responsive, are powerless to act without instructions</w:t>
      </w:r>
      <w:r>
        <w:rPr>
          <w:spacing w:val="1"/>
        </w:rPr>
        <w:t> </w:t>
      </w:r>
      <w:r>
        <w:rPr/>
        <w:t>from a delegate. Sometimes, the issue is as simple as changing the language in a draft letter to an expert, but</w:t>
      </w:r>
      <w:r>
        <w:rPr>
          <w:spacing w:val="-47"/>
        </w:rPr>
        <w:t> </w:t>
      </w:r>
      <w:r>
        <w:rPr/>
        <w:t>this can take up to two weeks to obtain. The timeframes stipulated in the Participant Service Guarantee will</w:t>
      </w:r>
      <w:r>
        <w:rPr>
          <w:spacing w:val="1"/>
        </w:rPr>
        <w:t> </w:t>
      </w:r>
      <w:r>
        <w:rPr/>
        <w:t>be meaningless if the Agency fails to adhere to them. Maintaining a positive reputation seems an unlikely</w:t>
      </w:r>
      <w:r>
        <w:rPr>
          <w:spacing w:val="1"/>
        </w:rPr>
        <w:t> </w:t>
      </w:r>
      <w:r>
        <w:rPr>
          <w:spacing w:val="-1"/>
        </w:rPr>
        <w:t>source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motivation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comply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Participant</w:t>
      </w:r>
      <w:r>
        <w:rPr>
          <w:spacing w:val="-11"/>
        </w:rPr>
        <w:t> </w:t>
      </w:r>
      <w:r>
        <w:rPr/>
        <w:t>Service</w:t>
      </w:r>
      <w:r>
        <w:rPr>
          <w:spacing w:val="-9"/>
        </w:rPr>
        <w:t> </w:t>
      </w:r>
      <w:r>
        <w:rPr/>
        <w:t>Guarantee</w:t>
      </w:r>
      <w:r>
        <w:rPr>
          <w:spacing w:val="-9"/>
        </w:rPr>
        <w:t> </w:t>
      </w:r>
      <w:r>
        <w:rPr/>
        <w:t>given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actions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Agency</w:t>
      </w:r>
      <w:r>
        <w:rPr>
          <w:spacing w:val="-9"/>
        </w:rPr>
        <w:t> </w:t>
      </w:r>
      <w:r>
        <w:rPr/>
        <w:t>in</w:t>
      </w:r>
      <w:r>
        <w:rPr>
          <w:spacing w:val="-13"/>
        </w:rPr>
        <w:t> </w:t>
      </w:r>
      <w:r>
        <w:rPr/>
        <w:t>more</w:t>
      </w:r>
      <w:r>
        <w:rPr>
          <w:spacing w:val="-47"/>
        </w:rPr>
        <w:t> </w:t>
      </w:r>
      <w:r>
        <w:rPr/>
        <w:t>recent</w:t>
      </w:r>
      <w:r>
        <w:rPr>
          <w:spacing w:val="-2"/>
        </w:rPr>
        <w:t> </w:t>
      </w:r>
      <w:r>
        <w:rPr/>
        <w:t>times.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360" w:right="715"/>
        <w:jc w:val="both"/>
      </w:pPr>
      <w:r>
        <w:rPr/>
        <w:t>Whilst an avenue of complaint to the Commonwealth Ombudsman is available to aggrieved participants, this</w:t>
      </w:r>
      <w:r>
        <w:rPr>
          <w:spacing w:val="-47"/>
        </w:rPr>
        <w:t> </w:t>
      </w:r>
      <w:r>
        <w:rPr/>
        <w:t>places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burden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upholding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Participant</w:t>
      </w:r>
      <w:r>
        <w:rPr>
          <w:spacing w:val="-5"/>
        </w:rPr>
        <w:t> </w:t>
      </w:r>
      <w:r>
        <w:rPr/>
        <w:t>Service</w:t>
      </w:r>
      <w:r>
        <w:rPr>
          <w:spacing w:val="-4"/>
        </w:rPr>
        <w:t> </w:t>
      </w:r>
      <w:r>
        <w:rPr/>
        <w:t>Guarantee</w:t>
      </w:r>
      <w:r>
        <w:rPr>
          <w:spacing w:val="-5"/>
        </w:rPr>
        <w:t> </w:t>
      </w:r>
      <w:r>
        <w:rPr/>
        <w:t>onto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shoulders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disability</w:t>
      </w:r>
      <w:r>
        <w:rPr>
          <w:spacing w:val="-48"/>
        </w:rPr>
        <w:t> </w:t>
      </w:r>
      <w:r>
        <w:rPr/>
        <w:t>and their families and fails to provide the timely decision-making and certainty that the Participant Service</w:t>
      </w:r>
      <w:r>
        <w:rPr>
          <w:spacing w:val="1"/>
        </w:rPr>
        <w:t> </w:t>
      </w:r>
      <w:r>
        <w:rPr/>
        <w:t>Guarantee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meant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facilitate.</w:t>
      </w:r>
      <w:r>
        <w:rPr>
          <w:spacing w:val="1"/>
        </w:rPr>
        <w:t> </w:t>
      </w:r>
      <w:r>
        <w:rPr/>
        <w:t>Further,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assistance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navigate</w:t>
      </w:r>
      <w:r>
        <w:rPr>
          <w:spacing w:val="1"/>
        </w:rPr>
        <w:t> </w:t>
      </w:r>
      <w:r>
        <w:rPr/>
        <w:t>complaints processes, yet do not have informal support or access to advocacy to assist them through what is</w:t>
      </w:r>
      <w:r>
        <w:rPr>
          <w:spacing w:val="-47"/>
        </w:rPr>
        <w:t> </w:t>
      </w:r>
      <w:r>
        <w:rPr/>
        <w:t>typically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cumbersome</w:t>
      </w:r>
      <w:r>
        <w:rPr>
          <w:spacing w:val="-4"/>
        </w:rPr>
        <w:t> </w:t>
      </w:r>
      <w:r>
        <w:rPr/>
        <w:t>process.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aims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Participant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Guarantee</w:t>
      </w:r>
      <w:r>
        <w:rPr>
          <w:spacing w:val="-6"/>
        </w:rPr>
        <w:t> </w:t>
      </w:r>
      <w:r>
        <w:rPr/>
        <w:t>will</w:t>
      </w:r>
      <w:r>
        <w:rPr>
          <w:spacing w:val="-3"/>
        </w:rPr>
        <w:t> </w:t>
      </w:r>
      <w:r>
        <w:rPr/>
        <w:t>therefore</w:t>
      </w:r>
      <w:r>
        <w:rPr>
          <w:spacing w:val="-5"/>
        </w:rPr>
        <w:t> </w:t>
      </w:r>
      <w:r>
        <w:rPr/>
        <w:t>only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realised</w:t>
      </w:r>
      <w:r>
        <w:rPr>
          <w:spacing w:val="-48"/>
        </w:rPr>
        <w:t> </w:t>
      </w:r>
      <w:r>
        <w:rPr>
          <w:spacing w:val="-1"/>
        </w:rPr>
        <w:t>if</w:t>
      </w:r>
      <w:r>
        <w:rPr>
          <w:spacing w:val="-10"/>
        </w:rPr>
        <w:t> </w:t>
      </w:r>
      <w:r>
        <w:rPr>
          <w:spacing w:val="-1"/>
        </w:rPr>
        <w:t>it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1"/>
        </w:rPr>
        <w:t>accompanied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/>
        <w:t>an</w:t>
      </w:r>
      <w:r>
        <w:rPr>
          <w:spacing w:val="-13"/>
        </w:rPr>
        <w:t> </w:t>
      </w:r>
      <w:r>
        <w:rPr/>
        <w:t>injection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additional</w:t>
      </w:r>
      <w:r>
        <w:rPr>
          <w:spacing w:val="-12"/>
        </w:rPr>
        <w:t> </w:t>
      </w:r>
      <w:r>
        <w:rPr/>
        <w:t>resources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will</w:t>
      </w:r>
      <w:r>
        <w:rPr>
          <w:spacing w:val="-12"/>
        </w:rPr>
        <w:t> </w:t>
      </w:r>
      <w:r>
        <w:rPr/>
        <w:t>ensure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Agency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adequately</w:t>
      </w:r>
      <w:r>
        <w:rPr>
          <w:spacing w:val="-9"/>
        </w:rPr>
        <w:t> </w:t>
      </w:r>
      <w:r>
        <w:rPr/>
        <w:t>positioned</w:t>
      </w:r>
      <w:r>
        <w:rPr>
          <w:spacing w:val="-47"/>
        </w:rPr>
        <w:t> </w:t>
      </w:r>
      <w:r>
        <w:rPr/>
        <w:t>to</w:t>
      </w:r>
      <w:r>
        <w:rPr>
          <w:spacing w:val="-2"/>
        </w:rPr>
        <w:t> </w:t>
      </w:r>
      <w:r>
        <w:rPr/>
        <w:t>meet its</w:t>
      </w:r>
      <w:r>
        <w:rPr>
          <w:spacing w:val="-3"/>
        </w:rPr>
        <w:t> </w:t>
      </w:r>
      <w:r>
        <w:rPr/>
        <w:t>objectives. Without this,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feasibility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improved performance</w:t>
      </w:r>
      <w:r>
        <w:rPr>
          <w:spacing w:val="1"/>
        </w:rPr>
        <w:t> </w:t>
      </w:r>
      <w:r>
        <w:rPr/>
        <w:t>will</w:t>
      </w:r>
      <w:r>
        <w:rPr>
          <w:spacing w:val="-6"/>
        </w:rPr>
        <w:t> </w:t>
      </w:r>
      <w:r>
        <w:rPr/>
        <w:t>remain</w:t>
      </w:r>
      <w:r>
        <w:rPr>
          <w:spacing w:val="-4"/>
        </w:rPr>
        <w:t> </w:t>
      </w:r>
      <w:r>
        <w:rPr/>
        <w:t>elusive.</w:t>
      </w:r>
    </w:p>
    <w:p>
      <w:pPr>
        <w:spacing w:after="0" w:line="276" w:lineRule="auto"/>
        <w:jc w:val="both"/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2"/>
        <w:spacing w:before="44"/>
        <w:rPr>
          <w:i/>
        </w:rPr>
      </w:pPr>
      <w:r>
        <w:rPr>
          <w:i/>
          <w:color w:val="808080"/>
        </w:rPr>
        <w:t>Reasons</w:t>
      </w:r>
      <w:r>
        <w:rPr>
          <w:i/>
          <w:color w:val="808080"/>
          <w:spacing w:val="-4"/>
        </w:rPr>
        <w:t> </w:t>
      </w:r>
      <w:r>
        <w:rPr>
          <w:i/>
          <w:color w:val="808080"/>
        </w:rPr>
        <w:t>for</w:t>
      </w:r>
      <w:r>
        <w:rPr>
          <w:i/>
          <w:color w:val="808080"/>
          <w:spacing w:val="-2"/>
        </w:rPr>
        <w:t> </w:t>
      </w:r>
      <w:r>
        <w:rPr>
          <w:i/>
          <w:color w:val="808080"/>
        </w:rPr>
        <w:t>decisions</w:t>
      </w:r>
    </w:p>
    <w:p>
      <w:pPr>
        <w:pStyle w:val="BodyText"/>
        <w:spacing w:line="276" w:lineRule="auto" w:before="49"/>
        <w:ind w:left="360" w:right="713"/>
        <w:jc w:val="both"/>
      </w:pPr>
      <w:r>
        <w:rPr/>
        <w:t>QAI welcomes the amendment that makes it mandatory for the Agency to provide written reasons for any</w:t>
      </w:r>
      <w:r>
        <w:rPr>
          <w:spacing w:val="1"/>
        </w:rPr>
        <w:t> </w:t>
      </w:r>
      <w:r>
        <w:rPr>
          <w:spacing w:val="-1"/>
        </w:rPr>
        <w:t>reviewable</w:t>
      </w:r>
      <w:r>
        <w:rPr>
          <w:spacing w:val="-10"/>
        </w:rPr>
        <w:t> </w:t>
      </w:r>
      <w:r>
        <w:rPr>
          <w:spacing w:val="-1"/>
        </w:rPr>
        <w:t>decision</w:t>
      </w:r>
      <w:r>
        <w:rPr>
          <w:spacing w:val="-10"/>
        </w:rPr>
        <w:t> </w:t>
      </w:r>
      <w:r>
        <w:rPr>
          <w:spacing w:val="-1"/>
        </w:rPr>
        <w:t>made</w:t>
      </w:r>
      <w:r>
        <w:rPr>
          <w:spacing w:val="-11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Agency.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responds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overwhelming</w:t>
      </w:r>
      <w:r>
        <w:rPr>
          <w:spacing w:val="-11"/>
        </w:rPr>
        <w:t> </w:t>
      </w:r>
      <w:r>
        <w:rPr/>
        <w:t>feedback</w:t>
      </w:r>
      <w:r>
        <w:rPr>
          <w:spacing w:val="-6"/>
        </w:rPr>
        <w:t> </w:t>
      </w:r>
      <w:r>
        <w:rPr/>
        <w:t>from</w:t>
      </w:r>
      <w:r>
        <w:rPr>
          <w:spacing w:val="-4"/>
        </w:rPr>
        <w:t> </w:t>
      </w:r>
      <w:r>
        <w:rPr/>
        <w:t>people</w:t>
      </w:r>
      <w:r>
        <w:rPr>
          <w:spacing w:val="-13"/>
        </w:rPr>
        <w:t> </w:t>
      </w:r>
      <w:r>
        <w:rPr/>
        <w:t>with</w:t>
      </w:r>
      <w:r>
        <w:rPr>
          <w:spacing w:val="-7"/>
        </w:rPr>
        <w:t> </w:t>
      </w:r>
      <w:r>
        <w:rPr/>
        <w:t>disability</w:t>
      </w:r>
      <w:r>
        <w:rPr>
          <w:spacing w:val="-47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transparency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Agency’s</w:t>
      </w:r>
      <w:r>
        <w:rPr>
          <w:spacing w:val="1"/>
        </w:rPr>
        <w:t> </w:t>
      </w:r>
      <w:r>
        <w:rPr/>
        <w:t>decision-making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reflects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recommendation in the Tune Review which said providing participants with an explanation of a decision</w:t>
      </w:r>
      <w:r>
        <w:rPr>
          <w:spacing w:val="1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 a</w:t>
      </w:r>
      <w:r>
        <w:rPr>
          <w:spacing w:val="-2"/>
        </w:rPr>
        <w:t> </w:t>
      </w:r>
      <w:r>
        <w:rPr/>
        <w:t>‘</w:t>
      </w:r>
      <w:r>
        <w:rPr>
          <w:i/>
        </w:rPr>
        <w:t>routine</w:t>
      </w:r>
      <w:r>
        <w:rPr>
          <w:i/>
          <w:spacing w:val="-3"/>
        </w:rPr>
        <w:t> </w:t>
      </w:r>
      <w:r>
        <w:rPr>
          <w:i/>
        </w:rPr>
        <w:t>operational process for the</w:t>
      </w:r>
      <w:r>
        <w:rPr>
          <w:i/>
          <w:spacing w:val="-3"/>
        </w:rPr>
        <w:t> </w:t>
      </w:r>
      <w:r>
        <w:rPr>
          <w:i/>
        </w:rPr>
        <w:t>NDIA</w:t>
      </w:r>
      <w:r>
        <w:rPr/>
        <w:t>.’</w:t>
      </w:r>
      <w:r>
        <w:rPr>
          <w:vertAlign w:val="superscript"/>
        </w:rPr>
        <w:t>3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60" w:right="712"/>
        <w:jc w:val="both"/>
      </w:pPr>
      <w:r>
        <w:rPr/>
        <w:t>However, QAI has concerns regarding the quality of reasons that are and will be provided which at times, can</w:t>
      </w:r>
      <w:r>
        <w:rPr>
          <w:spacing w:val="-48"/>
        </w:rPr>
        <w:t> </w:t>
      </w:r>
      <w:r>
        <w:rPr/>
        <w:t>be very poor. Quoting sections of the legislation verbatim and in isolation of personalised information is not</w:t>
      </w:r>
      <w:r>
        <w:rPr>
          <w:spacing w:val="1"/>
        </w:rPr>
        <w:t> </w:t>
      </w:r>
      <w:r>
        <w:rPr/>
        <w:t>helpful nor adequate. A prospective participant deemed not to have met access receives a template letter</w:t>
      </w:r>
      <w:r>
        <w:rPr>
          <w:spacing w:val="1"/>
        </w:rPr>
        <w:t> </w:t>
      </w:r>
      <w:r>
        <w:rPr/>
        <w:t>which has no personalised information as to why they did not meet access and often includes mistakes.</w:t>
      </w:r>
      <w:r>
        <w:rPr>
          <w:spacing w:val="1"/>
        </w:rPr>
        <w:t> </w:t>
      </w:r>
      <w:r>
        <w:rPr/>
        <w:t>Internal Review Outcome Decision Letters can also be unclear and fail to provide adequate information as to</w:t>
      </w:r>
      <w:r>
        <w:rPr>
          <w:spacing w:val="1"/>
        </w:rPr>
        <w:t> </w:t>
      </w:r>
      <w:r>
        <w:rPr/>
        <w:t>why certain supports have been refused for a particular individual. A client of QAI recently received the</w:t>
      </w:r>
      <w:r>
        <w:rPr>
          <w:spacing w:val="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correspondence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Agency:</w:t>
      </w:r>
    </w:p>
    <w:p>
      <w:pPr>
        <w:pStyle w:val="BodyText"/>
        <w:spacing w:before="3"/>
        <w:rPr>
          <w:sz w:val="25"/>
        </w:rPr>
      </w:pPr>
    </w:p>
    <w:p>
      <w:pPr>
        <w:spacing w:line="276" w:lineRule="auto" w:before="0"/>
        <w:ind w:left="643" w:right="956" w:firstLine="0"/>
        <w:jc w:val="both"/>
        <w:rPr>
          <w:i/>
          <w:sz w:val="22"/>
        </w:rPr>
      </w:pPr>
      <w:r>
        <w:rPr>
          <w:i/>
          <w:sz w:val="22"/>
        </w:rPr>
        <w:t>“Evidence provided (item 4) confirms that you require support with domestic, self-care, daily and social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activities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improve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health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result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immobility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(wheelchair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bound),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chronic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obesity.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related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disability.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Hence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providing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additional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funding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meet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rule.</w:t>
      </w:r>
      <w:r>
        <w:rPr>
          <w:i/>
          <w:spacing w:val="-48"/>
          <w:sz w:val="22"/>
        </w:rPr>
        <w:t> </w:t>
      </w:r>
      <w:r>
        <w:rPr>
          <w:i/>
          <w:spacing w:val="-1"/>
          <w:sz w:val="22"/>
        </w:rPr>
        <w:t>Because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Rule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5.1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prevents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pacing w:val="-1"/>
          <w:sz w:val="22"/>
        </w:rPr>
        <w:t>NDIS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funding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support,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considered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whether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support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meets 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reasonable 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necessary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criteria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Section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34 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NDIS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Act."</w:t>
      </w:r>
    </w:p>
    <w:p>
      <w:pPr>
        <w:pStyle w:val="BodyText"/>
        <w:spacing w:before="4"/>
        <w:rPr>
          <w:i/>
          <w:sz w:val="25"/>
        </w:rPr>
      </w:pPr>
    </w:p>
    <w:p>
      <w:pPr>
        <w:pStyle w:val="BodyText"/>
        <w:spacing w:line="276" w:lineRule="auto"/>
        <w:ind w:left="360" w:right="715"/>
        <w:jc w:val="both"/>
      </w:pPr>
      <w:r>
        <w:rPr/>
        <w:t>For a client who is wheelchair bound with significant and complex impairments, this paragraph is completely</w:t>
      </w:r>
      <w:r>
        <w:rPr>
          <w:spacing w:val="1"/>
        </w:rPr>
        <w:t> </w:t>
      </w:r>
      <w:r>
        <w:rPr/>
        <w:t>inadequate. In this case, the client was left without any</w:t>
      </w:r>
      <w:r>
        <w:rPr>
          <w:spacing w:val="1"/>
        </w:rPr>
        <w:t> </w:t>
      </w:r>
      <w:r>
        <w:rPr/>
        <w:t>formal supports and was unable to</w:t>
      </w:r>
      <w:r>
        <w:rPr>
          <w:spacing w:val="1"/>
        </w:rPr>
        <w:t> </w:t>
      </w:r>
      <w:r>
        <w:rPr/>
        <w:t>carry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self-care</w:t>
      </w:r>
      <w:r>
        <w:rPr>
          <w:spacing w:val="-3"/>
        </w:rPr>
        <w:t> </w:t>
      </w:r>
      <w:r>
        <w:rPr/>
        <w:t>tasks for</w:t>
      </w:r>
      <w:r>
        <w:rPr>
          <w:spacing w:val="-1"/>
        </w:rPr>
        <w:t> </w:t>
      </w:r>
      <w:r>
        <w:rPr/>
        <w:t>a period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several</w:t>
      </w:r>
      <w:r>
        <w:rPr>
          <w:spacing w:val="-3"/>
        </w:rPr>
        <w:t> </w:t>
      </w:r>
      <w:r>
        <w:rPr/>
        <w:t>months;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ongoing.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360" w:right="713"/>
        <w:jc w:val="both"/>
      </w:pPr>
      <w:r>
        <w:rPr/>
        <w:t>Reasons for decisions must therefore be of sufficient quality and must provide meaningful information that</w:t>
      </w:r>
      <w:r>
        <w:rPr>
          <w:spacing w:val="1"/>
        </w:rPr>
        <w:t> </w:t>
      </w:r>
      <w:r>
        <w:rPr/>
        <w:t>meets a certain standard, such as providing an explanation as to why the person did not meet a certain</w:t>
      </w:r>
      <w:r>
        <w:rPr>
          <w:spacing w:val="1"/>
        </w:rPr>
        <w:t> </w:t>
      </w:r>
      <w:r>
        <w:rPr/>
        <w:t>criterion, including suggestions for information that may assist in changing the decision and ensuring all</w:t>
      </w:r>
      <w:r>
        <w:rPr>
          <w:spacing w:val="1"/>
        </w:rPr>
        <w:t> </w:t>
      </w:r>
      <w:r>
        <w:rPr/>
        <w:t>correspondence is in writing and not just hearsay. The participant must at the very least, be told that the</w:t>
      </w:r>
      <w:r>
        <w:rPr>
          <w:spacing w:val="1"/>
        </w:rPr>
        <w:t> </w:t>
      </w:r>
      <w:r>
        <w:rPr/>
        <w:t>delegate has had regard to all available evidence. As per section 25D of the </w:t>
      </w:r>
      <w:r>
        <w:rPr>
          <w:i/>
        </w:rPr>
        <w:t>Acts Interpretation Act 1901</w:t>
      </w:r>
      <w:r>
        <w:rPr/>
        <w:t>,</w:t>
      </w:r>
      <w:r>
        <w:rPr>
          <w:spacing w:val="1"/>
        </w:rPr>
        <w:t> </w:t>
      </w:r>
      <w:r>
        <w:rPr/>
        <w:t>‘where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making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give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reasons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decision…the instrument giving the reasons shall also set out the findings on material questions of fact and</w:t>
      </w:r>
      <w:r>
        <w:rPr>
          <w:spacing w:val="1"/>
        </w:rPr>
        <w:t> </w:t>
      </w:r>
      <w:r>
        <w:rPr/>
        <w:t>refer to the evidence or other material on which those findings were based.’</w:t>
      </w:r>
      <w:r>
        <w:rPr>
          <w:vertAlign w:val="superscript"/>
        </w:rPr>
        <w:t>4</w:t>
      </w:r>
      <w:r>
        <w:rPr>
          <w:vertAlign w:val="baseline"/>
        </w:rPr>
        <w:t> This could help reduce the</w:t>
      </w:r>
      <w:r>
        <w:rPr>
          <w:spacing w:val="1"/>
          <w:vertAlign w:val="baseline"/>
        </w:rPr>
        <w:t> </w:t>
      </w:r>
      <w:r>
        <w:rPr>
          <w:vertAlign w:val="baseline"/>
        </w:rPr>
        <w:t>number of reviews that are pursued and the substantial funding that is allocated to the Agency’s legal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representation costs at the AAT as a result. Guidance as to the quality of reasons provided should therefore</w:t>
      </w:r>
      <w:r>
        <w:rPr>
          <w:spacing w:val="1"/>
          <w:vertAlign w:val="baseline"/>
        </w:rPr>
        <w:t> </w:t>
      </w:r>
      <w:r>
        <w:rPr>
          <w:vertAlign w:val="baseline"/>
        </w:rPr>
        <w:t>be provided within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 new</w:t>
      </w:r>
      <w:r>
        <w:rPr>
          <w:spacing w:val="1"/>
          <w:vertAlign w:val="baseline"/>
        </w:rPr>
        <w:t> </w:t>
      </w:r>
      <w:r>
        <w:rPr>
          <w:vertAlign w:val="baseline"/>
        </w:rPr>
        <w:t>Category C</w:t>
      </w:r>
      <w:r>
        <w:rPr>
          <w:spacing w:val="-3"/>
          <w:vertAlign w:val="baseline"/>
        </w:rPr>
        <w:t> </w:t>
      </w:r>
      <w:r>
        <w:rPr>
          <w:vertAlign w:val="baseline"/>
        </w:rPr>
        <w:t>Rules</w:t>
      </w:r>
      <w:r>
        <w:rPr>
          <w:spacing w:val="-1"/>
          <w:vertAlign w:val="baseline"/>
        </w:rPr>
        <w:t> </w:t>
      </w:r>
      <w:r>
        <w:rPr>
          <w:vertAlign w:val="baseline"/>
        </w:rPr>
        <w:t>which</w:t>
      </w:r>
      <w:r>
        <w:rPr>
          <w:spacing w:val="-1"/>
          <w:vertAlign w:val="baseline"/>
        </w:rPr>
        <w:t> </w:t>
      </w:r>
      <w:r>
        <w:rPr>
          <w:vertAlign w:val="baseline"/>
        </w:rPr>
        <w:t>give</w:t>
      </w:r>
      <w:r>
        <w:rPr>
          <w:spacing w:val="-2"/>
          <w:vertAlign w:val="baseline"/>
        </w:rPr>
        <w:t> </w:t>
      </w:r>
      <w:r>
        <w:rPr>
          <w:vertAlign w:val="baseline"/>
        </w:rPr>
        <w:t>effect to</w:t>
      </w:r>
      <w:r>
        <w:rPr>
          <w:spacing w:val="1"/>
          <w:vertAlign w:val="baseline"/>
        </w:rPr>
        <w:t> </w:t>
      </w:r>
      <w:r>
        <w:rPr>
          <w:vertAlign w:val="baseline"/>
        </w:rPr>
        <w:t>the Guarantee.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rPr>
          <w:i/>
        </w:rPr>
      </w:pPr>
      <w:r>
        <w:rPr>
          <w:i/>
          <w:color w:val="808080"/>
        </w:rPr>
        <w:t>Draft</w:t>
      </w:r>
      <w:r>
        <w:rPr>
          <w:i/>
          <w:color w:val="808080"/>
          <w:spacing w:val="-4"/>
        </w:rPr>
        <w:t> </w:t>
      </w:r>
      <w:r>
        <w:rPr>
          <w:i/>
          <w:color w:val="808080"/>
        </w:rPr>
        <w:t>plans</w:t>
      </w:r>
    </w:p>
    <w:p>
      <w:pPr>
        <w:pStyle w:val="BodyText"/>
        <w:spacing w:line="276" w:lineRule="auto" w:before="47"/>
        <w:ind w:left="360" w:right="713"/>
        <w:jc w:val="both"/>
      </w:pPr>
      <w:r>
        <w:rPr/>
        <w:t>Similarly,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considers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participants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draft</w:t>
      </w:r>
      <w:r>
        <w:rPr>
          <w:spacing w:val="1"/>
        </w:rPr>
        <w:t> </w:t>
      </w:r>
      <w:r>
        <w:rPr/>
        <w:t>plan.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recent</w:t>
      </w:r>
      <w:r>
        <w:rPr>
          <w:spacing w:val="1"/>
        </w:rPr>
        <w:t> </w:t>
      </w:r>
      <w:r>
        <w:rPr/>
        <w:t>consultation by the Department of Social Services released draft Participant Service Guarantee Rules that</w:t>
      </w:r>
      <w:r>
        <w:rPr>
          <w:spacing w:val="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participants to</w:t>
      </w:r>
      <w:r>
        <w:rPr>
          <w:spacing w:val="-1"/>
        </w:rPr>
        <w:t> </w:t>
      </w:r>
      <w:r>
        <w:rPr>
          <w:i/>
        </w:rPr>
        <w:t>request</w:t>
      </w:r>
      <w:r>
        <w:rPr>
          <w:i/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draft</w:t>
      </w:r>
      <w:r>
        <w:rPr>
          <w:spacing w:val="-4"/>
        </w:rPr>
        <w:t> </w:t>
      </w:r>
      <w:r>
        <w:rPr/>
        <w:t>plan. The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Bill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reference this</w:t>
      </w:r>
      <w:r>
        <w:rPr>
          <w:spacing w:val="-4"/>
        </w:rPr>
        <w:t> </w:t>
      </w:r>
      <w:r>
        <w:rPr/>
        <w:t>right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thus</w:t>
      </w:r>
    </w:p>
    <w:p>
      <w:pPr>
        <w:pStyle w:val="BodyText"/>
        <w:spacing w:before="2"/>
        <w:rPr>
          <w:sz w:val="27"/>
        </w:rPr>
      </w:pPr>
      <w:r>
        <w:rPr/>
        <w:pict>
          <v:rect style="position:absolute;margin-left:54pt;margin-top:17.785908pt;width:144.050pt;height:.72003pt;mso-position-horizontal-relative:page;mso-position-vertical-relative:paragraph;z-index:-15725568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Ibid,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at 3.59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on page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52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Acts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Interpretation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Act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1901 </w:t>
      </w:r>
      <w:r>
        <w:rPr>
          <w:sz w:val="20"/>
          <w:vertAlign w:val="baseline"/>
        </w:rPr>
        <w:t>(Cth),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section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25D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6"/>
        <w:jc w:val="both"/>
      </w:pPr>
      <w:r>
        <w:rPr/>
        <w:t>it remains unclear whether this will be included in the new Category C Rules which will give effect to the</w:t>
      </w:r>
      <w:r>
        <w:rPr>
          <w:spacing w:val="1"/>
        </w:rPr>
        <w:t> </w:t>
      </w:r>
      <w:r>
        <w:rPr/>
        <w:t>Guarantee.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360" w:right="712" w:firstLine="0"/>
        <w:jc w:val="both"/>
        <w:rPr>
          <w:sz w:val="22"/>
        </w:rPr>
      </w:pPr>
      <w:r>
        <w:rPr>
          <w:sz w:val="22"/>
        </w:rPr>
        <w:t>In relation to draft plans, the Tune Review stated that </w:t>
      </w:r>
      <w:r>
        <w:rPr>
          <w:i/>
          <w:sz w:val="22"/>
        </w:rPr>
        <w:t>‘the provision of a whole draft plan is an important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mechanism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ensure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decision-making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processes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transparent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keeping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participant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centre</w:t>
      </w:r>
      <w:r>
        <w:rPr>
          <w:i/>
          <w:spacing w:val="-48"/>
          <w:sz w:val="22"/>
        </w:rPr>
        <w:t> </w:t>
      </w:r>
      <w:r>
        <w:rPr>
          <w:i/>
          <w:sz w:val="22"/>
        </w:rPr>
        <w:t>of the planning process</w:t>
      </w:r>
      <w:r>
        <w:rPr>
          <w:sz w:val="22"/>
        </w:rPr>
        <w:t>.’</w:t>
      </w: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There is no plausible reason as to why a draft plan should not be provided to all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participants, and indeed was included as a measure in previous reforms proposed by the Agency earlier 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2021.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complexity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scheme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reality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people’s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lives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are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-1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not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all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participants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will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aware</w:t>
      </w:r>
      <w:r>
        <w:rPr>
          <w:spacing w:val="-47"/>
          <w:sz w:val="22"/>
          <w:vertAlign w:val="baseline"/>
        </w:rPr>
        <w:t> </w:t>
      </w:r>
      <w:r>
        <w:rPr>
          <w:sz w:val="22"/>
          <w:vertAlign w:val="baseline"/>
        </w:rPr>
        <w:t>of their right to request a draft plan, let alone feel sufficiently empowered to action it given the inescapable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power imbalance that exists between participants and the Agency, therefore they should be provided as 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matter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 routine.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360" w:right="714"/>
        <w:jc w:val="both"/>
      </w:pP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provision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draft</w:t>
      </w:r>
      <w:r>
        <w:rPr>
          <w:spacing w:val="-12"/>
        </w:rPr>
        <w:t> </w:t>
      </w:r>
      <w:r>
        <w:rPr/>
        <w:t>plan</w:t>
      </w:r>
      <w:r>
        <w:rPr>
          <w:spacing w:val="-13"/>
        </w:rPr>
        <w:t> </w:t>
      </w:r>
      <w:r>
        <w:rPr/>
        <w:t>will</w:t>
      </w:r>
      <w:r>
        <w:rPr>
          <w:spacing w:val="-11"/>
        </w:rPr>
        <w:t> </w:t>
      </w:r>
      <w:r>
        <w:rPr/>
        <w:t>help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reduce</w:t>
      </w:r>
      <w:r>
        <w:rPr>
          <w:spacing w:val="-11"/>
        </w:rPr>
        <w:t> </w:t>
      </w:r>
      <w:r>
        <w:rPr/>
        <w:t>confusion,</w:t>
      </w:r>
      <w:r>
        <w:rPr>
          <w:spacing w:val="-12"/>
        </w:rPr>
        <w:t> </w:t>
      </w:r>
      <w:r>
        <w:rPr/>
        <w:t>improve</w:t>
      </w:r>
      <w:r>
        <w:rPr>
          <w:spacing w:val="-11"/>
        </w:rPr>
        <w:t> </w:t>
      </w:r>
      <w:r>
        <w:rPr/>
        <w:t>communication,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increase</w:t>
      </w:r>
      <w:r>
        <w:rPr>
          <w:spacing w:val="-11"/>
        </w:rPr>
        <w:t> </w:t>
      </w:r>
      <w:r>
        <w:rPr/>
        <w:t>transparency</w:t>
      </w:r>
      <w:r>
        <w:rPr>
          <w:spacing w:val="-48"/>
        </w:rPr>
        <w:t> </w:t>
      </w:r>
      <w:r>
        <w:rPr/>
        <w:t>of decision-making, particularly given that many participants complete a planning meeting with a Local Area</w:t>
      </w:r>
      <w:r>
        <w:rPr>
          <w:spacing w:val="1"/>
        </w:rPr>
        <w:t> </w:t>
      </w:r>
      <w:r>
        <w:rPr/>
        <w:t>Coordinator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opposed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delegate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Agency,</w:t>
      </w:r>
      <w:r>
        <w:rPr>
          <w:spacing w:val="-4"/>
        </w:rPr>
        <w:t> </w:t>
      </w:r>
      <w:r>
        <w:rPr/>
        <w:t>increasing</w:t>
      </w:r>
      <w:r>
        <w:rPr>
          <w:spacing w:val="-2"/>
        </w:rPr>
        <w:t> </w:t>
      </w:r>
      <w:r>
        <w:rPr/>
        <w:t>the number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people</w:t>
      </w:r>
      <w:r>
        <w:rPr>
          <w:spacing w:val="-4"/>
        </w:rPr>
        <w:t> </w:t>
      </w:r>
      <w:r>
        <w:rPr/>
        <w:t>involved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therefore</w:t>
      </w:r>
      <w:r>
        <w:rPr>
          <w:spacing w:val="-48"/>
        </w:rPr>
        <w:t> </w:t>
      </w:r>
      <w:r>
        <w:rPr/>
        <w:t>opportunities for miscommunication. It may also result in a reduction to the number of internal reviews</w:t>
      </w:r>
      <w:r>
        <w:rPr>
          <w:spacing w:val="1"/>
        </w:rPr>
        <w:t> </w:t>
      </w:r>
      <w:r>
        <w:rPr/>
        <w:t>initiated by participants who receive plans that are markedly different to what was discussed at the planning</w:t>
      </w:r>
      <w:r>
        <w:rPr>
          <w:spacing w:val="-47"/>
        </w:rPr>
        <w:t> </w:t>
      </w:r>
      <w:r>
        <w:rPr/>
        <w:t>meeting. Further, it would provide an opportunity for the participant to provide additional, outstanding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-13"/>
        </w:rPr>
        <w:t> </w:t>
      </w:r>
      <w:r>
        <w:rPr>
          <w:spacing w:val="-1"/>
        </w:rPr>
        <w:t>so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they</w:t>
      </w:r>
      <w:r>
        <w:rPr>
          <w:spacing w:val="-10"/>
        </w:rPr>
        <w:t> </w:t>
      </w:r>
      <w:r>
        <w:rPr>
          <w:spacing w:val="-1"/>
        </w:rPr>
        <w:t>can</w:t>
      </w:r>
      <w:r>
        <w:rPr>
          <w:spacing w:val="-10"/>
        </w:rPr>
        <w:t> </w:t>
      </w:r>
      <w:r>
        <w:rPr>
          <w:spacing w:val="-1"/>
        </w:rPr>
        <w:t>receive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supports</w:t>
      </w:r>
      <w:r>
        <w:rPr>
          <w:spacing w:val="-11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they</w:t>
      </w:r>
      <w:r>
        <w:rPr>
          <w:spacing w:val="-11"/>
        </w:rPr>
        <w:t> </w:t>
      </w:r>
      <w:r>
        <w:rPr/>
        <w:t>need.</w:t>
      </w:r>
      <w:r>
        <w:rPr>
          <w:spacing w:val="-10"/>
        </w:rPr>
        <w:t> </w:t>
      </w:r>
      <w:r>
        <w:rPr/>
        <w:t>It</w:t>
      </w:r>
      <w:r>
        <w:rPr>
          <w:spacing w:val="-11"/>
        </w:rPr>
        <w:t> </w:t>
      </w:r>
      <w:r>
        <w:rPr/>
        <w:t>would</w:t>
      </w:r>
      <w:r>
        <w:rPr>
          <w:spacing w:val="-13"/>
        </w:rPr>
        <w:t> </w:t>
      </w:r>
      <w:r>
        <w:rPr/>
        <w:t>also</w:t>
      </w:r>
      <w:r>
        <w:rPr>
          <w:spacing w:val="-10"/>
        </w:rPr>
        <w:t> </w:t>
      </w:r>
      <w:r>
        <w:rPr/>
        <w:t>help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reserve</w:t>
      </w:r>
      <w:r>
        <w:rPr>
          <w:spacing w:val="-11"/>
        </w:rPr>
        <w:t> </w:t>
      </w:r>
      <w:r>
        <w:rPr/>
        <w:t>scarce</w:t>
      </w:r>
      <w:r>
        <w:rPr>
          <w:spacing w:val="-9"/>
        </w:rPr>
        <w:t> </w:t>
      </w:r>
      <w:r>
        <w:rPr/>
        <w:t>advocacy</w:t>
      </w:r>
      <w:r>
        <w:rPr>
          <w:spacing w:val="-47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for more complex</w:t>
      </w:r>
      <w:r>
        <w:rPr>
          <w:spacing w:val="1"/>
        </w:rPr>
        <w:t> </w:t>
      </w:r>
      <w:r>
        <w:rPr/>
        <w:t>situations as opposed to scenarios that</w:t>
      </w:r>
      <w:r>
        <w:rPr>
          <w:spacing w:val="1"/>
        </w:rPr>
        <w:t> </w:t>
      </w:r>
      <w:r>
        <w:rPr/>
        <w:t>have manifested</w:t>
      </w:r>
      <w:r>
        <w:rPr>
          <w:spacing w:val="1"/>
        </w:rPr>
        <w:t> </w:t>
      </w:r>
      <w:r>
        <w:rPr/>
        <w:t>because of poor</w:t>
      </w:r>
      <w:r>
        <w:rPr>
          <w:spacing w:val="1"/>
        </w:rPr>
        <w:t> </w:t>
      </w:r>
      <w:r>
        <w:rPr/>
        <w:t>communication.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360" w:right="714" w:firstLine="0"/>
        <w:jc w:val="both"/>
        <w:rPr>
          <w:sz w:val="22"/>
        </w:rPr>
      </w:pPr>
      <w:r>
        <w:rPr>
          <w:sz w:val="22"/>
        </w:rPr>
        <w:t>QAI therefore considers this to be a vital amendment that should be included within the Bill. To refrain from</w:t>
      </w:r>
      <w:r>
        <w:rPr>
          <w:spacing w:val="1"/>
          <w:sz w:val="22"/>
        </w:rPr>
        <w:t> </w:t>
      </w:r>
      <w:r>
        <w:rPr>
          <w:sz w:val="22"/>
        </w:rPr>
        <w:t>including it misses a key opportunity to add momentum to the cultural change within the Agency that is</w:t>
      </w:r>
      <w:r>
        <w:rPr>
          <w:spacing w:val="1"/>
          <w:sz w:val="22"/>
        </w:rPr>
        <w:t> </w:t>
      </w:r>
      <w:r>
        <w:rPr>
          <w:sz w:val="22"/>
        </w:rPr>
        <w:t>required if the engagement principles of the Participant Service Guarantee are to be realised in day-to-day</w:t>
      </w:r>
      <w:r>
        <w:rPr>
          <w:spacing w:val="1"/>
          <w:sz w:val="22"/>
        </w:rPr>
        <w:t> </w:t>
      </w:r>
      <w:r>
        <w:rPr>
          <w:sz w:val="22"/>
        </w:rPr>
        <w:t>practice. That is, that the Agency will ‘</w:t>
      </w:r>
      <w:r>
        <w:rPr>
          <w:i/>
          <w:sz w:val="22"/>
        </w:rPr>
        <w:t>keep participants and prospective participants informed about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progress of decision-making processes under the Act that affect them’, </w:t>
      </w:r>
      <w:r>
        <w:rPr>
          <w:sz w:val="22"/>
        </w:rPr>
        <w:t>as promised under the transparency</w:t>
      </w:r>
      <w:r>
        <w:rPr>
          <w:spacing w:val="1"/>
          <w:sz w:val="22"/>
        </w:rPr>
        <w:t> </w:t>
      </w:r>
      <w:r>
        <w:rPr>
          <w:sz w:val="22"/>
        </w:rPr>
        <w:t>service standard</w:t>
      </w:r>
      <w:r>
        <w:rPr>
          <w:spacing w:val="-1"/>
          <w:sz w:val="22"/>
        </w:rPr>
        <w:t> </w:t>
      </w:r>
      <w:r>
        <w:rPr>
          <w:sz w:val="22"/>
        </w:rPr>
        <w:t>in the</w:t>
      </w:r>
      <w:r>
        <w:rPr>
          <w:spacing w:val="-2"/>
          <w:sz w:val="22"/>
        </w:rPr>
        <w:t> </w:t>
      </w:r>
      <w:r>
        <w:rPr>
          <w:sz w:val="22"/>
        </w:rPr>
        <w:t>Participant Service</w:t>
      </w:r>
      <w:r>
        <w:rPr>
          <w:spacing w:val="1"/>
          <w:sz w:val="22"/>
        </w:rPr>
        <w:t> </w:t>
      </w:r>
      <w:r>
        <w:rPr>
          <w:sz w:val="22"/>
        </w:rPr>
        <w:t>Guarantee.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rPr>
          <w:i/>
        </w:rPr>
      </w:pPr>
      <w:r>
        <w:rPr>
          <w:i/>
          <w:color w:val="808080"/>
        </w:rPr>
        <w:t>Commonwealth</w:t>
      </w:r>
      <w:r>
        <w:rPr>
          <w:i/>
          <w:color w:val="808080"/>
          <w:spacing w:val="-4"/>
        </w:rPr>
        <w:t> </w:t>
      </w:r>
      <w:r>
        <w:rPr>
          <w:i/>
          <w:color w:val="808080"/>
        </w:rPr>
        <w:t>Ombudsman</w:t>
      </w:r>
    </w:p>
    <w:p>
      <w:pPr>
        <w:pStyle w:val="BodyText"/>
        <w:spacing w:line="276" w:lineRule="auto" w:before="49"/>
        <w:ind w:left="360" w:right="712"/>
        <w:jc w:val="both"/>
      </w:pPr>
      <w:r>
        <w:rPr/>
        <w:t>The Commonwealth Ombudsman’s role in monitoring the Agency’s compliance with the Participant Service</w:t>
      </w:r>
      <w:r>
        <w:rPr>
          <w:spacing w:val="1"/>
        </w:rPr>
        <w:t> </w:t>
      </w:r>
      <w:r>
        <w:rPr/>
        <w:t>Guarantee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Commonwealth</w:t>
      </w:r>
      <w:r>
        <w:rPr>
          <w:spacing w:val="-3"/>
        </w:rPr>
        <w:t> </w:t>
      </w:r>
      <w:r>
        <w:rPr/>
        <w:t>Ombudsman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initiate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/>
        <w:t>motion</w:t>
      </w:r>
      <w:r>
        <w:rPr>
          <w:spacing w:val="-47"/>
        </w:rPr>
        <w:t> </w:t>
      </w:r>
      <w:r>
        <w:rPr/>
        <w:t>investigations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systemic issues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identified,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 welcome</w:t>
      </w:r>
      <w:r>
        <w:rPr>
          <w:spacing w:val="-1"/>
        </w:rPr>
        <w:t> </w:t>
      </w:r>
      <w:r>
        <w:rPr/>
        <w:t>safeguard.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360"/>
      </w:pPr>
      <w:r>
        <w:rPr/>
        <w:t>However,</w:t>
      </w:r>
      <w:r>
        <w:rPr>
          <w:spacing w:val="-1"/>
        </w:rPr>
        <w:t> </w:t>
      </w:r>
      <w:r>
        <w:rPr/>
        <w:t>QAI</w:t>
      </w:r>
      <w:r>
        <w:rPr>
          <w:spacing w:val="-3"/>
        </w:rPr>
        <w:t> </w:t>
      </w:r>
      <w:r>
        <w:rPr/>
        <w:t>recommends 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Commonwealth</w:t>
      </w:r>
      <w:r>
        <w:rPr>
          <w:spacing w:val="-3"/>
        </w:rPr>
        <w:t> </w:t>
      </w:r>
      <w:r>
        <w:rPr/>
        <w:t>Ombudsman’s</w:t>
      </w:r>
      <w:r>
        <w:rPr>
          <w:spacing w:val="-2"/>
        </w:rPr>
        <w:t> </w:t>
      </w:r>
      <w:r>
        <w:rPr/>
        <w:t>report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Minister: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  <w:tab w:pos="1131" w:val="left" w:leader="none"/>
        </w:tabs>
        <w:spacing w:line="276" w:lineRule="auto" w:before="39" w:after="0"/>
        <w:ind w:left="1130" w:right="1195" w:hanging="360"/>
        <w:jc w:val="left"/>
        <w:rPr>
          <w:sz w:val="22"/>
        </w:rPr>
      </w:pPr>
      <w:r>
        <w:rPr>
          <w:sz w:val="22"/>
        </w:rPr>
        <w:t>includes the number and type of investigations conducted by the Commonwealth Ombudsman</w:t>
      </w:r>
      <w:r>
        <w:rPr>
          <w:spacing w:val="-47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year,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1130" w:val="left" w:leader="none"/>
          <w:tab w:pos="1131" w:val="left" w:leader="none"/>
        </w:tabs>
        <w:spacing w:line="240" w:lineRule="auto" w:before="1" w:after="0"/>
        <w:ind w:left="1130" w:right="0" w:hanging="361"/>
        <w:jc w:val="left"/>
        <w:rPr>
          <w:sz w:val="22"/>
        </w:rPr>
      </w:pPr>
      <w:r>
        <w:rPr>
          <w:sz w:val="22"/>
        </w:rPr>
        <w:t>details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systemic</w:t>
      </w:r>
      <w:r>
        <w:rPr>
          <w:spacing w:val="-1"/>
          <w:sz w:val="22"/>
        </w:rPr>
        <w:t> </w:t>
      </w:r>
      <w:r>
        <w:rPr>
          <w:sz w:val="22"/>
        </w:rPr>
        <w:t>issues</w:t>
      </w:r>
      <w:r>
        <w:rPr>
          <w:spacing w:val="-3"/>
          <w:sz w:val="22"/>
        </w:rPr>
        <w:t> </w:t>
      </w:r>
      <w:r>
        <w:rPr>
          <w:sz w:val="22"/>
        </w:rPr>
        <w:t>identified.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410"/>
      </w:pPr>
      <w:r>
        <w:rPr/>
        <w:t>The</w:t>
      </w:r>
      <w:r>
        <w:rPr>
          <w:spacing w:val="-1"/>
        </w:rPr>
        <w:t> </w:t>
      </w:r>
      <w:r>
        <w:rPr/>
        <w:t>draft</w:t>
      </w:r>
      <w:r>
        <w:rPr>
          <w:spacing w:val="-3"/>
        </w:rPr>
        <w:t> </w:t>
      </w:r>
      <w:r>
        <w:rPr/>
        <w:t>Bill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also: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rect style="position:absolute;margin-left:54pt;margin-top:13.81739pt;width:144.050pt;height:.72003pt;mso-position-horizontal-relative:page;mso-position-vertical-relative:paragraph;z-index:-15725056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David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Tune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PSM,</w:t>
      </w:r>
      <w:r>
        <w:rPr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Review of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the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National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Insurance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Scheme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Act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2013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December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2019,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11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76" w:lineRule="auto" w:before="101" w:after="0"/>
        <w:ind w:left="1181" w:right="858" w:hanging="360"/>
        <w:jc w:val="both"/>
        <w:rPr>
          <w:sz w:val="22"/>
        </w:rPr>
      </w:pPr>
      <w:r>
        <w:rPr>
          <w:sz w:val="22"/>
        </w:rPr>
        <w:t>provide that the report is to be published on the website (in the same way that section 20D of the</w:t>
      </w:r>
      <w:r>
        <w:rPr>
          <w:spacing w:val="-47"/>
          <w:sz w:val="22"/>
        </w:rPr>
        <w:t> </w:t>
      </w:r>
      <w:r>
        <w:rPr>
          <w:i/>
          <w:sz w:val="22"/>
        </w:rPr>
        <w:t>Ombudsman’s Act 1976 </w:t>
      </w:r>
      <w:r>
        <w:rPr>
          <w:sz w:val="22"/>
        </w:rPr>
        <w:t>(Cth) requires the report on the health funds to be published) at the same</w:t>
      </w:r>
      <w:r>
        <w:rPr>
          <w:spacing w:val="-47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as it</w:t>
      </w:r>
      <w:r>
        <w:rPr>
          <w:spacing w:val="-3"/>
          <w:sz w:val="22"/>
        </w:rPr>
        <w:t> </w:t>
      </w:r>
      <w:r>
        <w:rPr>
          <w:sz w:val="22"/>
        </w:rPr>
        <w:t>is given 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Minister, and</w:t>
      </w:r>
    </w:p>
    <w:p>
      <w:pPr>
        <w:pStyle w:val="ListParagraph"/>
        <w:numPr>
          <w:ilvl w:val="0"/>
          <w:numId w:val="2"/>
        </w:numPr>
        <w:tabs>
          <w:tab w:pos="1182" w:val="left" w:leader="none"/>
        </w:tabs>
        <w:spacing w:line="273" w:lineRule="auto" w:before="0" w:after="0"/>
        <w:ind w:left="1181" w:right="1647" w:hanging="360"/>
        <w:jc w:val="both"/>
        <w:rPr>
          <w:sz w:val="22"/>
        </w:rPr>
      </w:pPr>
      <w:r>
        <w:rPr>
          <w:sz w:val="22"/>
        </w:rPr>
        <w:t>place a positive obligation on the Agency to promptly provide documents required by the</w:t>
      </w:r>
      <w:r>
        <w:rPr>
          <w:spacing w:val="-47"/>
          <w:sz w:val="22"/>
        </w:rPr>
        <w:t> </w:t>
      </w:r>
      <w:r>
        <w:rPr>
          <w:sz w:val="22"/>
        </w:rPr>
        <w:t>Ombudsman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preparation</w:t>
      </w:r>
      <w:r>
        <w:rPr>
          <w:spacing w:val="-3"/>
          <w:sz w:val="22"/>
        </w:rPr>
        <w:t> </w:t>
      </w:r>
      <w:r>
        <w:rPr>
          <w:sz w:val="22"/>
        </w:rPr>
        <w:t>of their report.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Heading2"/>
        <w:spacing w:before="1"/>
        <w:rPr>
          <w:i/>
        </w:rPr>
      </w:pPr>
      <w:r>
        <w:rPr>
          <w:i/>
          <w:color w:val="808080"/>
        </w:rPr>
        <w:t>Plan</w:t>
      </w:r>
      <w:r>
        <w:rPr>
          <w:i/>
          <w:color w:val="808080"/>
          <w:spacing w:val="-4"/>
        </w:rPr>
        <w:t> </w:t>
      </w:r>
      <w:r>
        <w:rPr>
          <w:i/>
          <w:color w:val="808080"/>
        </w:rPr>
        <w:t>Variation</w:t>
      </w:r>
      <w:r>
        <w:rPr>
          <w:i/>
          <w:color w:val="808080"/>
          <w:spacing w:val="-4"/>
        </w:rPr>
        <w:t> </w:t>
      </w:r>
      <w:r>
        <w:rPr>
          <w:i/>
          <w:color w:val="808080"/>
        </w:rPr>
        <w:t>and</w:t>
      </w:r>
      <w:r>
        <w:rPr>
          <w:i/>
          <w:color w:val="808080"/>
          <w:spacing w:val="-3"/>
        </w:rPr>
        <w:t> </w:t>
      </w:r>
      <w:r>
        <w:rPr>
          <w:i/>
          <w:color w:val="808080"/>
        </w:rPr>
        <w:t>Reassessment</w:t>
      </w:r>
    </w:p>
    <w:p>
      <w:pPr>
        <w:pStyle w:val="BodyText"/>
        <w:spacing w:line="276" w:lineRule="auto" w:before="48"/>
        <w:ind w:left="360" w:right="712"/>
        <w:jc w:val="both"/>
      </w:pPr>
      <w:r>
        <w:rPr/>
        <w:t>QAI is supportive of enabling plan variations where simple changes can be made without the participant</w:t>
      </w:r>
      <w:r>
        <w:rPr>
          <w:spacing w:val="1"/>
        </w:rPr>
        <w:t> </w:t>
      </w:r>
      <w:r>
        <w:rPr/>
        <w:t>needing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undergo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full</w:t>
      </w:r>
      <w:r>
        <w:rPr>
          <w:spacing w:val="-8"/>
        </w:rPr>
        <w:t> </w:t>
      </w:r>
      <w:r>
        <w:rPr/>
        <w:t>plan</w:t>
      </w:r>
      <w:r>
        <w:rPr>
          <w:spacing w:val="-7"/>
        </w:rPr>
        <w:t> </w:t>
      </w:r>
      <w:r>
        <w:rPr/>
        <w:t>review,</w:t>
      </w:r>
      <w:r>
        <w:rPr>
          <w:spacing w:val="-5"/>
        </w:rPr>
        <w:t> </w:t>
      </w:r>
      <w:r>
        <w:rPr/>
        <w:t>in</w:t>
      </w:r>
      <w:r>
        <w:rPr>
          <w:spacing w:val="-10"/>
        </w:rPr>
        <w:t> </w:t>
      </w:r>
      <w:r>
        <w:rPr/>
        <w:t>circumstances</w:t>
      </w:r>
      <w:r>
        <w:rPr>
          <w:spacing w:val="-7"/>
        </w:rPr>
        <w:t> </w:t>
      </w:r>
      <w:r>
        <w:rPr/>
        <w:t>where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9"/>
        </w:rPr>
        <w:t> </w:t>
      </w:r>
      <w:r>
        <w:rPr/>
        <w:t>clear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support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change</w:t>
      </w:r>
      <w:r>
        <w:rPr>
          <w:spacing w:val="-5"/>
        </w:rPr>
        <w:t> </w:t>
      </w:r>
      <w:r>
        <w:rPr/>
        <w:t>is</w:t>
      </w:r>
      <w:r>
        <w:rPr>
          <w:spacing w:val="-8"/>
        </w:rPr>
        <w:t> </w:t>
      </w:r>
      <w:r>
        <w:rPr/>
        <w:t>reasonable</w:t>
      </w:r>
      <w:r>
        <w:rPr>
          <w:spacing w:val="-8"/>
        </w:rPr>
        <w:t> </w:t>
      </w:r>
      <w:r>
        <w:rPr/>
        <w:t>and</w:t>
      </w:r>
      <w:r>
        <w:rPr>
          <w:spacing w:val="-48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where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reflects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reached</w:t>
      </w:r>
      <w:r>
        <w:rPr>
          <w:spacing w:val="-6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participant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Agency.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help</w:t>
      </w:r>
      <w:r>
        <w:rPr>
          <w:spacing w:val="-47"/>
        </w:rPr>
        <w:t> </w:t>
      </w:r>
      <w:r>
        <w:rPr/>
        <w:t>to</w:t>
      </w:r>
      <w:r>
        <w:rPr>
          <w:spacing w:val="1"/>
        </w:rPr>
        <w:t> </w:t>
      </w:r>
      <w:r>
        <w:rPr/>
        <w:t>circumvent</w:t>
      </w:r>
      <w:r>
        <w:rPr>
          <w:spacing w:val="1"/>
        </w:rPr>
        <w:t> </w:t>
      </w:r>
      <w:r>
        <w:rPr/>
        <w:t>unnecessary</w:t>
      </w:r>
      <w:r>
        <w:rPr>
          <w:spacing w:val="1"/>
        </w:rPr>
        <w:t> </w:t>
      </w:r>
      <w:r>
        <w:rPr/>
        <w:t>bureaucracy,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time-consuming</w:t>
      </w:r>
      <w:r>
        <w:rPr>
          <w:spacing w:val="1"/>
        </w:rPr>
        <w:t> </w:t>
      </w:r>
      <w:r>
        <w:rPr/>
        <w:t>remittal</w:t>
      </w:r>
      <w:r>
        <w:rPr>
          <w:spacing w:val="1"/>
        </w:rPr>
        <w:t> </w:t>
      </w:r>
      <w:r>
        <w:rPr/>
        <w:t>processes,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remove</w:t>
      </w:r>
      <w:r>
        <w:rPr>
          <w:spacing w:val="1"/>
        </w:rPr>
        <w:t> </w:t>
      </w:r>
      <w:r>
        <w:rPr/>
        <w:t>administrative</w:t>
      </w:r>
      <w:r>
        <w:rPr>
          <w:spacing w:val="-10"/>
        </w:rPr>
        <w:t> </w:t>
      </w:r>
      <w:r>
        <w:rPr/>
        <w:t>barriers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prevent</w:t>
      </w:r>
      <w:r>
        <w:rPr>
          <w:spacing w:val="-10"/>
        </w:rPr>
        <w:t> </w:t>
      </w:r>
      <w:r>
        <w:rPr/>
        <w:t>people</w:t>
      </w:r>
      <w:r>
        <w:rPr>
          <w:spacing w:val="-10"/>
        </w:rPr>
        <w:t> </w:t>
      </w:r>
      <w:r>
        <w:rPr/>
        <w:t>with</w:t>
      </w:r>
      <w:r>
        <w:rPr>
          <w:spacing w:val="-7"/>
        </w:rPr>
        <w:t> </w:t>
      </w:r>
      <w:r>
        <w:rPr/>
        <w:t>disability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/>
        <w:t>accessing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they</w:t>
      </w:r>
      <w:r>
        <w:rPr>
          <w:spacing w:val="-9"/>
        </w:rPr>
        <w:t> </w:t>
      </w:r>
      <w:r>
        <w:rPr/>
        <w:t>need.</w:t>
      </w:r>
      <w:r>
        <w:rPr>
          <w:spacing w:val="-8"/>
        </w:rPr>
        <w:t> </w:t>
      </w:r>
      <w:r>
        <w:rPr/>
        <w:t>QAI</w:t>
      </w:r>
      <w:r>
        <w:rPr>
          <w:spacing w:val="-11"/>
        </w:rPr>
        <w:t> </w:t>
      </w:r>
      <w:r>
        <w:rPr/>
        <w:t>also</w:t>
      </w:r>
      <w:r>
        <w:rPr>
          <w:spacing w:val="-47"/>
        </w:rPr>
        <w:t> </w:t>
      </w:r>
      <w:r>
        <w:rPr/>
        <w:t>supports renaming plan reviews to plan reassessments to avoid the confusion that arises from the multiple</w:t>
      </w:r>
      <w:r>
        <w:rPr>
          <w:spacing w:val="1"/>
        </w:rPr>
        <w:t> </w:t>
      </w:r>
      <w:r>
        <w:rPr/>
        <w:t>meanings</w:t>
      </w:r>
      <w:r>
        <w:rPr>
          <w:spacing w:val="-1"/>
        </w:rPr>
        <w:t> </w:t>
      </w:r>
      <w:r>
        <w:rPr/>
        <w:t>for the</w:t>
      </w:r>
      <w:r>
        <w:rPr>
          <w:spacing w:val="1"/>
        </w:rPr>
        <w:t> </w:t>
      </w:r>
      <w:r>
        <w:rPr/>
        <w:t>word</w:t>
      </w:r>
      <w:r>
        <w:rPr>
          <w:spacing w:val="-1"/>
        </w:rPr>
        <w:t> </w:t>
      </w:r>
      <w:r>
        <w:rPr/>
        <w:t>‘review’.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360" w:right="714"/>
        <w:jc w:val="both"/>
      </w:pPr>
      <w:r>
        <w:rPr/>
        <w:t>However, QAI is strongly opposed to the introduction of plan variation powers that can be exercised by the</w:t>
      </w:r>
      <w:r>
        <w:rPr>
          <w:spacing w:val="1"/>
        </w:rPr>
        <w:t> </w:t>
      </w:r>
      <w:r>
        <w:rPr/>
        <w:t>Agency</w:t>
      </w:r>
      <w:r>
        <w:rPr>
          <w:spacing w:val="-6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participant’s</w:t>
      </w:r>
      <w:r>
        <w:rPr>
          <w:spacing w:val="-4"/>
        </w:rPr>
        <w:t> </w:t>
      </w:r>
      <w:r>
        <w:rPr/>
        <w:t>consent.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enable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Agency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unwanted</w:t>
      </w:r>
      <w:r>
        <w:rPr>
          <w:spacing w:val="-3"/>
        </w:rPr>
        <w:t> </w:t>
      </w:r>
      <w:r>
        <w:rPr/>
        <w:t>changes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participant’s</w:t>
      </w:r>
      <w:r>
        <w:rPr>
          <w:spacing w:val="-47"/>
        </w:rPr>
        <w:t> </w:t>
      </w:r>
      <w:r>
        <w:rPr/>
        <w:t>plan without their permission, and to essentially force the participant to pursue arduous review mechanisms</w:t>
      </w:r>
      <w:r>
        <w:rPr>
          <w:spacing w:val="-47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change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variation</w:t>
      </w:r>
      <w:r>
        <w:rPr>
          <w:spacing w:val="-15"/>
        </w:rPr>
        <w:t> </w:t>
      </w:r>
      <w:r>
        <w:rPr/>
        <w:t>is</w:t>
      </w:r>
      <w:r>
        <w:rPr>
          <w:spacing w:val="-12"/>
        </w:rPr>
        <w:t> </w:t>
      </w:r>
      <w:r>
        <w:rPr/>
        <w:t>unfair,</w:t>
      </w:r>
      <w:r>
        <w:rPr>
          <w:spacing w:val="-12"/>
        </w:rPr>
        <w:t> </w:t>
      </w:r>
      <w:r>
        <w:rPr/>
        <w:t>inequitable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breach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objects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/>
        <w:t>NDIS</w:t>
      </w:r>
      <w:r>
        <w:rPr>
          <w:spacing w:val="-13"/>
        </w:rPr>
        <w:t> </w:t>
      </w:r>
      <w:r>
        <w:rPr/>
        <w:t>Act</w:t>
      </w:r>
      <w:r>
        <w:rPr>
          <w:spacing w:val="-12"/>
        </w:rPr>
        <w:t> </w:t>
      </w:r>
      <w:r>
        <w:rPr/>
        <w:t>which</w:t>
      </w:r>
      <w:r>
        <w:rPr>
          <w:spacing w:val="-15"/>
        </w:rPr>
        <w:t> </w:t>
      </w:r>
      <w:r>
        <w:rPr/>
        <w:t>seeks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‘enable</w:t>
      </w:r>
      <w:r>
        <w:rPr>
          <w:spacing w:val="-47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 disability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choice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control in</w:t>
      </w:r>
      <w:r>
        <w:rPr>
          <w:spacing w:val="-5"/>
        </w:rPr>
        <w:t> </w:t>
      </w:r>
      <w:r>
        <w:rPr/>
        <w:t>the…planning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their supports’.</w:t>
      </w:r>
      <w:r>
        <w:rPr>
          <w:vertAlign w:val="superscript"/>
        </w:rPr>
        <w:t>6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360" w:right="714"/>
        <w:jc w:val="both"/>
      </w:pPr>
      <w:r>
        <w:rPr/>
        <w:t>Current wording in Item 23 of the Bill requires each variation to be ‘prepared with the participant’, however</w:t>
      </w:r>
      <w:r>
        <w:rPr>
          <w:spacing w:val="1"/>
        </w:rPr>
        <w:t> </w:t>
      </w:r>
      <w:r>
        <w:rPr/>
        <w:t>this does not explicitly require the participant’s consent for the variation to occur. Whilst the explanatory</w:t>
      </w:r>
      <w:r>
        <w:rPr>
          <w:spacing w:val="1"/>
        </w:rPr>
        <w:t> </w:t>
      </w:r>
      <w:r>
        <w:rPr/>
        <w:t>memorandum states that ‘the intention is that any variation will be for the benefit of the participant’, this</w:t>
      </w:r>
      <w:r>
        <w:rPr>
          <w:spacing w:val="1"/>
        </w:rPr>
        <w:t> </w:t>
      </w:r>
      <w:r>
        <w:rPr/>
        <w:t>remains</w:t>
      </w:r>
      <w:r>
        <w:rPr>
          <w:spacing w:val="-3"/>
        </w:rPr>
        <w:t> </w:t>
      </w:r>
      <w:r>
        <w:rPr/>
        <w:t>subjective</w:t>
      </w:r>
      <w:r>
        <w:rPr>
          <w:spacing w:val="-2"/>
        </w:rPr>
        <w:t> </w:t>
      </w:r>
      <w:r>
        <w:rPr/>
        <w:t>and is</w:t>
      </w:r>
      <w:r>
        <w:rPr>
          <w:spacing w:val="-2"/>
        </w:rPr>
        <w:t> </w:t>
      </w:r>
      <w:r>
        <w:rPr/>
        <w:t>vulnerable to inconsistent</w:t>
      </w:r>
      <w:r>
        <w:rPr>
          <w:spacing w:val="-2"/>
        </w:rPr>
        <w:t> </w:t>
      </w:r>
      <w:r>
        <w:rPr/>
        <w:t>interpretation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practice.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360" w:right="713"/>
        <w:jc w:val="both"/>
      </w:pPr>
      <w:r>
        <w:rPr/>
        <w:t>Further,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Bill</w:t>
      </w:r>
      <w:r>
        <w:rPr>
          <w:spacing w:val="-9"/>
        </w:rPr>
        <w:t> </w:t>
      </w:r>
      <w:r>
        <w:rPr/>
        <w:t>states</w:t>
      </w:r>
      <w:r>
        <w:rPr>
          <w:spacing w:val="-8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‘CEO,</w:t>
      </w:r>
      <w:r>
        <w:rPr>
          <w:spacing w:val="-9"/>
        </w:rPr>
        <w:t> </w:t>
      </w:r>
      <w:r>
        <w:rPr/>
        <w:t>may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writing,</w:t>
      </w:r>
      <w:r>
        <w:rPr>
          <w:spacing w:val="-8"/>
        </w:rPr>
        <w:t> </w:t>
      </w:r>
      <w:r>
        <w:rPr/>
        <w:t>vary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participant’s</w:t>
      </w:r>
      <w:r>
        <w:rPr>
          <w:spacing w:val="-7"/>
        </w:rPr>
        <w:t> </w:t>
      </w:r>
      <w:r>
        <w:rPr/>
        <w:t>plan…in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circumstances</w:t>
      </w:r>
      <w:r>
        <w:rPr>
          <w:spacing w:val="-7"/>
        </w:rPr>
        <w:t> </w:t>
      </w:r>
      <w:r>
        <w:rPr/>
        <w:t>prescribed</w:t>
      </w:r>
      <w:r>
        <w:rPr>
          <w:spacing w:val="-48"/>
        </w:rPr>
        <w:t> </w:t>
      </w:r>
      <w:r>
        <w:rPr/>
        <w:t>by the National Disability Insurance Rules’.</w:t>
      </w:r>
      <w:r>
        <w:rPr>
          <w:vertAlign w:val="superscript"/>
        </w:rPr>
        <w:t>7</w:t>
      </w:r>
      <w:r>
        <w:rPr>
          <w:vertAlign w:val="baseline"/>
        </w:rPr>
        <w:t> The relevant Rules have not been published alongside this Bill.</w:t>
      </w:r>
      <w:r>
        <w:rPr>
          <w:spacing w:val="1"/>
          <w:vertAlign w:val="baseline"/>
        </w:rPr>
        <w:t> </w:t>
      </w:r>
      <w:r>
        <w:rPr>
          <w:vertAlign w:val="baseline"/>
        </w:rPr>
        <w:t>Proposed Rules that were released in the Department of Social Services’ recent consultation contained</w:t>
      </w:r>
      <w:r>
        <w:rPr>
          <w:spacing w:val="1"/>
          <w:vertAlign w:val="baseline"/>
        </w:rPr>
        <w:t> </w:t>
      </w:r>
      <w:r>
        <w:rPr>
          <w:vertAlign w:val="baseline"/>
        </w:rPr>
        <w:t>alarming</w:t>
      </w:r>
      <w:r>
        <w:rPr>
          <w:spacing w:val="-9"/>
          <w:vertAlign w:val="baseline"/>
        </w:rPr>
        <w:t> </w:t>
      </w:r>
      <w:r>
        <w:rPr>
          <w:vertAlign w:val="baseline"/>
        </w:rPr>
        <w:t>ambiguity</w:t>
      </w:r>
      <w:r>
        <w:rPr>
          <w:spacing w:val="-7"/>
          <w:vertAlign w:val="baseline"/>
        </w:rPr>
        <w:t> </w:t>
      </w:r>
      <w:r>
        <w:rPr>
          <w:vertAlign w:val="baseline"/>
        </w:rPr>
        <w:t>as</w:t>
      </w:r>
      <w:r>
        <w:rPr>
          <w:spacing w:val="-11"/>
          <w:vertAlign w:val="baseline"/>
        </w:rPr>
        <w:t> </w:t>
      </w:r>
      <w:r>
        <w:rPr>
          <w:vertAlign w:val="baseline"/>
        </w:rPr>
        <w:t>to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intended</w:t>
      </w:r>
      <w:r>
        <w:rPr>
          <w:spacing w:val="-8"/>
          <w:vertAlign w:val="baseline"/>
        </w:rPr>
        <w:t> </w:t>
      </w:r>
      <w:r>
        <w:rPr>
          <w:vertAlign w:val="baseline"/>
        </w:rPr>
        <w:t>application</w:t>
      </w:r>
      <w:r>
        <w:rPr>
          <w:spacing w:val="-9"/>
          <w:vertAlign w:val="baseline"/>
        </w:rPr>
        <w:t> </w:t>
      </w:r>
      <w:r>
        <w:rPr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vertAlign w:val="baseline"/>
        </w:rPr>
        <w:t>this</w:t>
      </w:r>
      <w:r>
        <w:rPr>
          <w:spacing w:val="-8"/>
          <w:vertAlign w:val="baseline"/>
        </w:rPr>
        <w:t> </w:t>
      </w:r>
      <w:r>
        <w:rPr>
          <w:vertAlign w:val="baseline"/>
        </w:rPr>
        <w:t>power.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content</w:t>
      </w:r>
      <w:r>
        <w:rPr>
          <w:spacing w:val="-8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previously</w:t>
      </w:r>
      <w:r>
        <w:rPr>
          <w:spacing w:val="-9"/>
          <w:vertAlign w:val="baseline"/>
        </w:rPr>
        <w:t> </w:t>
      </w:r>
      <w:r>
        <w:rPr>
          <w:vertAlign w:val="baseline"/>
        </w:rPr>
        <w:t>proposed</w:t>
      </w:r>
      <w:r>
        <w:rPr>
          <w:spacing w:val="-8"/>
          <w:vertAlign w:val="baseline"/>
        </w:rPr>
        <w:t> </w:t>
      </w:r>
      <w:r>
        <w:rPr>
          <w:vertAlign w:val="baseline"/>
        </w:rPr>
        <w:t>Rules</w:t>
      </w:r>
      <w:r>
        <w:rPr>
          <w:spacing w:val="-47"/>
          <w:vertAlign w:val="baseline"/>
        </w:rPr>
        <w:t> </w:t>
      </w:r>
      <w:r>
        <w:rPr>
          <w:vertAlign w:val="baseline"/>
        </w:rPr>
        <w:t>left it unclear whether a certain scenario would result in a plan variation or a plan reassessment and was</w:t>
      </w:r>
      <w:r>
        <w:rPr>
          <w:spacing w:val="1"/>
          <w:vertAlign w:val="baseline"/>
        </w:rPr>
        <w:t> </w:t>
      </w:r>
      <w:r>
        <w:rPr>
          <w:vertAlign w:val="baseline"/>
        </w:rPr>
        <w:t>drafted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such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way</w:t>
      </w:r>
      <w:r>
        <w:rPr>
          <w:spacing w:val="-2"/>
          <w:vertAlign w:val="baseline"/>
        </w:rPr>
        <w:t> </w:t>
      </w:r>
      <w:r>
        <w:rPr>
          <w:vertAlign w:val="baseline"/>
        </w:rPr>
        <w:t>that</w:t>
      </w:r>
      <w:r>
        <w:rPr>
          <w:spacing w:val="-6"/>
          <w:vertAlign w:val="baseline"/>
        </w:rPr>
        <w:t> </w:t>
      </w:r>
      <w:r>
        <w:rPr>
          <w:vertAlign w:val="baseline"/>
        </w:rPr>
        <w:t>left</w:t>
      </w:r>
      <w:r>
        <w:rPr>
          <w:spacing w:val="-4"/>
          <w:vertAlign w:val="baseline"/>
        </w:rPr>
        <w:t> </w:t>
      </w:r>
      <w:r>
        <w:rPr>
          <w:vertAlign w:val="baseline"/>
        </w:rPr>
        <w:t>open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number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6"/>
          <w:vertAlign w:val="baseline"/>
        </w:rPr>
        <w:t> </w:t>
      </w:r>
      <w:r>
        <w:rPr>
          <w:vertAlign w:val="baseline"/>
        </w:rPr>
        <w:t>situations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6"/>
          <w:vertAlign w:val="baseline"/>
        </w:rPr>
        <w:t> </w:t>
      </w:r>
      <w:r>
        <w:rPr>
          <w:vertAlign w:val="baseline"/>
        </w:rPr>
        <w:t>which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power</w:t>
      </w:r>
      <w:r>
        <w:rPr>
          <w:spacing w:val="-6"/>
          <w:vertAlign w:val="baseline"/>
        </w:rPr>
        <w:t> </w:t>
      </w:r>
      <w:r>
        <w:rPr>
          <w:vertAlign w:val="baseline"/>
        </w:rPr>
        <w:t>could</w:t>
      </w:r>
      <w:r>
        <w:rPr>
          <w:spacing w:val="-3"/>
          <w:vertAlign w:val="baseline"/>
        </w:rPr>
        <w:t> </w:t>
      </w:r>
      <w:r>
        <w:rPr>
          <w:vertAlign w:val="baseline"/>
        </w:rPr>
        <w:t>be</w:t>
      </w:r>
      <w:r>
        <w:rPr>
          <w:spacing w:val="-3"/>
          <w:vertAlign w:val="baseline"/>
        </w:rPr>
        <w:t> </w:t>
      </w:r>
      <w:r>
        <w:rPr>
          <w:vertAlign w:val="baseline"/>
        </w:rPr>
        <w:t>exercised,</w:t>
      </w:r>
      <w:r>
        <w:rPr>
          <w:spacing w:val="-5"/>
          <w:vertAlign w:val="baseline"/>
        </w:rPr>
        <w:t> </w:t>
      </w:r>
      <w:r>
        <w:rPr>
          <w:vertAlign w:val="baseline"/>
        </w:rPr>
        <w:t>contrary</w:t>
      </w:r>
      <w:r>
        <w:rPr>
          <w:spacing w:val="-48"/>
          <w:vertAlign w:val="baseline"/>
        </w:rPr>
        <w:t> </w:t>
      </w:r>
      <w:r>
        <w:rPr>
          <w:vertAlign w:val="baseline"/>
        </w:rPr>
        <w:t>to</w:t>
      </w:r>
      <w:r>
        <w:rPr>
          <w:spacing w:val="-10"/>
          <w:vertAlign w:val="baseline"/>
        </w:rPr>
        <w:t> </w:t>
      </w:r>
      <w:r>
        <w:rPr>
          <w:vertAlign w:val="baseline"/>
        </w:rPr>
        <w:t>what</w:t>
      </w:r>
      <w:r>
        <w:rPr>
          <w:spacing w:val="-10"/>
          <w:vertAlign w:val="baseline"/>
        </w:rPr>
        <w:t> </w:t>
      </w:r>
      <w:r>
        <w:rPr>
          <w:vertAlign w:val="baseline"/>
        </w:rPr>
        <w:t>was</w:t>
      </w:r>
      <w:r>
        <w:rPr>
          <w:spacing w:val="-10"/>
          <w:vertAlign w:val="baseline"/>
        </w:rPr>
        <w:t> </w:t>
      </w:r>
      <w:r>
        <w:rPr>
          <w:vertAlign w:val="baseline"/>
        </w:rPr>
        <w:t>recommended</w:t>
      </w:r>
      <w:r>
        <w:rPr>
          <w:spacing w:val="-11"/>
          <w:vertAlign w:val="baseline"/>
        </w:rPr>
        <w:t> </w:t>
      </w:r>
      <w:r>
        <w:rPr>
          <w:vertAlign w:val="baseline"/>
        </w:rPr>
        <w:t>by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7"/>
          <w:vertAlign w:val="baseline"/>
        </w:rPr>
        <w:t> </w:t>
      </w:r>
      <w:r>
        <w:rPr>
          <w:vertAlign w:val="baseline"/>
        </w:rPr>
        <w:t>Tune</w:t>
      </w:r>
      <w:r>
        <w:rPr>
          <w:spacing w:val="-10"/>
          <w:vertAlign w:val="baseline"/>
        </w:rPr>
        <w:t> </w:t>
      </w:r>
      <w:r>
        <w:rPr>
          <w:vertAlign w:val="baseline"/>
        </w:rPr>
        <w:t>Review.</w:t>
      </w:r>
      <w:r>
        <w:rPr>
          <w:spacing w:val="-8"/>
          <w:vertAlign w:val="baseline"/>
        </w:rPr>
        <w:t> </w:t>
      </w:r>
      <w:r>
        <w:rPr>
          <w:vertAlign w:val="baseline"/>
        </w:rPr>
        <w:t>Indeed,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10"/>
          <w:vertAlign w:val="baseline"/>
        </w:rPr>
        <w:t> </w:t>
      </w:r>
      <w:r>
        <w:rPr>
          <w:vertAlign w:val="baseline"/>
        </w:rPr>
        <w:t>Tune</w:t>
      </w:r>
      <w:r>
        <w:rPr>
          <w:spacing w:val="-7"/>
          <w:vertAlign w:val="baseline"/>
        </w:rPr>
        <w:t> </w:t>
      </w:r>
      <w:r>
        <w:rPr>
          <w:vertAlign w:val="baseline"/>
        </w:rPr>
        <w:t>Review</w:t>
      </w:r>
      <w:r>
        <w:rPr>
          <w:spacing w:val="-10"/>
          <w:vertAlign w:val="baseline"/>
        </w:rPr>
        <w:t> </w:t>
      </w:r>
      <w:r>
        <w:rPr>
          <w:vertAlign w:val="baseline"/>
        </w:rPr>
        <w:t>recommended</w:t>
      </w:r>
      <w:r>
        <w:rPr>
          <w:spacing w:val="-8"/>
          <w:vertAlign w:val="baseline"/>
        </w:rPr>
        <w:t> </w:t>
      </w:r>
      <w:r>
        <w:rPr>
          <w:vertAlign w:val="baseline"/>
        </w:rPr>
        <w:t>plan</w:t>
      </w:r>
      <w:r>
        <w:rPr>
          <w:spacing w:val="-12"/>
          <w:vertAlign w:val="baseline"/>
        </w:rPr>
        <w:t> </w:t>
      </w:r>
      <w:r>
        <w:rPr>
          <w:vertAlign w:val="baseline"/>
        </w:rPr>
        <w:t>variations</w:t>
      </w:r>
      <w:r>
        <w:rPr>
          <w:spacing w:val="-10"/>
          <w:vertAlign w:val="baseline"/>
        </w:rPr>
        <w:t> </w:t>
      </w:r>
      <w:r>
        <w:rPr>
          <w:vertAlign w:val="baseline"/>
        </w:rPr>
        <w:t>occur</w:t>
      </w:r>
      <w:r>
        <w:rPr>
          <w:spacing w:val="-48"/>
          <w:vertAlign w:val="baseline"/>
        </w:rPr>
        <w:t> </w:t>
      </w:r>
      <w:r>
        <w:rPr>
          <w:vertAlign w:val="baseline"/>
        </w:rPr>
        <w:t>only in ‘certain limited circumstances’ where it was clear that changes to be made could be considered in</w:t>
      </w:r>
      <w:r>
        <w:rPr>
          <w:spacing w:val="1"/>
          <w:vertAlign w:val="baseline"/>
        </w:rPr>
        <w:t> </w:t>
      </w:r>
      <w:r>
        <w:rPr>
          <w:vertAlign w:val="baseline"/>
        </w:rPr>
        <w:t>isolation</w:t>
      </w:r>
      <w:r>
        <w:rPr>
          <w:spacing w:val="-2"/>
          <w:vertAlign w:val="baseline"/>
        </w:rPr>
        <w:t> </w:t>
      </w:r>
      <w:r>
        <w:rPr>
          <w:vertAlign w:val="baseline"/>
        </w:rPr>
        <w:t>from</w:t>
      </w:r>
      <w:r>
        <w:rPr>
          <w:spacing w:val="-2"/>
          <w:vertAlign w:val="baseline"/>
        </w:rPr>
        <w:t> </w:t>
      </w:r>
      <w:r>
        <w:rPr>
          <w:vertAlign w:val="baseline"/>
        </w:rPr>
        <w:t>other supports in a plan.</w:t>
      </w:r>
      <w:r>
        <w:rPr>
          <w:spacing w:val="-1"/>
          <w:vertAlign w:val="baseline"/>
        </w:rPr>
        <w:t> </w:t>
      </w:r>
      <w:r>
        <w:rPr>
          <w:vertAlign w:val="baseline"/>
        </w:rPr>
        <w:t>It</w:t>
      </w:r>
      <w:r>
        <w:rPr>
          <w:spacing w:val="-3"/>
          <w:vertAlign w:val="baseline"/>
        </w:rPr>
        <w:t> </w:t>
      </w:r>
      <w:r>
        <w:rPr>
          <w:vertAlign w:val="baseline"/>
        </w:rPr>
        <w:t>stated that</w:t>
      </w:r>
      <w:r>
        <w:rPr>
          <w:spacing w:val="-4"/>
          <w:vertAlign w:val="baseline"/>
        </w:rPr>
        <w:t> </w:t>
      </w:r>
      <w:r>
        <w:rPr>
          <w:vertAlign w:val="baseline"/>
        </w:rPr>
        <w:t>these circumstances</w:t>
      </w:r>
      <w:r>
        <w:rPr>
          <w:spacing w:val="-3"/>
          <w:vertAlign w:val="baseline"/>
        </w:rPr>
        <w:t> </w:t>
      </w:r>
      <w:r>
        <w:rPr>
          <w:vertAlign w:val="baseline"/>
        </w:rPr>
        <w:t>would</w:t>
      </w:r>
      <w:r>
        <w:rPr>
          <w:spacing w:val="-3"/>
          <w:vertAlign w:val="baseline"/>
        </w:rPr>
        <w:t> </w:t>
      </w:r>
      <w:r>
        <w:rPr>
          <w:vertAlign w:val="baseline"/>
        </w:rPr>
        <w:t>be: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0" w:after="0"/>
        <w:ind w:left="1080" w:right="0" w:hanging="294"/>
        <w:jc w:val="left"/>
        <w:rPr>
          <w:i/>
          <w:sz w:val="22"/>
        </w:rPr>
      </w:pPr>
      <w:r>
        <w:rPr>
          <w:i/>
          <w:sz w:val="22"/>
        </w:rPr>
        <w:t>if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participant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changes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statement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goals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aspirations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76" w:lineRule="auto" w:before="39" w:after="0"/>
        <w:ind w:left="1080" w:right="3036" w:hanging="293"/>
        <w:jc w:val="left"/>
        <w:rPr>
          <w:i/>
          <w:sz w:val="22"/>
        </w:rPr>
      </w:pPr>
      <w:r>
        <w:rPr>
          <w:i/>
          <w:sz w:val="22"/>
        </w:rPr>
        <w:t>if a participant requires crisis/emergency funding as a result of a significant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change to their support needs and the CEO is satisfied that the support 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reasonable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necessary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0" w:after="0"/>
        <w:ind w:left="1080" w:right="0" w:hanging="294"/>
        <w:jc w:val="left"/>
        <w:rPr>
          <w:i/>
          <w:sz w:val="22"/>
        </w:rPr>
      </w:pPr>
      <w:r>
        <w:rPr>
          <w:i/>
          <w:sz w:val="22"/>
        </w:rPr>
        <w:t>if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participant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obtained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information,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assessments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quotes,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5"/>
        </w:rPr>
      </w:pPr>
      <w:r>
        <w:rPr/>
        <w:pict>
          <v:rect style="position:absolute;margin-left:54pt;margin-top:10.640541pt;width:144.050pt;height:.72003pt;mso-position-horizontal-relative:page;mso-position-vertical-relative:paragraph;z-index:-15724544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National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1"/>
          <w:sz w:val="20"/>
          <w:vertAlign w:val="baseline"/>
        </w:rPr>
        <w:t> </w:t>
      </w:r>
      <w:r>
        <w:rPr>
          <w:i/>
          <w:sz w:val="20"/>
          <w:vertAlign w:val="baseline"/>
        </w:rPr>
        <w:t>Insurance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Scheme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Act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2013 </w:t>
      </w:r>
      <w:r>
        <w:rPr>
          <w:sz w:val="20"/>
          <w:vertAlign w:val="baseline"/>
        </w:rPr>
        <w:t>(Cth)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section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3(1)e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Page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Draft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Bill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line="276" w:lineRule="auto" w:before="56"/>
        <w:ind w:left="1080" w:right="2964" w:firstLine="0"/>
        <w:jc w:val="left"/>
        <w:rPr>
          <w:i/>
          <w:sz w:val="22"/>
        </w:rPr>
      </w:pPr>
      <w:r>
        <w:rPr>
          <w:i/>
          <w:sz w:val="22"/>
        </w:rPr>
        <w:t>requested by the NDIA to make a decision on a particular support, and upon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receipt of the information the NDIA is satisfied that the funding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support is reasonable and necessary (for example, for assistive technology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home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modifications)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1" w:after="0"/>
        <w:ind w:left="1080" w:right="0" w:hanging="294"/>
        <w:jc w:val="left"/>
        <w:rPr>
          <w:i/>
          <w:sz w:val="22"/>
        </w:rPr>
      </w:pPr>
      <w:r>
        <w:rPr>
          <w:i/>
          <w:sz w:val="22"/>
        </w:rPr>
        <w:t>if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plan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contains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drafting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error (e.g.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typographical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error)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76" w:lineRule="auto" w:before="39" w:after="0"/>
        <w:ind w:left="1080" w:right="3086" w:hanging="293"/>
        <w:jc w:val="left"/>
        <w:rPr>
          <w:i/>
          <w:sz w:val="22"/>
        </w:rPr>
      </w:pPr>
      <w:r>
        <w:rPr>
          <w:i/>
          <w:sz w:val="22"/>
        </w:rPr>
        <w:t>if, after the completion of appropriate risk assessments, plan management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type is changed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1" w:after="0"/>
        <w:ind w:left="1080" w:right="0" w:hanging="294"/>
        <w:jc w:val="left"/>
        <w:rPr>
          <w:i/>
          <w:sz w:val="22"/>
        </w:rPr>
      </w:pP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purposes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applying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adjusting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compensation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reduction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amount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76" w:lineRule="auto" w:before="39" w:after="0"/>
        <w:ind w:left="1080" w:right="3496" w:hanging="293"/>
        <w:jc w:val="left"/>
        <w:rPr>
          <w:i/>
          <w:sz w:val="22"/>
        </w:rPr>
      </w:pPr>
      <w:r>
        <w:rPr>
          <w:i/>
          <w:sz w:val="22"/>
        </w:rPr>
        <w:t>to add reasonable and necessary supports if the relevant statement of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participant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supports is under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review by 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AAT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1" w:after="0"/>
        <w:ind w:left="1080" w:right="0" w:hanging="294"/>
        <w:jc w:val="left"/>
        <w:rPr>
          <w:i/>
          <w:sz w:val="22"/>
        </w:rPr>
      </w:pPr>
      <w:r>
        <w:rPr>
          <w:i/>
          <w:sz w:val="22"/>
        </w:rPr>
        <w:t>upon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reconciliation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appeal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made 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AAT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41" w:after="0"/>
        <w:ind w:left="1080" w:right="0" w:hanging="294"/>
        <w:jc w:val="left"/>
        <w:rPr>
          <w:sz w:val="22"/>
        </w:rPr>
      </w:pP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implement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decision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appealed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 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parties</w:t>
      </w:r>
      <w:r>
        <w:rPr>
          <w:sz w:val="22"/>
        </w:rPr>
        <w:t>.</w:t>
      </w:r>
      <w:r>
        <w:rPr>
          <w:sz w:val="22"/>
          <w:vertAlign w:val="superscript"/>
        </w:rPr>
        <w:t>8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QAI supports the enactment of plan variation powers, but only in the circumstances articulated by the Tune</w:t>
      </w:r>
      <w:r>
        <w:rPr>
          <w:spacing w:val="1"/>
        </w:rPr>
        <w:t> </w:t>
      </w:r>
      <w:r>
        <w:rPr/>
        <w:t>Review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above.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allow</w:t>
      </w:r>
      <w:r>
        <w:rPr>
          <w:spacing w:val="-7"/>
        </w:rPr>
        <w:t> </w:t>
      </w:r>
      <w:r>
        <w:rPr/>
        <w:t>broad</w:t>
      </w:r>
      <w:r>
        <w:rPr>
          <w:spacing w:val="-3"/>
        </w:rPr>
        <w:t> </w:t>
      </w:r>
      <w:r>
        <w:rPr/>
        <w:t>discretionary</w:t>
      </w:r>
      <w:r>
        <w:rPr>
          <w:spacing w:val="-5"/>
        </w:rPr>
        <w:t> </w:t>
      </w:r>
      <w:r>
        <w:rPr/>
        <w:t>powers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enable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Agency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3"/>
        </w:rPr>
        <w:t> </w:t>
      </w:r>
      <w:r>
        <w:rPr/>
        <w:t>unsolicited</w:t>
      </w:r>
      <w:r>
        <w:rPr>
          <w:spacing w:val="-5"/>
        </w:rPr>
        <w:t> </w:t>
      </w:r>
      <w:r>
        <w:rPr/>
        <w:t>alterations</w:t>
      </w:r>
      <w:r>
        <w:rPr>
          <w:spacing w:val="-48"/>
        </w:rPr>
        <w:t> </w:t>
      </w:r>
      <w:r>
        <w:rPr/>
        <w:t>to a participant’s plan, in numerous situations and without their consent, risks undermining the improved</w:t>
      </w:r>
      <w:r>
        <w:rPr>
          <w:spacing w:val="1"/>
        </w:rPr>
        <w:t> </w:t>
      </w:r>
      <w:r>
        <w:rPr/>
        <w:t>participant experience that these reforms are supposedly trying to achieve and will further entrench rather</w:t>
      </w:r>
      <w:r>
        <w:rPr>
          <w:spacing w:val="1"/>
        </w:rPr>
        <w:t> </w:t>
      </w:r>
      <w:r>
        <w:rPr/>
        <w:t>than remove, inconsistent decision-making by the Agency. Plan variations must not become ‘light touch</w:t>
      </w:r>
      <w:r>
        <w:rPr>
          <w:spacing w:val="1"/>
        </w:rPr>
        <w:t> </w:t>
      </w:r>
      <w:r>
        <w:rPr/>
        <w:t>review’</w:t>
      </w:r>
      <w:r>
        <w:rPr>
          <w:spacing w:val="1"/>
        </w:rPr>
        <w:t> </w:t>
      </w:r>
      <w:r>
        <w:rPr/>
        <w:t>tools,</w:t>
      </w:r>
      <w:r>
        <w:rPr>
          <w:spacing w:val="1"/>
        </w:rPr>
        <w:t> </w:t>
      </w:r>
      <w:r>
        <w:rPr/>
        <w:t>circumventing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procedural</w:t>
      </w:r>
      <w:r>
        <w:rPr>
          <w:spacing w:val="1"/>
        </w:rPr>
        <w:t> </w:t>
      </w:r>
      <w:r>
        <w:rPr/>
        <w:t>fairness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affording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greater</w:t>
      </w:r>
      <w:r>
        <w:rPr>
          <w:spacing w:val="1"/>
        </w:rPr>
        <w:t> </w:t>
      </w:r>
      <w:r>
        <w:rPr/>
        <w:t>discretionary power to alter (and therefore reduce) aspects of a participant’s plan without their consent.</w:t>
      </w:r>
      <w:r>
        <w:rPr>
          <w:spacing w:val="1"/>
        </w:rPr>
        <w:t> </w:t>
      </w:r>
      <w:r>
        <w:rPr/>
        <w:t>Participants should be secure in the knowledge that that where supports have been approved for a period of</w:t>
      </w:r>
      <w:r>
        <w:rPr>
          <w:spacing w:val="-47"/>
        </w:rPr>
        <w:t> </w:t>
      </w:r>
      <w:r>
        <w:rPr/>
        <w:t>time,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will not be</w:t>
      </w:r>
      <w:r>
        <w:rPr>
          <w:spacing w:val="-2"/>
        </w:rPr>
        <w:t> </w:t>
      </w:r>
      <w:r>
        <w:rPr/>
        <w:t>removed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 CEO’s</w:t>
      </w:r>
      <w:r>
        <w:rPr>
          <w:spacing w:val="-3"/>
        </w:rPr>
        <w:t> </w:t>
      </w:r>
      <w:r>
        <w:rPr/>
        <w:t>discretion.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rPr>
          <w:i/>
        </w:rPr>
      </w:pPr>
      <w:r>
        <w:rPr>
          <w:i/>
          <w:color w:val="808080"/>
        </w:rPr>
        <w:t>Administrative</w:t>
      </w:r>
      <w:r>
        <w:rPr>
          <w:i/>
          <w:color w:val="808080"/>
          <w:spacing w:val="-3"/>
        </w:rPr>
        <w:t> </w:t>
      </w:r>
      <w:r>
        <w:rPr>
          <w:i/>
          <w:color w:val="808080"/>
        </w:rPr>
        <w:t>Appeals</w:t>
      </w:r>
      <w:r>
        <w:rPr>
          <w:i/>
          <w:color w:val="808080"/>
          <w:spacing w:val="-3"/>
        </w:rPr>
        <w:t> </w:t>
      </w:r>
      <w:r>
        <w:rPr>
          <w:i/>
          <w:color w:val="808080"/>
        </w:rPr>
        <w:t>Tribunal</w:t>
      </w:r>
      <w:r>
        <w:rPr>
          <w:i/>
          <w:color w:val="808080"/>
          <w:spacing w:val="-3"/>
        </w:rPr>
        <w:t> </w:t>
      </w:r>
      <w:r>
        <w:rPr>
          <w:i/>
          <w:color w:val="808080"/>
        </w:rPr>
        <w:t>(AAT)</w:t>
      </w:r>
      <w:r>
        <w:rPr>
          <w:i/>
          <w:color w:val="808080"/>
          <w:spacing w:val="-2"/>
        </w:rPr>
        <w:t> </w:t>
      </w:r>
      <w:r>
        <w:rPr>
          <w:i/>
          <w:color w:val="808080"/>
        </w:rPr>
        <w:t>jurisdictional</w:t>
      </w:r>
      <w:r>
        <w:rPr>
          <w:i/>
          <w:color w:val="808080"/>
          <w:spacing w:val="-2"/>
        </w:rPr>
        <w:t> </w:t>
      </w:r>
      <w:r>
        <w:rPr>
          <w:i/>
          <w:color w:val="808080"/>
        </w:rPr>
        <w:t>issues</w:t>
      </w:r>
    </w:p>
    <w:p>
      <w:pPr>
        <w:pStyle w:val="BodyText"/>
        <w:spacing w:line="276" w:lineRule="auto" w:before="49"/>
        <w:ind w:left="360" w:right="715"/>
        <w:jc w:val="both"/>
      </w:pPr>
      <w:r>
        <w:rPr>
          <w:sz w:val="24"/>
        </w:rPr>
        <w:t>QAI </w:t>
      </w:r>
      <w:r>
        <w:rPr/>
        <w:t>supports the amendments to section 101 regarding the effects of later decisions before reviews are</w:t>
      </w:r>
      <w:r>
        <w:rPr>
          <w:spacing w:val="1"/>
        </w:rPr>
        <w:t> </w:t>
      </w:r>
      <w:r>
        <w:rPr/>
        <w:t>completed.</w:t>
      </w:r>
      <w:r>
        <w:rPr>
          <w:spacing w:val="-2"/>
        </w:rPr>
        <w:t> </w:t>
      </w:r>
      <w:r>
        <w:rPr/>
        <w:t>Namely,</w:t>
      </w:r>
      <w:r>
        <w:rPr>
          <w:spacing w:val="-1"/>
        </w:rPr>
        <w:t> </w:t>
      </w:r>
      <w:r>
        <w:rPr/>
        <w:t>if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review 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sought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participant</w:t>
      </w:r>
      <w:r>
        <w:rPr>
          <w:spacing w:val="-3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decision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vary</w:t>
      </w:r>
      <w:r>
        <w:rPr>
          <w:spacing w:val="-5"/>
        </w:rPr>
        <w:t> </w:t>
      </w:r>
      <w:r>
        <w:rPr/>
        <w:t>a</w:t>
      </w:r>
      <w:r>
        <w:rPr>
          <w:spacing w:val="-47"/>
        </w:rPr>
        <w:t> </w:t>
      </w:r>
      <w:r>
        <w:rPr/>
        <w:t>statement of participant supports, and before a decision on the review is made, a statement of participant</w:t>
      </w:r>
      <w:r>
        <w:rPr>
          <w:spacing w:val="1"/>
        </w:rPr>
        <w:t> </w:t>
      </w:r>
      <w:r>
        <w:rPr/>
        <w:t>supports is varied or a new plan comes into effect, then the request is taken to be a request for a review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variation</w:t>
      </w:r>
      <w:r>
        <w:rPr>
          <w:spacing w:val="-4"/>
        </w:rPr>
        <w:t> </w:t>
      </w:r>
      <w:r>
        <w:rPr/>
        <w:t>or approve</w:t>
      </w:r>
      <w:r>
        <w:rPr>
          <w:spacing w:val="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plan.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QAI</w:t>
      </w:r>
      <w:r>
        <w:rPr>
          <w:spacing w:val="-4"/>
        </w:rPr>
        <w:t> </w:t>
      </w:r>
      <w:r>
        <w:rPr/>
        <w:t>further</w:t>
      </w:r>
      <w:r>
        <w:rPr>
          <w:spacing w:val="-6"/>
        </w:rPr>
        <w:t> </w:t>
      </w:r>
      <w:r>
        <w:rPr/>
        <w:t>supports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amendments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103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provides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if</w:t>
      </w:r>
      <w:r>
        <w:rPr>
          <w:spacing w:val="-6"/>
        </w:rPr>
        <w:t> </w:t>
      </w:r>
      <w:r>
        <w:rPr/>
        <w:t>an</w:t>
      </w:r>
      <w:r>
        <w:rPr>
          <w:spacing w:val="-3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made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AAT</w:t>
      </w:r>
      <w:r>
        <w:rPr>
          <w:spacing w:val="-47"/>
        </w:rPr>
        <w:t> </w:t>
      </w:r>
      <w:r>
        <w:rPr/>
        <w:t>for a review of a decision made by a reviewer and the decision relates to a statement of participant supports</w:t>
      </w:r>
      <w:r>
        <w:rPr>
          <w:spacing w:val="-47"/>
        </w:rPr>
        <w:t> </w:t>
      </w:r>
      <w:r>
        <w:rPr/>
        <w:t>and, before a decision on the review is made and despite subsection 26(1) of the Administrative Appeals</w:t>
      </w:r>
      <w:r>
        <w:rPr>
          <w:spacing w:val="1"/>
        </w:rPr>
        <w:t> </w:t>
      </w:r>
      <w:r>
        <w:rPr/>
        <w:t>Tribunal Act 1975 (Cth), the CEO varies the plan or a new plan comes into effect under section 37, then the</w:t>
      </w:r>
      <w:r>
        <w:rPr>
          <w:spacing w:val="1"/>
        </w:rPr>
        <w:t> </w:t>
      </w:r>
      <w:r>
        <w:rPr/>
        <w:t>application is also taken to be an application for review of the decision to make the variation or approve the</w:t>
      </w:r>
      <w:r>
        <w:rPr>
          <w:spacing w:val="1"/>
        </w:rPr>
        <w:t> </w:t>
      </w:r>
      <w:r>
        <w:rPr/>
        <w:t>new</w:t>
      </w:r>
      <w:r>
        <w:rPr>
          <w:spacing w:val="-4"/>
        </w:rPr>
        <w:t> </w:t>
      </w:r>
      <w:r>
        <w:rPr/>
        <w:t>plan.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welcome</w:t>
      </w:r>
      <w:r>
        <w:rPr>
          <w:spacing w:val="-3"/>
        </w:rPr>
        <w:t> </w:t>
      </w:r>
      <w:r>
        <w:rPr/>
        <w:t>amendment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addresses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jurisdictional</w:t>
      </w:r>
      <w:r>
        <w:rPr>
          <w:spacing w:val="-4"/>
        </w:rPr>
        <w:t> </w:t>
      </w:r>
      <w:r>
        <w:rPr/>
        <w:t>issues</w:t>
      </w:r>
      <w:r>
        <w:rPr>
          <w:spacing w:val="-5"/>
        </w:rPr>
        <w:t> </w:t>
      </w:r>
      <w:r>
        <w:rPr/>
        <w:t>that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arisen</w:t>
      </w:r>
      <w:r>
        <w:rPr>
          <w:spacing w:val="-4"/>
        </w:rPr>
        <w:t> </w:t>
      </w:r>
      <w:r>
        <w:rPr/>
        <w:t>due</w:t>
      </w:r>
      <w:r>
        <w:rPr>
          <w:spacing w:val="-47"/>
        </w:rPr>
        <w:t> </w:t>
      </w:r>
      <w:r>
        <w:rPr/>
        <w:t>to plans being</w:t>
      </w:r>
      <w:r>
        <w:rPr>
          <w:spacing w:val="-1"/>
        </w:rPr>
        <w:t> </w:t>
      </w:r>
      <w:r>
        <w:rPr/>
        <w:t>reissued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changed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lengthy review processes.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60" w:right="714"/>
        <w:jc w:val="both"/>
      </w:pPr>
      <w:r>
        <w:rPr/>
        <w:t>However, QAI is concerned that the drafting of amended sections 48 and 103 potentially leaves residual</w:t>
      </w:r>
      <w:r>
        <w:rPr>
          <w:spacing w:val="1"/>
        </w:rPr>
        <w:t> </w:t>
      </w:r>
      <w:r>
        <w:rPr>
          <w:spacing w:val="-1"/>
        </w:rPr>
        <w:t>ambiguity</w:t>
      </w:r>
      <w:r>
        <w:rPr>
          <w:spacing w:val="-11"/>
        </w:rPr>
        <w:t> </w:t>
      </w:r>
      <w:r>
        <w:rPr>
          <w:spacing w:val="-1"/>
        </w:rPr>
        <w:t>regarding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status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section</w:t>
      </w:r>
      <w:r>
        <w:rPr>
          <w:spacing w:val="-12"/>
        </w:rPr>
        <w:t> </w:t>
      </w:r>
      <w:r>
        <w:rPr/>
        <w:t>48</w:t>
      </w:r>
      <w:r>
        <w:rPr>
          <w:spacing w:val="-11"/>
        </w:rPr>
        <w:t> </w:t>
      </w:r>
      <w:r>
        <w:rPr/>
        <w:t>reassessments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occur</w:t>
      </w:r>
      <w:r>
        <w:rPr>
          <w:spacing w:val="-12"/>
        </w:rPr>
        <w:t> </w:t>
      </w:r>
      <w:r>
        <w:rPr/>
        <w:t>whilst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matter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before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AAT.</w:t>
      </w:r>
      <w:r>
        <w:rPr>
          <w:spacing w:val="-12"/>
        </w:rPr>
        <w:t> </w:t>
      </w:r>
      <w:r>
        <w:rPr/>
        <w:t>Whilst</w:t>
      </w:r>
      <w:r>
        <w:rPr>
          <w:spacing w:val="-47"/>
        </w:rPr>
        <w:t> </w:t>
      </w:r>
      <w:r>
        <w:rPr/>
        <w:t>it</w:t>
      </w:r>
      <w:r>
        <w:rPr>
          <w:spacing w:val="38"/>
        </w:rPr>
        <w:t> </w:t>
      </w:r>
      <w:r>
        <w:rPr/>
        <w:t>is</w:t>
      </w:r>
      <w:r>
        <w:rPr>
          <w:spacing w:val="38"/>
        </w:rPr>
        <w:t> </w:t>
      </w:r>
      <w:r>
        <w:rPr/>
        <w:t>anticipated</w:t>
      </w:r>
      <w:r>
        <w:rPr>
          <w:spacing w:val="37"/>
        </w:rPr>
        <w:t> </w:t>
      </w:r>
      <w:r>
        <w:rPr/>
        <w:t>that</w:t>
      </w:r>
      <w:r>
        <w:rPr>
          <w:spacing w:val="39"/>
        </w:rPr>
        <w:t> </w:t>
      </w:r>
      <w:r>
        <w:rPr/>
        <w:t>in</w:t>
      </w:r>
      <w:r>
        <w:rPr>
          <w:spacing w:val="37"/>
        </w:rPr>
        <w:t> </w:t>
      </w:r>
      <w:r>
        <w:rPr/>
        <w:t>practice,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/>
        <w:t>utilisation</w:t>
      </w:r>
      <w:r>
        <w:rPr>
          <w:spacing w:val="34"/>
        </w:rPr>
        <w:t> </w:t>
      </w:r>
      <w:r>
        <w:rPr/>
        <w:t>of</w:t>
      </w:r>
      <w:r>
        <w:rPr>
          <w:spacing w:val="38"/>
        </w:rPr>
        <w:t> </w:t>
      </w:r>
      <w:r>
        <w:rPr/>
        <w:t>section</w:t>
      </w:r>
      <w:r>
        <w:rPr>
          <w:spacing w:val="38"/>
        </w:rPr>
        <w:t> </w:t>
      </w:r>
      <w:r>
        <w:rPr/>
        <w:t>47A</w:t>
      </w:r>
      <w:r>
        <w:rPr>
          <w:spacing w:val="37"/>
        </w:rPr>
        <w:t> </w:t>
      </w:r>
      <w:r>
        <w:rPr/>
        <w:t>powers</w:t>
      </w:r>
      <w:r>
        <w:rPr>
          <w:spacing w:val="38"/>
        </w:rPr>
        <w:t> </w:t>
      </w:r>
      <w:r>
        <w:rPr/>
        <w:t>will</w:t>
      </w:r>
      <w:r>
        <w:rPr>
          <w:spacing w:val="35"/>
        </w:rPr>
        <w:t> </w:t>
      </w:r>
      <w:r>
        <w:rPr/>
        <w:t>be</w:t>
      </w:r>
      <w:r>
        <w:rPr>
          <w:spacing w:val="36"/>
        </w:rPr>
        <w:t> </w:t>
      </w:r>
      <w:r>
        <w:rPr/>
        <w:t>more</w:t>
      </w:r>
      <w:r>
        <w:rPr>
          <w:spacing w:val="35"/>
        </w:rPr>
        <w:t> </w:t>
      </w:r>
      <w:r>
        <w:rPr/>
        <w:t>commonplace</w:t>
      </w:r>
      <w:r>
        <w:rPr>
          <w:spacing w:val="38"/>
        </w:rPr>
        <w:t> </w:t>
      </w:r>
      <w:r>
        <w:rPr/>
        <w:t>for</w:t>
      </w:r>
      <w:r>
        <w:rPr>
          <w:spacing w:val="35"/>
        </w:rPr>
        <w:t> </w:t>
      </w:r>
      <w:r>
        <w:rPr/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76"/>
        <w:ind w:left="360" w:right="1031" w:firstLine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> David Tune AO PSM, </w:t>
      </w:r>
      <w:r>
        <w:rPr>
          <w:i/>
          <w:sz w:val="20"/>
          <w:vertAlign w:val="baseline"/>
        </w:rPr>
        <w:t>Review of the National Disability Insurance Scheme Act 2013</w:t>
      </w:r>
      <w:r>
        <w:rPr>
          <w:sz w:val="20"/>
          <w:vertAlign w:val="baseline"/>
        </w:rPr>
        <w:t>, December 2019, para 8.33 page</w:t>
      </w:r>
      <w:r>
        <w:rPr>
          <w:spacing w:val="-44"/>
          <w:sz w:val="20"/>
          <w:vertAlign w:val="baseline"/>
        </w:rPr>
        <w:t> </w:t>
      </w:r>
      <w:r>
        <w:rPr>
          <w:sz w:val="20"/>
          <w:vertAlign w:val="baseline"/>
        </w:rPr>
        <w:t>139</w:t>
      </w:r>
    </w:p>
    <w:p>
      <w:pPr>
        <w:spacing w:after="0"/>
        <w:jc w:val="left"/>
        <w:rPr>
          <w:sz w:val="20"/>
        </w:rPr>
        <w:sectPr>
          <w:headerReference w:type="default" r:id="rId9"/>
          <w:footerReference w:type="default" r:id="rId10"/>
          <w:pgSz w:w="11900" w:h="16850"/>
          <w:pgMar w:header="463" w:footer="1161" w:top="660" w:bottom="136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3"/>
        <w:jc w:val="both"/>
      </w:pPr>
      <w:r>
        <w:rPr/>
        <w:t>participant whose plan is before the AAT, the AAT’s jurisdiction over a decision by the CEO to conduct a plan</w:t>
      </w:r>
      <w:r>
        <w:rPr>
          <w:spacing w:val="1"/>
        </w:rPr>
        <w:t> </w:t>
      </w:r>
      <w:r>
        <w:rPr/>
        <w:t>reassessment</w:t>
      </w:r>
      <w:r>
        <w:rPr>
          <w:spacing w:val="-1"/>
        </w:rPr>
        <w:t> </w:t>
      </w:r>
      <w:r>
        <w:rPr>
          <w:i/>
        </w:rPr>
        <w:t>under</w:t>
      </w:r>
      <w:r>
        <w:rPr>
          <w:i/>
          <w:spacing w:val="-2"/>
        </w:rPr>
        <w:t> </w:t>
      </w:r>
      <w:r>
        <w:rPr>
          <w:i/>
        </w:rPr>
        <w:t>section</w:t>
      </w:r>
      <w:r>
        <w:rPr>
          <w:i/>
          <w:spacing w:val="-1"/>
        </w:rPr>
        <w:t> </w:t>
      </w:r>
      <w:r>
        <w:rPr>
          <w:i/>
        </w:rPr>
        <w:t>48</w:t>
      </w:r>
      <w:r>
        <w:rPr>
          <w:i/>
          <w:spacing w:val="-1"/>
        </w:rPr>
        <w:t> </w:t>
      </w:r>
      <w:r>
        <w:rPr/>
        <w:t>whilst</w:t>
      </w:r>
      <w:r>
        <w:rPr>
          <w:spacing w:val="-2"/>
        </w:rPr>
        <w:t> </w:t>
      </w:r>
      <w:r>
        <w:rPr/>
        <w:t>a plan</w:t>
      </w:r>
      <w:r>
        <w:rPr>
          <w:spacing w:val="-1"/>
        </w:rPr>
        <w:t> </w:t>
      </w:r>
      <w:r>
        <w:rPr/>
        <w:t>is before</w:t>
      </w:r>
      <w:r>
        <w:rPr>
          <w:spacing w:val="-4"/>
        </w:rPr>
        <w:t> </w:t>
      </w:r>
      <w:r>
        <w:rPr/>
        <w:t>the AAT, requires</w:t>
      </w:r>
      <w:r>
        <w:rPr>
          <w:spacing w:val="-2"/>
        </w:rPr>
        <w:t> </w:t>
      </w:r>
      <w:r>
        <w:rPr/>
        <w:t>clarification.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60" w:right="714"/>
        <w:jc w:val="both"/>
      </w:pPr>
      <w:r>
        <w:rPr/>
        <w:t>QAI had an experience recently where a client had a new plan issued by the NDIA but it did not follow the</w:t>
      </w:r>
      <w:r>
        <w:rPr>
          <w:spacing w:val="1"/>
        </w:rPr>
        <w:t> </w:t>
      </w:r>
      <w:r>
        <w:rPr/>
        <w:t>terms of a section 42D remittal agreement. When this occurred, no reasons were given by the Agency as to</w:t>
      </w:r>
      <w:r>
        <w:rPr>
          <w:spacing w:val="1"/>
        </w:rPr>
        <w:t> </w:t>
      </w:r>
      <w:r>
        <w:rPr/>
        <w:t>why the terms of the remittal agreement were omitted from the new plan and the participant was forced to</w:t>
      </w:r>
      <w:r>
        <w:rPr>
          <w:spacing w:val="1"/>
        </w:rPr>
        <w:t> </w:t>
      </w:r>
      <w:r>
        <w:rPr/>
        <w:t>submit another internal review of the replacement plan, in the absence of the AAT having jurisdiction to</w:t>
      </w:r>
      <w:r>
        <w:rPr>
          <w:spacing w:val="1"/>
        </w:rPr>
        <w:t> </w:t>
      </w:r>
      <w:r>
        <w:rPr/>
        <w:t>consider the new plan. Whilst it appears that the intention of section 103 is to address this scenario, further</w:t>
      </w:r>
      <w:r>
        <w:rPr>
          <w:spacing w:val="1"/>
        </w:rPr>
        <w:t> </w:t>
      </w:r>
      <w:r>
        <w:rPr/>
        <w:t>clarity regarding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operation</w:t>
      </w:r>
      <w:r>
        <w:rPr>
          <w:spacing w:val="-1"/>
        </w:rPr>
        <w:t> </w:t>
      </w:r>
      <w:r>
        <w:rPr/>
        <w:t>alongside</w:t>
      </w:r>
      <w:r>
        <w:rPr>
          <w:spacing w:val="-2"/>
        </w:rPr>
        <w:t> </w:t>
      </w:r>
      <w:r>
        <w:rPr/>
        <w:t>section</w:t>
      </w:r>
      <w:r>
        <w:rPr>
          <w:spacing w:val="-4"/>
        </w:rPr>
        <w:t> </w:t>
      </w:r>
      <w:r>
        <w:rPr/>
        <w:t>48 reassessments</w:t>
      </w:r>
      <w:r>
        <w:rPr>
          <w:spacing w:val="-3"/>
        </w:rPr>
        <w:t> </w:t>
      </w:r>
      <w:r>
        <w:rPr/>
        <w:t>is required.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60" w:right="712"/>
        <w:jc w:val="both"/>
      </w:pPr>
      <w:r>
        <w:rPr/>
        <w:t>Further, QAI considers that these amendments represent a timely opportunity to provide legislative clarity</w:t>
      </w:r>
      <w:r>
        <w:rPr>
          <w:spacing w:val="1"/>
        </w:rPr>
        <w:t> </w:t>
      </w:r>
      <w:r>
        <w:rPr/>
        <w:t>regarding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AAT’s</w:t>
      </w:r>
      <w:r>
        <w:rPr>
          <w:spacing w:val="-8"/>
        </w:rPr>
        <w:t> </w:t>
      </w:r>
      <w:r>
        <w:rPr/>
        <w:t>jurisdiction</w:t>
      </w:r>
      <w:r>
        <w:rPr>
          <w:spacing w:val="-8"/>
        </w:rPr>
        <w:t> </w:t>
      </w:r>
      <w:r>
        <w:rPr/>
        <w:t>over</w:t>
      </w:r>
      <w:r>
        <w:rPr>
          <w:spacing w:val="-7"/>
        </w:rPr>
        <w:t> </w:t>
      </w:r>
      <w:r>
        <w:rPr/>
        <w:t>supports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were</w:t>
      </w:r>
      <w:r>
        <w:rPr>
          <w:spacing w:val="-6"/>
        </w:rPr>
        <w:t> </w:t>
      </w:r>
      <w:r>
        <w:rPr/>
        <w:t>not</w:t>
      </w:r>
      <w:r>
        <w:rPr>
          <w:spacing w:val="-10"/>
        </w:rPr>
        <w:t> </w:t>
      </w:r>
      <w:r>
        <w:rPr/>
        <w:t>originally</w:t>
      </w:r>
      <w:r>
        <w:rPr>
          <w:spacing w:val="-6"/>
        </w:rPr>
        <w:t> </w:t>
      </w:r>
      <w:r>
        <w:rPr/>
        <w:t>requested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time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8"/>
        </w:rPr>
        <w:t> </w:t>
      </w:r>
      <w:r>
        <w:rPr>
          <w:spacing w:val="-1"/>
        </w:rPr>
        <w:t>participant’s</w:t>
      </w:r>
      <w:r>
        <w:rPr>
          <w:spacing w:val="-6"/>
        </w:rPr>
        <w:t> </w:t>
      </w:r>
      <w:r>
        <w:rPr/>
        <w:t>internal</w:t>
      </w:r>
      <w:r>
        <w:rPr>
          <w:spacing w:val="-10"/>
        </w:rPr>
        <w:t> </w:t>
      </w:r>
      <w:r>
        <w:rPr/>
        <w:t>review</w:t>
      </w:r>
      <w:r>
        <w:rPr>
          <w:spacing w:val="-6"/>
        </w:rPr>
        <w:t> </w:t>
      </w:r>
      <w:r>
        <w:rPr/>
        <w:t>application.</w:t>
      </w:r>
      <w:r>
        <w:rPr>
          <w:spacing w:val="-10"/>
        </w:rPr>
        <w:t> </w:t>
      </w:r>
      <w:r>
        <w:rPr/>
        <w:t>Whilst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recent</w:t>
      </w:r>
      <w:r>
        <w:rPr>
          <w:spacing w:val="-7"/>
        </w:rPr>
        <w:t> </w:t>
      </w:r>
      <w:r>
        <w:rPr/>
        <w:t>decision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federal</w:t>
      </w:r>
      <w:r>
        <w:rPr>
          <w:spacing w:val="-13"/>
        </w:rPr>
        <w:t> </w:t>
      </w:r>
      <w:r>
        <w:rPr/>
        <w:t>court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>
          <w:i/>
        </w:rPr>
        <w:t>QDKH</w:t>
      </w:r>
      <w:r>
        <w:rPr>
          <w:vertAlign w:val="superscript"/>
        </w:rPr>
        <w:t>9</w:t>
      </w:r>
      <w:r>
        <w:rPr>
          <w:spacing w:val="-8"/>
          <w:vertAlign w:val="baseline"/>
        </w:rPr>
        <w:t> </w:t>
      </w:r>
      <w:r>
        <w:rPr>
          <w:vertAlign w:val="baseline"/>
        </w:rPr>
        <w:t>has</w:t>
      </w:r>
      <w:r>
        <w:rPr>
          <w:spacing w:val="-9"/>
          <w:vertAlign w:val="baseline"/>
        </w:rPr>
        <w:t> </w:t>
      </w:r>
      <w:r>
        <w:rPr>
          <w:vertAlign w:val="baseline"/>
        </w:rPr>
        <w:t>provided</w:t>
      </w:r>
      <w:r>
        <w:rPr>
          <w:spacing w:val="-48"/>
          <w:vertAlign w:val="baseline"/>
        </w:rPr>
        <w:t> </w:t>
      </w:r>
      <w:r>
        <w:rPr>
          <w:vertAlign w:val="baseline"/>
        </w:rPr>
        <w:t>clarity to a certain extent, it nonetheless remains preferable for such matters to be clarified in primary</w:t>
      </w:r>
      <w:r>
        <w:rPr>
          <w:spacing w:val="1"/>
          <w:vertAlign w:val="baseline"/>
        </w:rPr>
        <w:t> </w:t>
      </w:r>
      <w:r>
        <w:rPr>
          <w:vertAlign w:val="baseline"/>
        </w:rPr>
        <w:t>legislation. QAI considers that if a decision letter or request for an internal review is silent on a particular</w:t>
      </w:r>
      <w:r>
        <w:rPr>
          <w:spacing w:val="1"/>
          <w:vertAlign w:val="baseline"/>
        </w:rPr>
        <w:t> </w:t>
      </w:r>
      <w:r>
        <w:rPr>
          <w:vertAlign w:val="baseline"/>
        </w:rPr>
        <w:t>matter,</w:t>
      </w:r>
      <w:r>
        <w:rPr>
          <w:spacing w:val="-4"/>
          <w:vertAlign w:val="baseline"/>
        </w:rPr>
        <w:t> </w:t>
      </w:r>
      <w:r>
        <w:rPr>
          <w:vertAlign w:val="baseline"/>
        </w:rPr>
        <w:t>that</w:t>
      </w:r>
      <w:r>
        <w:rPr>
          <w:spacing w:val="-3"/>
          <w:vertAlign w:val="baseline"/>
        </w:rPr>
        <w:t> </w:t>
      </w:r>
      <w:r>
        <w:rPr>
          <w:vertAlign w:val="baseline"/>
        </w:rPr>
        <w:t>this</w:t>
      </w:r>
      <w:r>
        <w:rPr>
          <w:spacing w:val="-3"/>
          <w:vertAlign w:val="baseline"/>
        </w:rPr>
        <w:t> </w:t>
      </w:r>
      <w:r>
        <w:rPr>
          <w:vertAlign w:val="baseline"/>
        </w:rPr>
        <w:t>should</w:t>
      </w:r>
      <w:r>
        <w:rPr>
          <w:spacing w:val="-5"/>
          <w:vertAlign w:val="baseline"/>
        </w:rPr>
        <w:t> </w:t>
      </w:r>
      <w:r>
        <w:rPr>
          <w:vertAlign w:val="baseline"/>
        </w:rPr>
        <w:t>not</w:t>
      </w:r>
      <w:r>
        <w:rPr>
          <w:spacing w:val="-3"/>
          <w:vertAlign w:val="baseline"/>
        </w:rPr>
        <w:t> </w:t>
      </w:r>
      <w:r>
        <w:rPr>
          <w:vertAlign w:val="baseline"/>
        </w:rPr>
        <w:t>prevent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AAT</w:t>
      </w:r>
      <w:r>
        <w:rPr>
          <w:spacing w:val="-4"/>
          <w:vertAlign w:val="baseline"/>
        </w:rPr>
        <w:t> </w:t>
      </w:r>
      <w:r>
        <w:rPr>
          <w:vertAlign w:val="baseline"/>
        </w:rPr>
        <w:t>from</w:t>
      </w:r>
      <w:r>
        <w:rPr>
          <w:spacing w:val="-2"/>
          <w:vertAlign w:val="baseline"/>
        </w:rPr>
        <w:t> </w:t>
      </w:r>
      <w:r>
        <w:rPr>
          <w:vertAlign w:val="baseline"/>
        </w:rPr>
        <w:t>having</w:t>
      </w:r>
      <w:r>
        <w:rPr>
          <w:spacing w:val="-4"/>
          <w:vertAlign w:val="baseline"/>
        </w:rPr>
        <w:t> </w:t>
      </w:r>
      <w:r>
        <w:rPr>
          <w:vertAlign w:val="baseline"/>
        </w:rPr>
        <w:t>jurisdiction</w:t>
      </w:r>
      <w:r>
        <w:rPr>
          <w:spacing w:val="-6"/>
          <w:vertAlign w:val="baseline"/>
        </w:rPr>
        <w:t> </w:t>
      </w:r>
      <w:r>
        <w:rPr>
          <w:vertAlign w:val="baseline"/>
        </w:rPr>
        <w:t>over</w:t>
      </w:r>
      <w:r>
        <w:rPr>
          <w:spacing w:val="-4"/>
          <w:vertAlign w:val="baseline"/>
        </w:rPr>
        <w:t> </w:t>
      </w:r>
      <w:r>
        <w:rPr>
          <w:vertAlign w:val="baseline"/>
        </w:rPr>
        <w:t>it</w:t>
      </w:r>
      <w:r>
        <w:rPr>
          <w:spacing w:val="-5"/>
          <w:vertAlign w:val="baseline"/>
        </w:rPr>
        <w:t> </w:t>
      </w:r>
      <w:r>
        <w:rPr>
          <w:vertAlign w:val="baseline"/>
        </w:rPr>
        <w:t>or</w:t>
      </w:r>
      <w:r>
        <w:rPr>
          <w:spacing w:val="-3"/>
          <w:vertAlign w:val="baseline"/>
        </w:rPr>
        <w:t> </w:t>
      </w:r>
      <w:r>
        <w:rPr>
          <w:vertAlign w:val="baseline"/>
        </w:rPr>
        <w:t>deny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AAT</w:t>
      </w:r>
      <w:r>
        <w:rPr>
          <w:spacing w:val="-3"/>
          <w:vertAlign w:val="baseline"/>
        </w:rPr>
        <w:t> </w:t>
      </w:r>
      <w:r>
        <w:rPr>
          <w:vertAlign w:val="baseline"/>
        </w:rPr>
        <w:t>from</w:t>
      </w:r>
      <w:r>
        <w:rPr>
          <w:spacing w:val="-5"/>
          <w:vertAlign w:val="baseline"/>
        </w:rPr>
        <w:t> </w:t>
      </w:r>
      <w:r>
        <w:rPr>
          <w:vertAlign w:val="baseline"/>
        </w:rPr>
        <w:t>standing</w:t>
      </w:r>
      <w:r>
        <w:rPr>
          <w:spacing w:val="-4"/>
          <w:vertAlign w:val="baseline"/>
        </w:rPr>
        <w:t> </w:t>
      </w:r>
      <w:r>
        <w:rPr>
          <w:vertAlign w:val="baseline"/>
        </w:rPr>
        <w:t>in</w:t>
      </w:r>
      <w:r>
        <w:rPr>
          <w:spacing w:val="-48"/>
          <w:vertAlign w:val="baseline"/>
        </w:rPr>
        <w:t> </w:t>
      </w:r>
      <w:r>
        <w:rPr>
          <w:vertAlign w:val="baseline"/>
        </w:rPr>
        <w:t>the shoes of the decision-maker (the Agency) to make a decision as to whether a support is reasonable and</w:t>
      </w:r>
      <w:r>
        <w:rPr>
          <w:spacing w:val="1"/>
          <w:vertAlign w:val="baseline"/>
        </w:rPr>
        <w:t> </w:t>
      </w:r>
      <w:r>
        <w:rPr>
          <w:vertAlign w:val="baseline"/>
        </w:rPr>
        <w:t>necessary. The AAT was always intended to have full merits review powers. The reality of people’s lives and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participant’s disability support needs is such that circumstances can and do change. If a participant, in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course of a lengthy external merits review process during which their disability related support needs are</w:t>
      </w:r>
      <w:r>
        <w:rPr>
          <w:spacing w:val="1"/>
          <w:vertAlign w:val="baseline"/>
        </w:rPr>
        <w:t> </w:t>
      </w:r>
      <w:r>
        <w:rPr>
          <w:vertAlign w:val="baseline"/>
        </w:rPr>
        <w:t>under intense scrutiny, makes a request for a support which was not listed in their internal review request,</w:t>
      </w:r>
      <w:r>
        <w:rPr>
          <w:spacing w:val="1"/>
          <w:vertAlign w:val="baseline"/>
        </w:rPr>
        <w:t> </w:t>
      </w:r>
      <w:r>
        <w:rPr>
          <w:vertAlign w:val="baseline"/>
        </w:rPr>
        <w:t>and this support is reasonable and necessary taking into consideration all available evidence, then the AAT</w:t>
      </w:r>
      <w:r>
        <w:rPr>
          <w:spacing w:val="1"/>
          <w:vertAlign w:val="baseline"/>
        </w:rPr>
        <w:t> </w:t>
      </w:r>
      <w:r>
        <w:rPr>
          <w:vertAlign w:val="baseline"/>
        </w:rPr>
        <w:t>should have jurisdiction to consider and make a decision as to the newly requested support. It is often the</w:t>
      </w:r>
      <w:r>
        <w:rPr>
          <w:spacing w:val="1"/>
          <w:vertAlign w:val="baseline"/>
        </w:rPr>
        <w:t> </w:t>
      </w:r>
      <w:r>
        <w:rPr>
          <w:vertAlign w:val="baseline"/>
        </w:rPr>
        <w:t>case that participants request internal reviews prior to seeking advocacy support and/or do so at times of</w:t>
      </w:r>
      <w:r>
        <w:rPr>
          <w:spacing w:val="1"/>
          <w:vertAlign w:val="baseline"/>
        </w:rPr>
        <w:t> </w:t>
      </w:r>
      <w:r>
        <w:rPr>
          <w:vertAlign w:val="baseline"/>
        </w:rPr>
        <w:t>elevated stress where they may not have the ability or foresight to include requests for potentially required</w:t>
      </w:r>
      <w:r>
        <w:rPr>
          <w:spacing w:val="1"/>
          <w:vertAlign w:val="baseline"/>
        </w:rPr>
        <w:t> </w:t>
      </w:r>
      <w:r>
        <w:rPr>
          <w:vertAlign w:val="baseline"/>
        </w:rPr>
        <w:t>supports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their section</w:t>
      </w:r>
      <w:r>
        <w:rPr>
          <w:spacing w:val="-1"/>
          <w:vertAlign w:val="baseline"/>
        </w:rPr>
        <w:t> </w:t>
      </w:r>
      <w:r>
        <w:rPr>
          <w:vertAlign w:val="baseline"/>
        </w:rPr>
        <w:t>100 application.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Enabling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AAT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jurisdiction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matters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preventing</w:t>
      </w:r>
      <w:r>
        <w:rPr>
          <w:spacing w:val="1"/>
        </w:rPr>
        <w:t> </w:t>
      </w:r>
      <w:r>
        <w:rPr/>
        <w:t>participants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becoming</w:t>
      </w:r>
      <w:r>
        <w:rPr>
          <w:spacing w:val="1"/>
        </w:rPr>
        <w:t> </w:t>
      </w:r>
      <w:r>
        <w:rPr/>
        <w:t>consumed by rigid bureaucratic processes that force them to go back to the Agency to apply for a plan</w:t>
      </w:r>
      <w:r>
        <w:rPr>
          <w:spacing w:val="1"/>
        </w:rPr>
        <w:t> </w:t>
      </w:r>
      <w:r>
        <w:rPr/>
        <w:t>variation or reassessment and then proceed to a new internal and external review if required, supports one</w:t>
      </w:r>
      <w:r>
        <w:rPr>
          <w:spacing w:val="1"/>
        </w:rPr>
        <w:t> </w:t>
      </w:r>
      <w:r>
        <w:rPr/>
        <w:t>of the fundamental objectives behind these reforms: to remove unnecessary red tape and bureaucracy. It</w:t>
      </w:r>
      <w:r>
        <w:rPr>
          <w:spacing w:val="1"/>
        </w:rPr>
        <w:t> </w:t>
      </w:r>
      <w:r>
        <w:rPr/>
        <w:t>would also provide equity to the AAT’s new jurisdiction that allows it to consider changes to a participant’s</w:t>
      </w:r>
      <w:r>
        <w:rPr>
          <w:spacing w:val="1"/>
        </w:rPr>
        <w:t> </w:t>
      </w:r>
      <w:r>
        <w:rPr/>
        <w:t>plan</w:t>
      </w:r>
      <w:r>
        <w:rPr>
          <w:spacing w:val="-3"/>
        </w:rPr>
        <w:t> </w:t>
      </w:r>
      <w:r>
        <w:rPr/>
        <w:t>made</w:t>
      </w:r>
      <w:r>
        <w:rPr>
          <w:spacing w:val="1"/>
        </w:rPr>
        <w:t> </w:t>
      </w:r>
      <w:r>
        <w:rPr/>
        <w:t>by the</w:t>
      </w:r>
      <w:r>
        <w:rPr>
          <w:spacing w:val="-3"/>
        </w:rPr>
        <w:t> </w:t>
      </w:r>
      <w:r>
        <w:rPr/>
        <w:t>Agency that were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existence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of the internal</w:t>
      </w:r>
      <w:r>
        <w:rPr>
          <w:spacing w:val="-3"/>
        </w:rPr>
        <w:t> </w:t>
      </w:r>
      <w:r>
        <w:rPr/>
        <w:t>review</w:t>
      </w:r>
      <w:r>
        <w:rPr>
          <w:spacing w:val="-2"/>
        </w:rPr>
        <w:t> </w:t>
      </w:r>
      <w:r>
        <w:rPr/>
        <w:t>request.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1"/>
        <w:jc w:val="both"/>
      </w:pPr>
      <w:r>
        <w:rPr>
          <w:color w:val="808080"/>
        </w:rPr>
        <w:t>Schedule</w:t>
      </w:r>
      <w:r>
        <w:rPr>
          <w:color w:val="808080"/>
          <w:spacing w:val="-2"/>
        </w:rPr>
        <w:t> </w:t>
      </w:r>
      <w:r>
        <w:rPr>
          <w:color w:val="808080"/>
        </w:rPr>
        <w:t>2 –</w:t>
      </w:r>
      <w:r>
        <w:rPr>
          <w:color w:val="808080"/>
          <w:spacing w:val="-3"/>
        </w:rPr>
        <w:t> </w:t>
      </w:r>
      <w:r>
        <w:rPr>
          <w:color w:val="808080"/>
        </w:rPr>
        <w:t>Flexibility</w:t>
      </w:r>
      <w:r>
        <w:rPr>
          <w:color w:val="808080"/>
          <w:spacing w:val="-2"/>
        </w:rPr>
        <w:t> </w:t>
      </w:r>
      <w:r>
        <w:rPr>
          <w:color w:val="808080"/>
        </w:rPr>
        <w:t>Measures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QAI supports the amendments that strengthen the objects and principles of the Act to acknowledge the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co-designing</w:t>
      </w:r>
      <w:r>
        <w:rPr>
          <w:spacing w:val="1"/>
        </w:rPr>
        <w:t> </w:t>
      </w:r>
      <w:r>
        <w:rPr/>
        <w:t>scheme</w:t>
      </w:r>
      <w:r>
        <w:rPr>
          <w:spacing w:val="1"/>
        </w:rPr>
        <w:t> </w:t>
      </w:r>
      <w:r>
        <w:rPr/>
        <w:t>reform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respect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relationships between participants and their families and carers. QAI also supports the change in language</w:t>
      </w:r>
      <w:r>
        <w:rPr>
          <w:spacing w:val="1"/>
        </w:rPr>
        <w:t> </w:t>
      </w:r>
      <w:r>
        <w:rPr/>
        <w:t>that removes language that is patronising to people with disability and includes language that is inclusive of</w:t>
      </w:r>
      <w:r>
        <w:rPr>
          <w:spacing w:val="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 disability from</w:t>
      </w:r>
      <w:r>
        <w:rPr>
          <w:spacing w:val="-4"/>
        </w:rPr>
        <w:t> </w:t>
      </w:r>
      <w:r>
        <w:rPr/>
        <w:t>the LGBTIQ+</w:t>
      </w:r>
      <w:r>
        <w:rPr>
          <w:spacing w:val="-2"/>
        </w:rPr>
        <w:t> </w:t>
      </w:r>
      <w:r>
        <w:rPr/>
        <w:t>community.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rect style="position:absolute;margin-left:54pt;margin-top:8.964388pt;width:144.050pt;height:.72003pt;mso-position-horizontal-relative:page;mso-position-vertical-relative:paragraph;z-index:-15724032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QDKH,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by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his</w:t>
      </w:r>
      <w:r>
        <w:rPr>
          <w:i/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litigation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representative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BGJF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v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National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4"/>
          <w:sz w:val="20"/>
          <w:vertAlign w:val="baseline"/>
        </w:rPr>
        <w:t> </w:t>
      </w:r>
      <w:r>
        <w:rPr>
          <w:i/>
          <w:sz w:val="20"/>
          <w:vertAlign w:val="baseline"/>
        </w:rPr>
        <w:t>Insurance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Agency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[2021]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FCAFC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189</w:t>
      </w:r>
    </w:p>
    <w:p>
      <w:pPr>
        <w:spacing w:after="0"/>
        <w:jc w:val="left"/>
        <w:rPr>
          <w:sz w:val="20"/>
        </w:rPr>
        <w:sectPr>
          <w:headerReference w:type="default" r:id="rId11"/>
          <w:footerReference w:type="default" r:id="rId12"/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Heading2"/>
        <w:spacing w:before="44"/>
        <w:rPr>
          <w:i/>
        </w:rPr>
      </w:pPr>
      <w:r>
        <w:rPr>
          <w:i/>
          <w:color w:val="808080"/>
        </w:rPr>
        <w:t>Market</w:t>
      </w:r>
      <w:r>
        <w:rPr>
          <w:i/>
          <w:color w:val="808080"/>
          <w:spacing w:val="-4"/>
        </w:rPr>
        <w:t> </w:t>
      </w:r>
      <w:r>
        <w:rPr>
          <w:i/>
          <w:color w:val="808080"/>
        </w:rPr>
        <w:t>intervention</w:t>
      </w:r>
      <w:r>
        <w:rPr>
          <w:i/>
          <w:color w:val="808080"/>
          <w:spacing w:val="-5"/>
        </w:rPr>
        <w:t> </w:t>
      </w:r>
      <w:r>
        <w:rPr>
          <w:i/>
          <w:color w:val="808080"/>
        </w:rPr>
        <w:t>powers</w:t>
      </w:r>
    </w:p>
    <w:p>
      <w:pPr>
        <w:pStyle w:val="BodyText"/>
        <w:spacing w:line="276" w:lineRule="auto" w:before="49"/>
        <w:ind w:left="360" w:right="712"/>
        <w:jc w:val="both"/>
      </w:pPr>
      <w:r>
        <w:rPr/>
        <w:t>While QAI supports the principle of providing market intervention powers to the Agency under amended</w:t>
      </w:r>
      <w:r>
        <w:rPr>
          <w:spacing w:val="1"/>
        </w:rPr>
        <w:t> </w:t>
      </w:r>
      <w:r>
        <w:rPr/>
        <w:t>section 14, further context around the scope of this power would be beneficial. Market intervention powers</w:t>
      </w:r>
      <w:r>
        <w:rPr>
          <w:spacing w:val="1"/>
        </w:rPr>
        <w:t> </w:t>
      </w:r>
      <w:r>
        <w:rPr/>
        <w:t>would certainly enable the Agency to be flexible and creative when facilitating access to disability support</w:t>
      </w:r>
      <w:r>
        <w:rPr>
          <w:spacing w:val="1"/>
        </w:rPr>
        <w:t> </w:t>
      </w:r>
      <w:r>
        <w:rPr>
          <w:spacing w:val="-1"/>
        </w:rPr>
        <w:t>services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participants</w:t>
      </w:r>
      <w:r>
        <w:rPr>
          <w:spacing w:val="-10"/>
        </w:rPr>
        <w:t> </w:t>
      </w:r>
      <w:r>
        <w:rPr/>
        <w:t>who</w:t>
      </w:r>
      <w:r>
        <w:rPr>
          <w:spacing w:val="-11"/>
        </w:rPr>
        <w:t> </w:t>
      </w:r>
      <w:r>
        <w:rPr/>
        <w:t>live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areas</w:t>
      </w:r>
      <w:r>
        <w:rPr>
          <w:spacing w:val="-12"/>
        </w:rPr>
        <w:t> </w:t>
      </w:r>
      <w:r>
        <w:rPr/>
        <w:t>where</w:t>
      </w:r>
      <w:r>
        <w:rPr>
          <w:spacing w:val="-11"/>
        </w:rPr>
        <w:t> </w:t>
      </w:r>
      <w:r>
        <w:rPr/>
        <w:t>there</w:t>
      </w:r>
      <w:r>
        <w:rPr>
          <w:spacing w:val="-10"/>
        </w:rPr>
        <w:t> </w:t>
      </w:r>
      <w:r>
        <w:rPr/>
        <w:t>is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‘thin</w:t>
      </w:r>
      <w:r>
        <w:rPr>
          <w:spacing w:val="-13"/>
        </w:rPr>
        <w:t> </w:t>
      </w:r>
      <w:r>
        <w:rPr/>
        <w:t>market’,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power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potentially</w:t>
      </w:r>
      <w:r>
        <w:rPr>
          <w:spacing w:val="-11"/>
        </w:rPr>
        <w:t> </w:t>
      </w:r>
      <w:r>
        <w:rPr/>
        <w:t>positive</w:t>
      </w:r>
      <w:r>
        <w:rPr>
          <w:spacing w:val="-47"/>
        </w:rPr>
        <w:t> </w:t>
      </w:r>
      <w:r>
        <w:rPr/>
        <w:t>implications for participants with complex support needs who, due to the market-based scheme, find it</w:t>
      </w:r>
      <w:r>
        <w:rPr>
          <w:spacing w:val="1"/>
        </w:rPr>
        <w:t> </w:t>
      </w:r>
      <w:r>
        <w:rPr/>
        <w:t>challenging to maintain long-term service agreements with providers. This is particularly problematic in the</w:t>
      </w:r>
      <w:r>
        <w:rPr>
          <w:spacing w:val="1"/>
        </w:rPr>
        <w:t> </w:t>
      </w:r>
      <w:r>
        <w:rPr/>
        <w:t>absence of a provider of last resort. However, further detail that explains the anticipated decision-making</w:t>
      </w:r>
      <w:r>
        <w:rPr>
          <w:spacing w:val="1"/>
        </w:rPr>
        <w:t> </w:t>
      </w:r>
      <w:r>
        <w:rPr/>
        <w:t>process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Agency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determining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invoke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power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required.</w:t>
      </w:r>
      <w:r>
        <w:rPr>
          <w:spacing w:val="-4"/>
        </w:rPr>
        <w:t> </w:t>
      </w:r>
      <w:r>
        <w:rPr/>
        <w:t>Whilst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likely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such</w:t>
      </w:r>
      <w:r>
        <w:rPr>
          <w:spacing w:val="-47"/>
        </w:rPr>
        <w:t> </w:t>
      </w:r>
      <w:r>
        <w:rPr/>
        <w:t>guidance will be provided in subsequent NDIS Rules, it is difficult to provide support for this legislative</w:t>
      </w:r>
      <w:r>
        <w:rPr>
          <w:spacing w:val="1"/>
        </w:rPr>
        <w:t> </w:t>
      </w:r>
      <w:r>
        <w:rPr/>
        <w:t>amendment in the absence of further information. For example, upon what data will the decision be based?</w:t>
      </w:r>
      <w:r>
        <w:rPr>
          <w:spacing w:val="1"/>
        </w:rPr>
        <w:t> </w:t>
      </w:r>
      <w:r>
        <w:rPr>
          <w:spacing w:val="-1"/>
        </w:rPr>
        <w:t>Market</w:t>
      </w:r>
      <w:r>
        <w:rPr>
          <w:spacing w:val="-7"/>
        </w:rPr>
        <w:t> </w:t>
      </w:r>
      <w:r>
        <w:rPr/>
        <w:t>intervention</w:t>
      </w:r>
      <w:r>
        <w:rPr>
          <w:spacing w:val="-10"/>
        </w:rPr>
        <w:t> </w:t>
      </w:r>
      <w:r>
        <w:rPr/>
        <w:t>powers</w:t>
      </w:r>
      <w:r>
        <w:rPr>
          <w:spacing w:val="-8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10"/>
        </w:rPr>
        <w:t> </w:t>
      </w:r>
      <w:r>
        <w:rPr/>
        <w:t>exercised</w:t>
      </w:r>
      <w:r>
        <w:rPr>
          <w:spacing w:val="-7"/>
        </w:rPr>
        <w:t> </w:t>
      </w:r>
      <w:r>
        <w:rPr/>
        <w:t>with</w:t>
      </w:r>
      <w:r>
        <w:rPr>
          <w:spacing w:val="-11"/>
        </w:rPr>
        <w:t> </w:t>
      </w:r>
      <w:r>
        <w:rPr/>
        <w:t>great</w:t>
      </w:r>
      <w:r>
        <w:rPr>
          <w:spacing w:val="-6"/>
        </w:rPr>
        <w:t> </w:t>
      </w:r>
      <w:r>
        <w:rPr/>
        <w:t>caution.</w:t>
      </w:r>
      <w:r>
        <w:rPr>
          <w:spacing w:val="-10"/>
        </w:rPr>
        <w:t> </w:t>
      </w:r>
      <w:r>
        <w:rPr/>
        <w:t>They</w:t>
      </w:r>
      <w:r>
        <w:rPr>
          <w:spacing w:val="-9"/>
        </w:rPr>
        <w:t> </w:t>
      </w:r>
      <w:r>
        <w:rPr/>
        <w:t>encroach</w:t>
      </w:r>
      <w:r>
        <w:rPr>
          <w:spacing w:val="-12"/>
        </w:rPr>
        <w:t> </w:t>
      </w:r>
      <w:r>
        <w:rPr/>
        <w:t>upon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choice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/>
        <w:t>control</w:t>
      </w:r>
      <w:r>
        <w:rPr>
          <w:spacing w:val="-47"/>
        </w:rPr>
        <w:t> </w:t>
      </w:r>
      <w:r>
        <w:rPr/>
        <w:t>of</w:t>
      </w:r>
      <w:r>
        <w:rPr>
          <w:spacing w:val="-1"/>
        </w:rPr>
        <w:t> </w:t>
      </w:r>
      <w:r>
        <w:rPr/>
        <w:t>participants 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frequently</w:t>
      </w:r>
      <w:r>
        <w:rPr>
          <w:spacing w:val="1"/>
        </w:rPr>
        <w:t> </w:t>
      </w:r>
      <w:r>
        <w:rPr/>
        <w:t>proclaimed as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of the</w:t>
      </w:r>
      <w:r>
        <w:rPr>
          <w:spacing w:val="-3"/>
        </w:rPr>
        <w:t> </w:t>
      </w:r>
      <w:r>
        <w:rPr/>
        <w:t>fundamental principles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scheme.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Further, QAI considers this an opportunity to clarify and legislate the right of participants to engage family</w:t>
      </w:r>
      <w:r>
        <w:rPr>
          <w:spacing w:val="1"/>
        </w:rPr>
        <w:t> </w:t>
      </w:r>
      <w:r>
        <w:rPr/>
        <w:t>members to provide supports under their plan. Currently, there is no legislative reason why a participant</w:t>
      </w:r>
      <w:r>
        <w:rPr>
          <w:spacing w:val="1"/>
        </w:rPr>
        <w:t> </w:t>
      </w:r>
      <w:r>
        <w:rPr/>
        <w:t>cannot fund family members to provide certain supports where this is reasonable, necessary, and entirely</w:t>
      </w:r>
      <w:r>
        <w:rPr>
          <w:spacing w:val="1"/>
        </w:rPr>
        <w:t> </w:t>
      </w:r>
      <w:r>
        <w:rPr/>
        <w:t>appropriate, yet the Agency has created its own operational guideline that stipulates it will ‘only fund family</w:t>
      </w:r>
      <w:r>
        <w:rPr>
          <w:spacing w:val="1"/>
        </w:rPr>
        <w:t> </w:t>
      </w:r>
      <w:r>
        <w:rPr/>
        <w:t>members to provide supports in exceptional circumstances’, despite there being no legal basis upon which</w:t>
      </w:r>
      <w:r>
        <w:rPr>
          <w:spacing w:val="1"/>
        </w:rPr>
        <w:t> </w:t>
      </w:r>
      <w:r>
        <w:rPr/>
        <w:t>the Agency grounds this position. Decisions as to who a participant can and cannot engage as a service</w:t>
      </w:r>
      <w:r>
        <w:rPr>
          <w:spacing w:val="1"/>
        </w:rPr>
        <w:t> </w:t>
      </w:r>
      <w:r>
        <w:rPr/>
        <w:t>provider are not reviewable decisions. This means that participants who are ‘informed’ by the Agency that</w:t>
      </w:r>
      <w:r>
        <w:rPr>
          <w:spacing w:val="1"/>
        </w:rPr>
        <w:t> </w:t>
      </w:r>
      <w:r>
        <w:rPr/>
        <w:t>they cannot engage family members have no ability to initiate an internal review of this incorrect and</w:t>
      </w:r>
      <w:r>
        <w:rPr>
          <w:spacing w:val="1"/>
        </w:rPr>
        <w:t> </w:t>
      </w:r>
      <w:r>
        <w:rPr/>
        <w:t>unsubstantiated ‘decision’. The only recourse available to participants is to initiate an internal review in the</w:t>
      </w:r>
      <w:r>
        <w:rPr>
          <w:spacing w:val="1"/>
        </w:rPr>
        <w:t> </w:t>
      </w:r>
      <w:r>
        <w:rPr/>
        <w:t>event that the Agency, in a bid to retain control over who the participant chooses to engage to provide their</w:t>
      </w:r>
      <w:r>
        <w:rPr>
          <w:spacing w:val="1"/>
        </w:rPr>
        <w:t> </w:t>
      </w:r>
      <w:r>
        <w:rPr/>
        <w:t>supports, changes their plan management type to agency-managed. QAI has advised several clients in this</w:t>
      </w:r>
      <w:r>
        <w:rPr>
          <w:spacing w:val="1"/>
        </w:rPr>
        <w:t> </w:t>
      </w:r>
      <w:r>
        <w:rPr/>
        <w:t>situation, yet many participants are unaware as to lack of legislative basis for the Agency’s position. QAI</w:t>
      </w:r>
      <w:r>
        <w:rPr>
          <w:spacing w:val="1"/>
        </w:rPr>
        <w:t> </w:t>
      </w:r>
      <w:r>
        <w:rPr/>
        <w:t>therefore recommends that the exceptional circumstances contained within the operational guideline are</w:t>
      </w:r>
      <w:r>
        <w:rPr>
          <w:spacing w:val="1"/>
        </w:rPr>
        <w:t> </w:t>
      </w:r>
      <w:r>
        <w:rPr/>
        <w:t>legislated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1"/>
        </w:rPr>
        <w:t> </w:t>
      </w:r>
      <w:r>
        <w:rPr/>
        <w:t>clarity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ensure</w:t>
      </w:r>
      <w:r>
        <w:rPr>
          <w:spacing w:val="1"/>
        </w:rPr>
        <w:t> </w:t>
      </w:r>
      <w:r>
        <w:rPr/>
        <w:t>these</w:t>
      </w:r>
      <w:r>
        <w:rPr>
          <w:spacing w:val="-2"/>
        </w:rPr>
        <w:t> </w:t>
      </w:r>
      <w:r>
        <w:rPr/>
        <w:t>decisions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reviewable.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rPr>
          <w:i/>
        </w:rPr>
      </w:pPr>
      <w:r>
        <w:rPr>
          <w:i/>
          <w:color w:val="808080"/>
        </w:rPr>
        <w:t>Psychosocial</w:t>
      </w:r>
      <w:r>
        <w:rPr>
          <w:i/>
          <w:color w:val="808080"/>
          <w:spacing w:val="-4"/>
        </w:rPr>
        <w:t> </w:t>
      </w:r>
      <w:r>
        <w:rPr>
          <w:i/>
          <w:color w:val="808080"/>
        </w:rPr>
        <w:t>disability</w:t>
      </w:r>
    </w:p>
    <w:p>
      <w:pPr>
        <w:pStyle w:val="BodyText"/>
        <w:spacing w:line="276" w:lineRule="auto" w:before="49"/>
        <w:ind w:left="360" w:right="714"/>
        <w:jc w:val="both"/>
      </w:pPr>
      <w:r>
        <w:rPr/>
        <w:t>Similarly, QAI supports the move to broaden the eligibility criteria for people with psychosocial disability</w:t>
      </w:r>
      <w:r>
        <w:rPr>
          <w:spacing w:val="1"/>
        </w:rPr>
        <w:t> </w:t>
      </w:r>
      <w:r>
        <w:rPr/>
        <w:t>seeking access to the NDIS. Psychosocial disability can be episodic and fluctuating in nature yet still be</w:t>
      </w:r>
      <w:r>
        <w:rPr>
          <w:spacing w:val="1"/>
        </w:rPr>
        <w:t> </w:t>
      </w:r>
      <w:r>
        <w:rPr/>
        <w:t>permanent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cause</w:t>
      </w:r>
      <w:r>
        <w:rPr>
          <w:spacing w:val="1"/>
        </w:rPr>
        <w:t> </w:t>
      </w:r>
      <w:r>
        <w:rPr/>
        <w:t>substantially</w:t>
      </w:r>
      <w:r>
        <w:rPr>
          <w:spacing w:val="1"/>
        </w:rPr>
        <w:t> </w:t>
      </w:r>
      <w:r>
        <w:rPr/>
        <w:t>reduced</w:t>
      </w:r>
      <w:r>
        <w:rPr>
          <w:spacing w:val="1"/>
        </w:rPr>
        <w:t> </w:t>
      </w:r>
      <w:r>
        <w:rPr/>
        <w:t>functional</w:t>
      </w:r>
      <w:r>
        <w:rPr>
          <w:spacing w:val="1"/>
        </w:rPr>
        <w:t> </w:t>
      </w:r>
      <w:r>
        <w:rPr/>
        <w:t>capacity.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welcome</w:t>
      </w:r>
      <w:r>
        <w:rPr>
          <w:spacing w:val="1"/>
        </w:rPr>
        <w:t> </w:t>
      </w:r>
      <w:r>
        <w:rPr/>
        <w:t>recognition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significant challenges encountered by many people with psychosocial disability since the rollout of the NDIS</w:t>
      </w:r>
      <w:r>
        <w:rPr>
          <w:spacing w:val="1"/>
        </w:rPr>
        <w:t> </w:t>
      </w:r>
      <w:r>
        <w:rPr/>
        <w:t>and cessation of Commonwealth funded mental health support programs, such as Partners in Recovery. It is</w:t>
      </w:r>
      <w:r>
        <w:rPr>
          <w:spacing w:val="1"/>
        </w:rPr>
        <w:t> </w:t>
      </w:r>
      <w:r>
        <w:rPr/>
        <w:t>also compatible with the recovery-based framework adopted in the mental health sector and endorses many</w:t>
      </w:r>
      <w:r>
        <w:rPr>
          <w:spacing w:val="-47"/>
        </w:rPr>
        <w:t> </w:t>
      </w:r>
      <w:r>
        <w:rPr/>
        <w:t>of the concerns raised regarding proposed independent assessments and the need to capture the unique</w:t>
      </w:r>
      <w:r>
        <w:rPr>
          <w:spacing w:val="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needs of</w:t>
      </w:r>
      <w:r>
        <w:rPr>
          <w:spacing w:val="-3"/>
        </w:rPr>
        <w:t> </w:t>
      </w:r>
      <w:r>
        <w:rPr/>
        <w:t>individuals with</w:t>
      </w:r>
      <w:r>
        <w:rPr>
          <w:spacing w:val="-3"/>
        </w:rPr>
        <w:t> </w:t>
      </w:r>
      <w:r>
        <w:rPr/>
        <w:t>episodic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fluctuating</w:t>
      </w:r>
      <w:r>
        <w:rPr>
          <w:spacing w:val="-1"/>
        </w:rPr>
        <w:t> </w:t>
      </w:r>
      <w:r>
        <w:rPr/>
        <w:t>conditions.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60" w:right="713"/>
        <w:jc w:val="both"/>
      </w:pPr>
      <w:r>
        <w:rPr/>
        <w:t>However,</w:t>
      </w:r>
      <w:r>
        <w:rPr>
          <w:spacing w:val="-3"/>
        </w:rPr>
        <w:t> </w:t>
      </w:r>
      <w:r>
        <w:rPr/>
        <w:t>amended</w:t>
      </w:r>
      <w:r>
        <w:rPr>
          <w:spacing w:val="-4"/>
        </w:rPr>
        <w:t> </w:t>
      </w:r>
      <w:r>
        <w:rPr/>
        <w:t>section</w:t>
      </w:r>
      <w:r>
        <w:rPr>
          <w:spacing w:val="-6"/>
        </w:rPr>
        <w:t> </w:t>
      </w:r>
      <w:r>
        <w:rPr/>
        <w:t>27</w:t>
      </w:r>
      <w:r>
        <w:rPr>
          <w:spacing w:val="-1"/>
        </w:rPr>
        <w:t> </w:t>
      </w:r>
      <w:r>
        <w:rPr/>
        <w:t>states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NDIS</w:t>
      </w:r>
      <w:r>
        <w:rPr>
          <w:spacing w:val="-3"/>
        </w:rPr>
        <w:t> </w:t>
      </w:r>
      <w:r>
        <w:rPr/>
        <w:t>Rules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now</w:t>
      </w:r>
      <w:r>
        <w:rPr>
          <w:spacing w:val="-3"/>
        </w:rPr>
        <w:t> </w:t>
      </w:r>
      <w:r>
        <w:rPr/>
        <w:t>‘specify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satisfied</w:t>
      </w:r>
      <w:r>
        <w:rPr>
          <w:spacing w:val="-3"/>
        </w:rPr>
        <w:t> </w:t>
      </w:r>
      <w:r>
        <w:rPr/>
        <w:t>for</w:t>
      </w:r>
      <w:r>
        <w:rPr>
          <w:spacing w:val="-48"/>
        </w:rPr>
        <w:t> </w:t>
      </w:r>
      <w:r>
        <w:rPr/>
        <w:t>an</w:t>
      </w:r>
      <w:r>
        <w:rPr>
          <w:spacing w:val="1"/>
        </w:rPr>
        <w:t> </w:t>
      </w:r>
      <w:r>
        <w:rPr/>
        <w:t>impairment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permanent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likely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permanent’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opposed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identifying</w:t>
      </w:r>
      <w:r>
        <w:rPr>
          <w:spacing w:val="1"/>
        </w:rPr>
        <w:t> </w:t>
      </w:r>
      <w:r>
        <w:rPr/>
        <w:t>‘circumstances in which, or criteria to be applied in assessing whether’ an impairment is permanent or likely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permanent.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could</w:t>
      </w:r>
      <w:r>
        <w:rPr>
          <w:spacing w:val="-10"/>
        </w:rPr>
        <w:t> </w:t>
      </w:r>
      <w:r>
        <w:rPr>
          <w:spacing w:val="-1"/>
        </w:rPr>
        <w:t>potentially</w:t>
      </w:r>
      <w:r>
        <w:rPr>
          <w:spacing w:val="-11"/>
        </w:rPr>
        <w:t> </w:t>
      </w:r>
      <w:r>
        <w:rPr/>
        <w:t>make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harder</w:t>
      </w:r>
      <w:r>
        <w:rPr>
          <w:spacing w:val="-11"/>
        </w:rPr>
        <w:t> </w:t>
      </w:r>
      <w:r>
        <w:rPr/>
        <w:t>for</w:t>
      </w:r>
      <w:r>
        <w:rPr>
          <w:spacing w:val="-7"/>
        </w:rPr>
        <w:t> </w:t>
      </w:r>
      <w:r>
        <w:rPr/>
        <w:t>prospective</w:t>
      </w:r>
      <w:r>
        <w:rPr>
          <w:spacing w:val="-8"/>
        </w:rPr>
        <w:t> </w:t>
      </w:r>
      <w:r>
        <w:rPr/>
        <w:t>participants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psychosocial</w:t>
      </w:r>
      <w:r>
        <w:rPr>
          <w:spacing w:val="-10"/>
        </w:rPr>
        <w:t> </w:t>
      </w:r>
      <w:r>
        <w:rPr/>
        <w:t>disability</w:t>
      </w:r>
      <w:r>
        <w:rPr>
          <w:spacing w:val="-47"/>
        </w:rPr>
        <w:t> </w:t>
      </w:r>
      <w:r>
        <w:rPr/>
        <w:t>to</w:t>
      </w:r>
      <w:r>
        <w:rPr>
          <w:spacing w:val="20"/>
        </w:rPr>
        <w:t> </w:t>
      </w:r>
      <w:r>
        <w:rPr/>
        <w:t>meet</w:t>
      </w:r>
      <w:r>
        <w:rPr>
          <w:spacing w:val="20"/>
        </w:rPr>
        <w:t> </w:t>
      </w:r>
      <w:r>
        <w:rPr/>
        <w:t>more</w:t>
      </w:r>
      <w:r>
        <w:rPr>
          <w:spacing w:val="21"/>
        </w:rPr>
        <w:t> </w:t>
      </w:r>
      <w:r>
        <w:rPr/>
        <w:t>narrowly</w:t>
      </w:r>
      <w:r>
        <w:rPr>
          <w:spacing w:val="20"/>
        </w:rPr>
        <w:t> </w:t>
      </w:r>
      <w:r>
        <w:rPr/>
        <w:t>defined</w:t>
      </w:r>
      <w:r>
        <w:rPr>
          <w:spacing w:val="21"/>
        </w:rPr>
        <w:t> </w:t>
      </w:r>
      <w:r>
        <w:rPr/>
        <w:t>access</w:t>
      </w:r>
      <w:r>
        <w:rPr>
          <w:spacing w:val="18"/>
        </w:rPr>
        <w:t> </w:t>
      </w:r>
      <w:r>
        <w:rPr/>
        <w:t>criteria.</w:t>
      </w:r>
      <w:r>
        <w:rPr>
          <w:spacing w:val="23"/>
        </w:rPr>
        <w:t> </w:t>
      </w:r>
      <w:r>
        <w:rPr/>
        <w:t>Further,</w:t>
      </w:r>
      <w:r>
        <w:rPr>
          <w:spacing w:val="21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released</w:t>
      </w:r>
      <w:r>
        <w:rPr>
          <w:spacing w:val="20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18"/>
        </w:rPr>
        <w:t> </w:t>
      </w:r>
      <w:r>
        <w:rPr/>
        <w:t>Department</w:t>
      </w:r>
      <w:r>
        <w:rPr>
          <w:spacing w:val="21"/>
        </w:rPr>
        <w:t> </w:t>
      </w:r>
      <w:r>
        <w:rPr/>
        <w:t>of</w:t>
      </w:r>
      <w:r>
        <w:rPr>
          <w:spacing w:val="19"/>
        </w:rPr>
        <w:t> </w:t>
      </w:r>
      <w:r>
        <w:rPr/>
        <w:t>Social</w:t>
      </w:r>
    </w:p>
    <w:p>
      <w:pPr>
        <w:spacing w:after="0" w:line="276" w:lineRule="auto"/>
        <w:jc w:val="both"/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76" w:lineRule="auto" w:before="56"/>
        <w:ind w:left="360" w:right="712"/>
        <w:jc w:val="both"/>
      </w:pPr>
      <w:r>
        <w:rPr/>
        <w:t>Services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recent</w:t>
      </w:r>
      <w:r>
        <w:rPr>
          <w:spacing w:val="1"/>
        </w:rPr>
        <w:t> </w:t>
      </w:r>
      <w:r>
        <w:rPr/>
        <w:t>consultation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revealed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ambiguity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accompanying NDIS Rules. In the absence of any accompanying rules to this Bill, it is once again difficult to</w:t>
      </w:r>
      <w:r>
        <w:rPr>
          <w:spacing w:val="1"/>
        </w:rPr>
        <w:t> </w:t>
      </w:r>
      <w:r>
        <w:rPr/>
        <w:t>provide support for this legislative change without understanding the full effect of its intended application.</w:t>
      </w:r>
      <w:r>
        <w:rPr>
          <w:spacing w:val="1"/>
        </w:rPr>
        <w:t> </w:t>
      </w:r>
      <w:r>
        <w:rPr/>
        <w:t>Greater</w:t>
      </w:r>
      <w:r>
        <w:rPr>
          <w:spacing w:val="-3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therefore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spacing w:before="1"/>
        <w:jc w:val="left"/>
        <w:rPr>
          <w:i/>
        </w:rPr>
      </w:pPr>
      <w:r>
        <w:rPr>
          <w:i/>
          <w:color w:val="808080"/>
        </w:rPr>
        <w:t>Scheme</w:t>
      </w:r>
      <w:r>
        <w:rPr>
          <w:i/>
          <w:color w:val="808080"/>
          <w:spacing w:val="-4"/>
        </w:rPr>
        <w:t> </w:t>
      </w:r>
      <w:r>
        <w:rPr>
          <w:i/>
          <w:color w:val="808080"/>
        </w:rPr>
        <w:t>sustainability</w:t>
      </w:r>
    </w:p>
    <w:p>
      <w:pPr>
        <w:pStyle w:val="BodyText"/>
        <w:spacing w:line="276" w:lineRule="auto" w:before="49"/>
        <w:ind w:left="360" w:right="714"/>
        <w:jc w:val="both"/>
      </w:pPr>
      <w:r>
        <w:rPr/>
        <w:t>QAI is concerned about the reference to scheme sustainability in amended section 209(3) which requires the</w:t>
      </w:r>
      <w:r>
        <w:rPr>
          <w:spacing w:val="-47"/>
        </w:rPr>
        <w:t> </w:t>
      </w:r>
      <w:r>
        <w:rPr/>
        <w:t>Minister to have regard to the financial sustainability of the NDIS when making rules. People with disability</w:t>
      </w:r>
      <w:r>
        <w:rPr>
          <w:spacing w:val="1"/>
        </w:rPr>
        <w:t> </w:t>
      </w:r>
      <w:r>
        <w:rPr/>
        <w:t>undoubtedly have the biggest interest in ensuring the sustainability of the scheme so that it endures into the</w:t>
      </w:r>
      <w:r>
        <w:rPr>
          <w:spacing w:val="-47"/>
        </w:rPr>
        <w:t> </w:t>
      </w:r>
      <w:r>
        <w:rPr/>
        <w:t>future. There are many aspects of the scheme’s implementation that represent a waste of precious funding,</w:t>
      </w:r>
      <w:r>
        <w:rPr>
          <w:spacing w:val="1"/>
        </w:rPr>
        <w:t> </w:t>
      </w:r>
      <w:r>
        <w:rPr/>
        <w:t>such as the exorbitant costs of the Agency’s legal representation fees in AAT matters and inflated prices</w:t>
      </w:r>
      <w:r>
        <w:rPr>
          <w:spacing w:val="1"/>
        </w:rPr>
        <w:t> </w:t>
      </w:r>
      <w:r>
        <w:rPr/>
        <w:t>charged by allied health professionals under the scheme’s price guide. However, continuing to reference the</w:t>
      </w:r>
      <w:r>
        <w:rPr>
          <w:spacing w:val="1"/>
        </w:rPr>
        <w:t> </w:t>
      </w:r>
      <w:r>
        <w:rPr/>
        <w:t>scheme’s financial sustainability throughout the legislation raises the risk that the Minister for the NDIS will</w:t>
      </w:r>
      <w:r>
        <w:rPr>
          <w:spacing w:val="1"/>
        </w:rPr>
        <w:t> </w:t>
      </w:r>
      <w:r>
        <w:rPr/>
        <w:t>use this as justification to prevent participants from accessing certain disability related supports that have</w:t>
      </w:r>
      <w:r>
        <w:rPr>
          <w:spacing w:val="1"/>
        </w:rPr>
        <w:t> </w:t>
      </w:r>
      <w:r>
        <w:rPr/>
        <w:t>been</w:t>
      </w:r>
      <w:r>
        <w:rPr>
          <w:spacing w:val="-2"/>
        </w:rPr>
        <w:t> </w:t>
      </w:r>
      <w:r>
        <w:rPr/>
        <w:t>deemed</w:t>
      </w:r>
      <w:r>
        <w:rPr>
          <w:spacing w:val="-3"/>
        </w:rPr>
        <w:t> </w:t>
      </w:r>
      <w:r>
        <w:rPr/>
        <w:t>to be reasonable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AAT, 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sex</w:t>
      </w:r>
      <w:r>
        <w:rPr>
          <w:spacing w:val="-3"/>
        </w:rPr>
        <w:t> </w:t>
      </w:r>
      <w:r>
        <w:rPr/>
        <w:t>therapy or</w:t>
      </w:r>
      <w:r>
        <w:rPr>
          <w:spacing w:val="-3"/>
        </w:rPr>
        <w:t> </w:t>
      </w:r>
      <w:r>
        <w:rPr/>
        <w:t>gym</w:t>
      </w:r>
      <w:r>
        <w:rPr>
          <w:spacing w:val="-2"/>
        </w:rPr>
        <w:t> </w:t>
      </w:r>
      <w:r>
        <w:rPr/>
        <w:t>memberships.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spacing w:before="1"/>
        <w:jc w:val="left"/>
        <w:rPr>
          <w:i/>
        </w:rPr>
      </w:pPr>
      <w:r>
        <w:rPr>
          <w:i/>
          <w:color w:val="808080"/>
        </w:rPr>
        <w:t>Payments</w:t>
      </w:r>
    </w:p>
    <w:p>
      <w:pPr>
        <w:pStyle w:val="BodyText"/>
        <w:spacing w:line="276" w:lineRule="auto" w:before="46"/>
        <w:ind w:left="360" w:right="712"/>
        <w:jc w:val="both"/>
      </w:pPr>
      <w:r>
        <w:rPr/>
        <w:t>QAI supports the introduction of an additional payment method for self-managing participants which will</w:t>
      </w:r>
      <w:r>
        <w:rPr>
          <w:spacing w:val="1"/>
        </w:rPr>
        <w:t> </w:t>
      </w:r>
      <w:r>
        <w:rPr/>
        <w:t>enable the Agency to pay providers directly, without self-managing participants paying for the support up</w:t>
      </w:r>
      <w:r>
        <w:rPr>
          <w:spacing w:val="1"/>
        </w:rPr>
        <w:t> </w:t>
      </w:r>
      <w:r>
        <w:rPr/>
        <w:t>front and then seeking reimbursement in situations where this is not the participant’s preference. QAI</w:t>
      </w:r>
      <w:r>
        <w:rPr>
          <w:spacing w:val="1"/>
        </w:rPr>
        <w:t> </w:t>
      </w:r>
      <w:r>
        <w:rPr/>
        <w:t>welcomes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clarification</w:t>
      </w:r>
      <w:r>
        <w:rPr>
          <w:spacing w:val="-8"/>
        </w:rPr>
        <w:t> </w:t>
      </w:r>
      <w:r>
        <w:rPr/>
        <w:t>that</w:t>
      </w:r>
      <w:r>
        <w:rPr>
          <w:spacing w:val="-3"/>
        </w:rPr>
        <w:t> </w:t>
      </w:r>
      <w:r>
        <w:rPr/>
        <w:t>‘the</w:t>
      </w:r>
      <w:r>
        <w:rPr>
          <w:spacing w:val="-6"/>
        </w:rPr>
        <w:t> </w:t>
      </w:r>
      <w:r>
        <w:rPr/>
        <w:t>new</w:t>
      </w:r>
      <w:r>
        <w:rPr>
          <w:spacing w:val="-5"/>
        </w:rPr>
        <w:t> </w:t>
      </w:r>
      <w:r>
        <w:rPr/>
        <w:t>direct</w:t>
      </w:r>
      <w:r>
        <w:rPr>
          <w:spacing w:val="-3"/>
        </w:rPr>
        <w:t> </w:t>
      </w:r>
      <w:r>
        <w:rPr/>
        <w:t>payment</w:t>
      </w:r>
      <w:r>
        <w:rPr>
          <w:spacing w:val="-3"/>
        </w:rPr>
        <w:t> </w:t>
      </w:r>
      <w:r>
        <w:rPr/>
        <w:t>system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5"/>
        </w:rPr>
        <w:t> </w:t>
      </w:r>
      <w:r>
        <w:rPr>
          <w:i/>
        </w:rPr>
        <w:t>alternative</w:t>
      </w:r>
      <w:r>
        <w:rPr>
          <w:i/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not</w:t>
      </w:r>
      <w:r>
        <w:rPr>
          <w:spacing w:val="-48"/>
        </w:rPr>
        <w:t> </w:t>
      </w:r>
      <w:r>
        <w:rPr/>
        <w:t>prevent the use of unregistered providers by self-managed participants’.</w:t>
      </w:r>
      <w:r>
        <w:rPr>
          <w:vertAlign w:val="superscript"/>
        </w:rPr>
        <w:t>10</w:t>
      </w:r>
      <w:r>
        <w:rPr>
          <w:vertAlign w:val="baseline"/>
        </w:rPr>
        <w:t>Many self-managing participants</w:t>
      </w:r>
      <w:r>
        <w:rPr>
          <w:spacing w:val="1"/>
          <w:vertAlign w:val="baseline"/>
        </w:rPr>
        <w:t> </w:t>
      </w:r>
      <w:r>
        <w:rPr>
          <w:vertAlign w:val="baseline"/>
        </w:rPr>
        <w:t>prefer to pay for their services up front and have valid reasons for doing so, such as wanting to protect their</w:t>
      </w:r>
      <w:r>
        <w:rPr>
          <w:spacing w:val="1"/>
          <w:vertAlign w:val="baseline"/>
        </w:rPr>
        <w:t> </w:t>
      </w:r>
      <w:r>
        <w:rPr>
          <w:vertAlign w:val="baseline"/>
        </w:rPr>
        <w:t>privacy as an NDIS participant when their status as a person with a disability is irrelevant to their service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provision.</w:t>
      </w:r>
      <w:r>
        <w:rPr>
          <w:spacing w:val="-10"/>
          <w:vertAlign w:val="baseline"/>
        </w:rPr>
        <w:t> </w:t>
      </w:r>
      <w:r>
        <w:rPr>
          <w:spacing w:val="-1"/>
          <w:vertAlign w:val="baseline"/>
        </w:rPr>
        <w:t>For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example,</w:t>
      </w:r>
      <w:r>
        <w:rPr>
          <w:spacing w:val="-12"/>
          <w:vertAlign w:val="baseline"/>
        </w:rPr>
        <w:t> </w:t>
      </w:r>
      <w:r>
        <w:rPr>
          <w:vertAlign w:val="baseline"/>
        </w:rPr>
        <w:t>when</w:t>
      </w:r>
      <w:r>
        <w:rPr>
          <w:spacing w:val="-9"/>
          <w:vertAlign w:val="baseline"/>
        </w:rPr>
        <w:t> </w:t>
      </w:r>
      <w:r>
        <w:rPr>
          <w:vertAlign w:val="baseline"/>
        </w:rPr>
        <w:t>self-managed</w:t>
      </w:r>
      <w:r>
        <w:rPr>
          <w:spacing w:val="-9"/>
          <w:vertAlign w:val="baseline"/>
        </w:rPr>
        <w:t> </w:t>
      </w:r>
      <w:r>
        <w:rPr>
          <w:vertAlign w:val="baseline"/>
        </w:rPr>
        <w:t>participants</w:t>
      </w:r>
      <w:r>
        <w:rPr>
          <w:spacing w:val="-9"/>
          <w:vertAlign w:val="baseline"/>
        </w:rPr>
        <w:t> </w:t>
      </w:r>
      <w:r>
        <w:rPr>
          <w:vertAlign w:val="baseline"/>
        </w:rPr>
        <w:t>engage</w:t>
      </w:r>
      <w:r>
        <w:rPr>
          <w:spacing w:val="-8"/>
          <w:vertAlign w:val="baseline"/>
        </w:rPr>
        <w:t> </w:t>
      </w:r>
      <w:r>
        <w:rPr>
          <w:vertAlign w:val="baseline"/>
        </w:rPr>
        <w:t>independent</w:t>
      </w:r>
      <w:r>
        <w:rPr>
          <w:spacing w:val="-9"/>
          <w:vertAlign w:val="baseline"/>
        </w:rPr>
        <w:t> </w:t>
      </w:r>
      <w:r>
        <w:rPr>
          <w:vertAlign w:val="baseline"/>
        </w:rPr>
        <w:t>contractors</w:t>
      </w:r>
      <w:r>
        <w:rPr>
          <w:spacing w:val="-9"/>
          <w:vertAlign w:val="baseline"/>
        </w:rPr>
        <w:t> </w:t>
      </w:r>
      <w:r>
        <w:rPr>
          <w:vertAlign w:val="baseline"/>
        </w:rPr>
        <w:t>for</w:t>
      </w:r>
      <w:r>
        <w:rPr>
          <w:spacing w:val="-9"/>
          <w:vertAlign w:val="baseline"/>
        </w:rPr>
        <w:t> </w:t>
      </w:r>
      <w:r>
        <w:rPr>
          <w:vertAlign w:val="baseline"/>
        </w:rPr>
        <w:t>cleaning</w:t>
      </w:r>
      <w:r>
        <w:rPr>
          <w:spacing w:val="-10"/>
          <w:vertAlign w:val="baseline"/>
        </w:rPr>
        <w:t> </w:t>
      </w:r>
      <w:r>
        <w:rPr>
          <w:vertAlign w:val="baseline"/>
        </w:rPr>
        <w:t>services</w:t>
      </w:r>
      <w:r>
        <w:rPr>
          <w:spacing w:val="-47"/>
          <w:vertAlign w:val="baseline"/>
        </w:rPr>
        <w:t> </w:t>
      </w:r>
      <w:r>
        <w:rPr>
          <w:vertAlign w:val="baseline"/>
        </w:rPr>
        <w:t>or</w:t>
      </w:r>
      <w:r>
        <w:rPr>
          <w:spacing w:val="-1"/>
          <w:vertAlign w:val="baseline"/>
        </w:rPr>
        <w:t> </w:t>
      </w:r>
      <w:r>
        <w:rPr>
          <w:vertAlign w:val="baseline"/>
        </w:rPr>
        <w:t>gardening</w:t>
      </w:r>
      <w:r>
        <w:rPr>
          <w:spacing w:val="-3"/>
          <w:vertAlign w:val="baseline"/>
        </w:rPr>
        <w:t> </w:t>
      </w:r>
      <w:r>
        <w:rPr>
          <w:vertAlign w:val="baseline"/>
        </w:rPr>
        <w:t>maintenance.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Heading2"/>
        <w:jc w:val="left"/>
        <w:rPr>
          <w:i/>
        </w:rPr>
      </w:pPr>
      <w:r>
        <w:rPr>
          <w:i/>
          <w:color w:val="808080"/>
        </w:rPr>
        <w:t>Board</w:t>
      </w:r>
      <w:r>
        <w:rPr>
          <w:i/>
          <w:color w:val="808080"/>
          <w:spacing w:val="-2"/>
        </w:rPr>
        <w:t> </w:t>
      </w:r>
      <w:r>
        <w:rPr>
          <w:i/>
          <w:color w:val="808080"/>
        </w:rPr>
        <w:t>members</w:t>
      </w:r>
    </w:p>
    <w:p>
      <w:pPr>
        <w:pStyle w:val="BodyText"/>
        <w:spacing w:line="276" w:lineRule="auto" w:before="47"/>
        <w:ind w:left="360" w:right="712"/>
        <w:jc w:val="both"/>
      </w:pPr>
      <w:r>
        <w:rPr/>
        <w:t>QAI supports the amendment that recognises the importance of having individuals with lived experience of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NDIA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lived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stand-alone</w:t>
      </w:r>
      <w:r>
        <w:rPr>
          <w:spacing w:val="1"/>
        </w:rPr>
        <w:t> </w:t>
      </w:r>
      <w:r>
        <w:rPr/>
        <w:t>criterion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eligibility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appointment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Board</w:t>
      </w:r>
      <w:r>
        <w:rPr>
          <w:spacing w:val="-10"/>
        </w:rPr>
        <w:t> </w:t>
      </w:r>
      <w:r>
        <w:rPr/>
        <w:t>Member.</w:t>
      </w:r>
      <w:r>
        <w:rPr>
          <w:spacing w:val="-9"/>
        </w:rPr>
        <w:t> </w:t>
      </w:r>
      <w:r>
        <w:rPr/>
        <w:t>However,</w:t>
      </w:r>
      <w:r>
        <w:rPr>
          <w:spacing w:val="-9"/>
        </w:rPr>
        <w:t> </w:t>
      </w:r>
      <w:r>
        <w:rPr/>
        <w:t>QAI</w:t>
      </w:r>
      <w:r>
        <w:rPr>
          <w:spacing w:val="-10"/>
        </w:rPr>
        <w:t> </w:t>
      </w:r>
      <w:r>
        <w:rPr/>
        <w:t>suggests</w:t>
      </w:r>
      <w:r>
        <w:rPr>
          <w:spacing w:val="-9"/>
        </w:rPr>
        <w:t> </w:t>
      </w:r>
      <w:r>
        <w:rPr/>
        <w:t>further</w:t>
      </w:r>
      <w:r>
        <w:rPr>
          <w:spacing w:val="-12"/>
        </w:rPr>
        <w:t> </w:t>
      </w:r>
      <w:r>
        <w:rPr/>
        <w:t>consideration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given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representation</w:t>
      </w:r>
      <w:r>
        <w:rPr>
          <w:spacing w:val="-47"/>
        </w:rPr>
        <w:t> </w:t>
      </w:r>
      <w:r>
        <w:rPr/>
        <w:t>of different disability types on the Board, such as intellectual disability, cognitive disability, psychosocial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etc.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Heading1"/>
      </w:pPr>
      <w:r>
        <w:rPr>
          <w:color w:val="808080"/>
        </w:rPr>
        <w:t>Schedule</w:t>
      </w:r>
      <w:r>
        <w:rPr>
          <w:color w:val="808080"/>
          <w:spacing w:val="-3"/>
        </w:rPr>
        <w:t> </w:t>
      </w:r>
      <w:r>
        <w:rPr>
          <w:color w:val="808080"/>
        </w:rPr>
        <w:t>3</w:t>
      </w:r>
      <w:r>
        <w:rPr>
          <w:color w:val="808080"/>
          <w:spacing w:val="-1"/>
        </w:rPr>
        <w:t> </w:t>
      </w:r>
      <w:r>
        <w:rPr>
          <w:color w:val="808080"/>
        </w:rPr>
        <w:t>–</w:t>
      </w:r>
      <w:r>
        <w:rPr>
          <w:color w:val="808080"/>
          <w:spacing w:val="-3"/>
        </w:rPr>
        <w:t> </w:t>
      </w:r>
      <w:r>
        <w:rPr>
          <w:color w:val="808080"/>
        </w:rPr>
        <w:t>Full</w:t>
      </w:r>
      <w:r>
        <w:rPr>
          <w:color w:val="808080"/>
          <w:spacing w:val="-3"/>
        </w:rPr>
        <w:t> </w:t>
      </w:r>
      <w:r>
        <w:rPr>
          <w:color w:val="808080"/>
        </w:rPr>
        <w:t>Scheme</w:t>
      </w:r>
      <w:r>
        <w:rPr>
          <w:color w:val="808080"/>
          <w:spacing w:val="-4"/>
        </w:rPr>
        <w:t> </w:t>
      </w:r>
      <w:r>
        <w:rPr>
          <w:color w:val="808080"/>
        </w:rPr>
        <w:t>Amendments</w:t>
      </w:r>
    </w:p>
    <w:p>
      <w:pPr>
        <w:pStyle w:val="BodyText"/>
        <w:spacing w:before="178"/>
        <w:ind w:left="360"/>
        <w:jc w:val="both"/>
      </w:pPr>
      <w:r>
        <w:rPr/>
        <w:t>QAI</w:t>
      </w:r>
      <w:r>
        <w:rPr>
          <w:spacing w:val="-2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the amendments in</w:t>
      </w:r>
      <w:r>
        <w:rPr>
          <w:spacing w:val="-2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Bill.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54pt;margin-top:10.579755pt;width:144.050pt;height:.72003pt;mso-position-horizontal-relative:page;mso-position-vertical-relative:paragraph;z-index:-15723520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1201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National Disability Insurance Scheme Amendment (Participant Service Guarantee and Other Measures) Bill 2021</w:t>
      </w:r>
      <w:r>
        <w:rPr>
          <w:i/>
          <w:spacing w:val="-43"/>
          <w:sz w:val="20"/>
          <w:vertAlign w:val="baseline"/>
        </w:rPr>
        <w:t> </w:t>
      </w:r>
      <w:r>
        <w:rPr>
          <w:i/>
          <w:sz w:val="20"/>
          <w:vertAlign w:val="baseline"/>
        </w:rPr>
        <w:t>Explanatory</w:t>
      </w:r>
      <w:r>
        <w:rPr>
          <w:i/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Memorandum</w:t>
      </w:r>
      <w:r>
        <w:rPr>
          <w:sz w:val="20"/>
          <w:vertAlign w:val="baseline"/>
        </w:rPr>
        <w:t>, p44</w:t>
      </w:r>
    </w:p>
    <w:p>
      <w:pPr>
        <w:spacing w:after="0"/>
        <w:jc w:val="left"/>
        <w:rPr>
          <w:sz w:val="20"/>
        </w:rPr>
        <w:sectPr>
          <w:pgSz w:w="11900" w:h="16850"/>
          <w:pgMar w:header="463" w:footer="611" w:top="660" w:bottom="800" w:left="7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before="35"/>
      </w:pPr>
      <w:r>
        <w:rPr>
          <w:color w:val="808080"/>
        </w:rPr>
        <w:t>Additional</w:t>
      </w:r>
      <w:r>
        <w:rPr>
          <w:color w:val="808080"/>
          <w:spacing w:val="-4"/>
        </w:rPr>
        <w:t> </w:t>
      </w:r>
      <w:r>
        <w:rPr>
          <w:color w:val="808080"/>
        </w:rPr>
        <w:t>issue</w:t>
      </w:r>
    </w:p>
    <w:p>
      <w:pPr>
        <w:pStyle w:val="BodyText"/>
        <w:spacing w:line="276" w:lineRule="auto" w:before="57"/>
        <w:ind w:left="360" w:right="712"/>
        <w:jc w:val="both"/>
      </w:pPr>
      <w:r>
        <w:rPr/>
        <w:t>QAI considers this Bill to be a critical opportunity to resolve another problem that has arisen for participants</w:t>
      </w:r>
      <w:r>
        <w:rPr>
          <w:spacing w:val="1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result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misinformation</w:t>
      </w:r>
      <w:r>
        <w:rPr>
          <w:spacing w:val="-4"/>
        </w:rPr>
        <w:t> </w:t>
      </w:r>
      <w:r>
        <w:rPr/>
        <w:t>held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LAC’s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planners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is,</w:t>
      </w:r>
      <w:r>
        <w:rPr>
          <w:spacing w:val="-3"/>
        </w:rPr>
        <w:t> </w:t>
      </w:r>
      <w:r>
        <w:rPr/>
        <w:t>participants</w:t>
      </w:r>
      <w:r>
        <w:rPr>
          <w:spacing w:val="-5"/>
        </w:rPr>
        <w:t> </w:t>
      </w:r>
      <w:r>
        <w:rPr/>
        <w:t>wrongly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denied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48"/>
        </w:rPr>
        <w:t> </w:t>
      </w:r>
      <w:r>
        <w:rPr/>
        <w:t>supports</w:t>
      </w:r>
      <w:r>
        <w:rPr>
          <w:spacing w:val="-9"/>
        </w:rPr>
        <w:t> </w:t>
      </w:r>
      <w:r>
        <w:rPr/>
        <w:t>because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supports</w:t>
      </w:r>
      <w:r>
        <w:rPr>
          <w:spacing w:val="-8"/>
        </w:rPr>
        <w:t> </w:t>
      </w:r>
      <w:r>
        <w:rPr/>
        <w:t>don’t</w:t>
      </w:r>
      <w:r>
        <w:rPr>
          <w:spacing w:val="-10"/>
        </w:rPr>
        <w:t> </w:t>
      </w:r>
      <w:r>
        <w:rPr/>
        <w:t>relate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impairment</w:t>
      </w:r>
      <w:r>
        <w:rPr>
          <w:spacing w:val="-9"/>
        </w:rPr>
        <w:t> </w:t>
      </w:r>
      <w:r>
        <w:rPr/>
        <w:t>upon</w:t>
      </w:r>
      <w:r>
        <w:rPr>
          <w:spacing w:val="-12"/>
        </w:rPr>
        <w:t> </w:t>
      </w:r>
      <w:r>
        <w:rPr/>
        <w:t>which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participant</w:t>
      </w:r>
      <w:r>
        <w:rPr>
          <w:spacing w:val="-7"/>
        </w:rPr>
        <w:t> </w:t>
      </w:r>
      <w:r>
        <w:rPr/>
        <w:t>relied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gain</w:t>
      </w:r>
      <w:r>
        <w:rPr>
          <w:spacing w:val="-9"/>
        </w:rPr>
        <w:t> </w:t>
      </w:r>
      <w:r>
        <w:rPr/>
        <w:t>access</w:t>
      </w:r>
      <w:r>
        <w:rPr>
          <w:spacing w:val="-48"/>
        </w:rPr>
        <w:t> </w:t>
      </w:r>
      <w:r>
        <w:rPr/>
        <w:t>to the NDIS. This stance, which is not a criterion in section 34 of the NDIS Act nor is it contained within the</w:t>
      </w:r>
      <w:r>
        <w:rPr>
          <w:spacing w:val="1"/>
        </w:rPr>
        <w:t> </w:t>
      </w:r>
      <w:r>
        <w:rPr>
          <w:i/>
        </w:rPr>
        <w:t>Supports for Participants Rules</w:t>
      </w:r>
      <w:r>
        <w:rPr/>
        <w:t>, is a recurring error made by the Agency and is erroneously printed in several</w:t>
      </w:r>
      <w:r>
        <w:rPr>
          <w:spacing w:val="1"/>
        </w:rPr>
        <w:t> </w:t>
      </w:r>
      <w:r>
        <w:rPr/>
        <w:t>NDIS</w:t>
      </w:r>
      <w:r>
        <w:rPr>
          <w:spacing w:val="-7"/>
        </w:rPr>
        <w:t> </w:t>
      </w:r>
      <w:r>
        <w:rPr/>
        <w:t>publications.</w:t>
      </w:r>
      <w:r>
        <w:rPr>
          <w:vertAlign w:val="superscript"/>
        </w:rPr>
        <w:t>11</w:t>
      </w:r>
      <w:r>
        <w:rPr>
          <w:spacing w:val="-7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recent</w:t>
      </w:r>
      <w:r>
        <w:rPr>
          <w:spacing w:val="-7"/>
          <w:vertAlign w:val="baseline"/>
        </w:rPr>
        <w:t> </w:t>
      </w:r>
      <w:r>
        <w:rPr>
          <w:vertAlign w:val="baseline"/>
        </w:rPr>
        <w:t>decision</w:t>
      </w:r>
      <w:r>
        <w:rPr>
          <w:spacing w:val="-6"/>
          <w:vertAlign w:val="baseline"/>
        </w:rPr>
        <w:t> </w:t>
      </w:r>
      <w:r>
        <w:rPr>
          <w:vertAlign w:val="baseline"/>
        </w:rPr>
        <w:t>by</w:t>
      </w:r>
      <w:r>
        <w:rPr>
          <w:spacing w:val="-7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AAT</w:t>
      </w:r>
      <w:r>
        <w:rPr>
          <w:spacing w:val="-5"/>
          <w:vertAlign w:val="baseline"/>
        </w:rPr>
        <w:t> </w:t>
      </w:r>
      <w:r>
        <w:rPr>
          <w:vertAlign w:val="baseline"/>
        </w:rPr>
        <w:t>has</w:t>
      </w:r>
      <w:r>
        <w:rPr>
          <w:spacing w:val="-6"/>
          <w:vertAlign w:val="baseline"/>
        </w:rPr>
        <w:t> </w:t>
      </w:r>
      <w:r>
        <w:rPr>
          <w:vertAlign w:val="baseline"/>
        </w:rPr>
        <w:t>confirmed</w:t>
      </w:r>
      <w:r>
        <w:rPr>
          <w:spacing w:val="-8"/>
          <w:vertAlign w:val="baseline"/>
        </w:rPr>
        <w:t> </w:t>
      </w:r>
      <w:r>
        <w:rPr>
          <w:vertAlign w:val="baseline"/>
        </w:rPr>
        <w:t>this</w:t>
      </w:r>
      <w:r>
        <w:rPr>
          <w:spacing w:val="-6"/>
          <w:vertAlign w:val="baseline"/>
        </w:rPr>
        <w:t> </w:t>
      </w:r>
      <w:r>
        <w:rPr>
          <w:vertAlign w:val="baseline"/>
        </w:rPr>
        <w:t>position</w:t>
      </w:r>
      <w:r>
        <w:rPr>
          <w:spacing w:val="-6"/>
          <w:vertAlign w:val="baseline"/>
        </w:rPr>
        <w:t> </w:t>
      </w:r>
      <w:r>
        <w:rPr>
          <w:vertAlign w:val="baseline"/>
        </w:rPr>
        <w:t>as</w:t>
      </w:r>
      <w:r>
        <w:rPr>
          <w:spacing w:val="-8"/>
          <w:vertAlign w:val="baseline"/>
        </w:rPr>
        <w:t> </w:t>
      </w:r>
      <w:r>
        <w:rPr>
          <w:vertAlign w:val="baseline"/>
        </w:rPr>
        <w:t>inaccurate,</w:t>
      </w:r>
      <w:r>
        <w:rPr>
          <w:spacing w:val="-8"/>
          <w:vertAlign w:val="baseline"/>
        </w:rPr>
        <w:t> </w:t>
      </w:r>
      <w:r>
        <w:rPr>
          <w:vertAlign w:val="baseline"/>
        </w:rPr>
        <w:t>however</w:t>
      </w:r>
      <w:r>
        <w:rPr>
          <w:spacing w:val="-8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issue</w:t>
      </w:r>
      <w:r>
        <w:rPr>
          <w:spacing w:val="-47"/>
          <w:vertAlign w:val="baseline"/>
        </w:rPr>
        <w:t> </w:t>
      </w:r>
      <w:r>
        <w:rPr>
          <w:vertAlign w:val="baseline"/>
        </w:rPr>
        <w:t>requires legislative clarification in order to avoid further harm caused to people with disability who are</w:t>
      </w:r>
      <w:r>
        <w:rPr>
          <w:spacing w:val="1"/>
          <w:vertAlign w:val="baseline"/>
        </w:rPr>
        <w:t> </w:t>
      </w:r>
      <w:r>
        <w:rPr>
          <w:vertAlign w:val="baseline"/>
        </w:rPr>
        <w:t>erroneously</w:t>
      </w:r>
      <w:r>
        <w:rPr>
          <w:spacing w:val="-9"/>
          <w:vertAlign w:val="baseline"/>
        </w:rPr>
        <w:t> </w:t>
      </w:r>
      <w:r>
        <w:rPr>
          <w:vertAlign w:val="baseline"/>
        </w:rPr>
        <w:t>being</w:t>
      </w:r>
      <w:r>
        <w:rPr>
          <w:spacing w:val="-10"/>
          <w:vertAlign w:val="baseline"/>
        </w:rPr>
        <w:t> </w:t>
      </w:r>
      <w:r>
        <w:rPr>
          <w:vertAlign w:val="baseline"/>
        </w:rPr>
        <w:t>denied</w:t>
      </w:r>
      <w:r>
        <w:rPr>
          <w:spacing w:val="-9"/>
          <w:vertAlign w:val="baseline"/>
        </w:rPr>
        <w:t> </w:t>
      </w:r>
      <w:r>
        <w:rPr>
          <w:vertAlign w:val="baseline"/>
        </w:rPr>
        <w:t>access</w:t>
      </w:r>
      <w:r>
        <w:rPr>
          <w:spacing w:val="-8"/>
          <w:vertAlign w:val="baseline"/>
        </w:rPr>
        <w:t> </w:t>
      </w:r>
      <w:r>
        <w:rPr>
          <w:vertAlign w:val="baseline"/>
        </w:rPr>
        <w:t>to</w:t>
      </w:r>
      <w:r>
        <w:rPr>
          <w:spacing w:val="-8"/>
          <w:vertAlign w:val="baseline"/>
        </w:rPr>
        <w:t> </w:t>
      </w:r>
      <w:r>
        <w:rPr>
          <w:vertAlign w:val="baseline"/>
        </w:rPr>
        <w:t>vital</w:t>
      </w:r>
      <w:r>
        <w:rPr>
          <w:spacing w:val="-7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8"/>
          <w:vertAlign w:val="baseline"/>
        </w:rPr>
        <w:t> </w:t>
      </w:r>
      <w:r>
        <w:rPr>
          <w:vertAlign w:val="baseline"/>
        </w:rPr>
        <w:t>supports.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case</w:t>
      </w:r>
      <w:r>
        <w:rPr>
          <w:spacing w:val="-8"/>
          <w:vertAlign w:val="baseline"/>
        </w:rPr>
        <w:t> </w:t>
      </w:r>
      <w:r>
        <w:rPr>
          <w:vertAlign w:val="baseline"/>
        </w:rPr>
        <w:t>of</w:t>
      </w:r>
      <w:r>
        <w:rPr>
          <w:spacing w:val="-11"/>
          <w:vertAlign w:val="baseline"/>
        </w:rPr>
        <w:t> </w:t>
      </w:r>
      <w:r>
        <w:rPr>
          <w:i/>
          <w:vertAlign w:val="baseline"/>
        </w:rPr>
        <w:t>McLaughlin</w:t>
      </w:r>
      <w:r>
        <w:rPr>
          <w:vertAlign w:val="superscript"/>
        </w:rPr>
        <w:t>12</w:t>
      </w:r>
      <w:r>
        <w:rPr>
          <w:spacing w:val="-8"/>
          <w:vertAlign w:val="baseline"/>
        </w:rPr>
        <w:t> </w:t>
      </w:r>
      <w:r>
        <w:rPr>
          <w:vertAlign w:val="baseline"/>
        </w:rPr>
        <w:t>confirmed</w:t>
      </w:r>
      <w:r>
        <w:rPr>
          <w:spacing w:val="-7"/>
          <w:vertAlign w:val="baseline"/>
        </w:rPr>
        <w:t> </w:t>
      </w:r>
      <w:r>
        <w:rPr>
          <w:vertAlign w:val="baseline"/>
        </w:rPr>
        <w:t>that</w:t>
      </w:r>
      <w:r>
        <w:rPr>
          <w:spacing w:val="-6"/>
          <w:vertAlign w:val="baseline"/>
        </w:rPr>
        <w:t> </w:t>
      </w:r>
      <w:r>
        <w:rPr>
          <w:vertAlign w:val="baseline"/>
        </w:rPr>
        <w:t>supports</w:t>
      </w:r>
      <w:r>
        <w:rPr>
          <w:spacing w:val="-47"/>
          <w:vertAlign w:val="baseline"/>
        </w:rPr>
        <w:t> </w:t>
      </w:r>
      <w:r>
        <w:rPr>
          <w:vertAlign w:val="baseline"/>
        </w:rPr>
        <w:t>funded</w:t>
      </w:r>
      <w:r>
        <w:rPr>
          <w:spacing w:val="-7"/>
          <w:vertAlign w:val="baseline"/>
        </w:rPr>
        <w:t> </w:t>
      </w:r>
      <w:r>
        <w:rPr>
          <w:vertAlign w:val="baseline"/>
        </w:rPr>
        <w:t>in</w:t>
      </w:r>
      <w:r>
        <w:rPr>
          <w:spacing w:val="-7"/>
          <w:vertAlign w:val="baseline"/>
        </w:rPr>
        <w:t> </w:t>
      </w:r>
      <w:r>
        <w:rPr>
          <w:vertAlign w:val="baseline"/>
        </w:rPr>
        <w:t>a</w:t>
      </w:r>
      <w:r>
        <w:rPr>
          <w:spacing w:val="-6"/>
          <w:vertAlign w:val="baseline"/>
        </w:rPr>
        <w:t> </w:t>
      </w:r>
      <w:r>
        <w:rPr>
          <w:vertAlign w:val="baseline"/>
        </w:rPr>
        <w:t>participant’s</w:t>
      </w:r>
      <w:r>
        <w:rPr>
          <w:spacing w:val="-8"/>
          <w:vertAlign w:val="baseline"/>
        </w:rPr>
        <w:t> </w:t>
      </w:r>
      <w:r>
        <w:rPr>
          <w:vertAlign w:val="baseline"/>
        </w:rPr>
        <w:t>plan</w:t>
      </w:r>
      <w:r>
        <w:rPr>
          <w:spacing w:val="-7"/>
          <w:vertAlign w:val="baseline"/>
        </w:rPr>
        <w:t> </w:t>
      </w:r>
      <w:r>
        <w:rPr>
          <w:vertAlign w:val="baseline"/>
        </w:rPr>
        <w:t>are</w:t>
      </w:r>
      <w:r>
        <w:rPr>
          <w:spacing w:val="-8"/>
          <w:vertAlign w:val="baseline"/>
        </w:rPr>
        <w:t> </w:t>
      </w:r>
      <w:r>
        <w:rPr>
          <w:vertAlign w:val="baseline"/>
        </w:rPr>
        <w:t>not</w:t>
      </w:r>
      <w:r>
        <w:rPr>
          <w:spacing w:val="-7"/>
          <w:vertAlign w:val="baseline"/>
        </w:rPr>
        <w:t> </w:t>
      </w:r>
      <w:r>
        <w:rPr>
          <w:vertAlign w:val="baseline"/>
        </w:rPr>
        <w:t>limited</w:t>
      </w:r>
      <w:r>
        <w:rPr>
          <w:spacing w:val="-8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supports</w:t>
      </w:r>
      <w:r>
        <w:rPr>
          <w:spacing w:val="-8"/>
          <w:vertAlign w:val="baseline"/>
        </w:rPr>
        <w:t> </w:t>
      </w:r>
      <w:r>
        <w:rPr>
          <w:vertAlign w:val="baseline"/>
        </w:rPr>
        <w:t>which</w:t>
      </w:r>
      <w:r>
        <w:rPr>
          <w:spacing w:val="-7"/>
          <w:vertAlign w:val="baseline"/>
        </w:rPr>
        <w:t> </w:t>
      </w:r>
      <w:r>
        <w:rPr>
          <w:vertAlign w:val="baseline"/>
        </w:rPr>
        <w:t>relate</w:t>
      </w:r>
      <w:r>
        <w:rPr>
          <w:spacing w:val="-7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impairment/s</w:t>
      </w:r>
      <w:r>
        <w:rPr>
          <w:spacing w:val="-8"/>
          <w:vertAlign w:val="baseline"/>
        </w:rPr>
        <w:t> </w:t>
      </w:r>
      <w:r>
        <w:rPr>
          <w:vertAlign w:val="baseline"/>
        </w:rPr>
        <w:t>which</w:t>
      </w:r>
      <w:r>
        <w:rPr>
          <w:spacing w:val="-8"/>
          <w:vertAlign w:val="baseline"/>
        </w:rPr>
        <w:t> </w:t>
      </w:r>
      <w:r>
        <w:rPr>
          <w:vertAlign w:val="baseline"/>
        </w:rPr>
        <w:t>qualified</w:t>
      </w:r>
      <w:r>
        <w:rPr>
          <w:spacing w:val="-6"/>
          <w:vertAlign w:val="baseline"/>
        </w:rPr>
        <w:t> </w:t>
      </w:r>
      <w:r>
        <w:rPr>
          <w:vertAlign w:val="baseline"/>
        </w:rPr>
        <w:t>the</w:t>
      </w:r>
      <w:r>
        <w:rPr>
          <w:spacing w:val="-47"/>
          <w:vertAlign w:val="baseline"/>
        </w:rPr>
        <w:t> </w:t>
      </w:r>
      <w:r>
        <w:rPr>
          <w:vertAlign w:val="baseline"/>
        </w:rPr>
        <w:t>person</w:t>
      </w:r>
      <w:r>
        <w:rPr>
          <w:spacing w:val="-4"/>
          <w:vertAlign w:val="baseline"/>
        </w:rPr>
        <w:t> </w:t>
      </w:r>
      <w:r>
        <w:rPr>
          <w:vertAlign w:val="baseline"/>
        </w:rPr>
        <w:t>for</w:t>
      </w:r>
      <w:r>
        <w:rPr>
          <w:spacing w:val="-5"/>
          <w:vertAlign w:val="baseline"/>
        </w:rPr>
        <w:t> </w:t>
      </w:r>
      <w:r>
        <w:rPr>
          <w:vertAlign w:val="baseline"/>
        </w:rPr>
        <w:t>access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NDIS.</w:t>
      </w:r>
      <w:r>
        <w:rPr>
          <w:spacing w:val="-3"/>
          <w:vertAlign w:val="baseline"/>
        </w:rPr>
        <w:t> </w:t>
      </w:r>
      <w:r>
        <w:rPr>
          <w:vertAlign w:val="baseline"/>
        </w:rPr>
        <w:t>This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2"/>
          <w:vertAlign w:val="baseline"/>
        </w:rPr>
        <w:t> </w:t>
      </w:r>
      <w:r>
        <w:rPr>
          <w:vertAlign w:val="baseline"/>
        </w:rPr>
        <w:t>because</w:t>
      </w:r>
      <w:r>
        <w:rPr>
          <w:spacing w:val="-5"/>
          <w:vertAlign w:val="baseline"/>
        </w:rPr>
        <w:t> </w:t>
      </w:r>
      <w:r>
        <w:rPr>
          <w:vertAlign w:val="baseline"/>
        </w:rPr>
        <w:t>once</w:t>
      </w:r>
      <w:r>
        <w:rPr>
          <w:spacing w:val="-2"/>
          <w:vertAlign w:val="baseline"/>
        </w:rPr>
        <w:t> </w:t>
      </w:r>
      <w:r>
        <w:rPr>
          <w:vertAlign w:val="baseline"/>
        </w:rPr>
        <w:t>a</w:t>
      </w:r>
      <w:r>
        <w:rPr>
          <w:spacing w:val="-5"/>
          <w:vertAlign w:val="baseline"/>
        </w:rPr>
        <w:t> </w:t>
      </w:r>
      <w:r>
        <w:rPr>
          <w:vertAlign w:val="baseline"/>
        </w:rPr>
        <w:t>person</w:t>
      </w:r>
      <w:r>
        <w:rPr>
          <w:spacing w:val="-5"/>
          <w:vertAlign w:val="baseline"/>
        </w:rPr>
        <w:t> </w:t>
      </w:r>
      <w:r>
        <w:rPr>
          <w:vertAlign w:val="baseline"/>
        </w:rPr>
        <w:t>becomes</w:t>
      </w:r>
      <w:r>
        <w:rPr>
          <w:spacing w:val="-5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participant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NDIS,</w:t>
      </w:r>
      <w:r>
        <w:rPr>
          <w:spacing w:val="-4"/>
          <w:vertAlign w:val="baseline"/>
        </w:rPr>
        <w:t> </w:t>
      </w:r>
      <w:r>
        <w:rPr>
          <w:vertAlign w:val="baseline"/>
        </w:rPr>
        <w:t>their</w:t>
      </w:r>
      <w:r>
        <w:rPr>
          <w:spacing w:val="-5"/>
          <w:vertAlign w:val="baseline"/>
        </w:rPr>
        <w:t> </w:t>
      </w:r>
      <w:r>
        <w:rPr>
          <w:vertAlign w:val="baseline"/>
        </w:rPr>
        <w:t>function</w:t>
      </w:r>
      <w:r>
        <w:rPr>
          <w:spacing w:val="-47"/>
          <w:vertAlign w:val="baseline"/>
        </w:rPr>
        <w:t> </w:t>
      </w:r>
      <w:r>
        <w:rPr>
          <w:vertAlign w:val="baseline"/>
        </w:rPr>
        <w:t>and needs are viewed as whole and their status as a participant is not qualified. That is, they are not a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participant in</w:t>
      </w:r>
      <w:r>
        <w:rPr>
          <w:spacing w:val="-1"/>
          <w:vertAlign w:val="baseline"/>
        </w:rPr>
        <w:t> </w:t>
      </w:r>
      <w:r>
        <w:rPr>
          <w:vertAlign w:val="baseline"/>
        </w:rPr>
        <w:t>relation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conditions A</w:t>
      </w:r>
      <w:r>
        <w:rPr>
          <w:spacing w:val="-1"/>
          <w:vertAlign w:val="baseline"/>
        </w:rPr>
        <w:t> </w:t>
      </w:r>
      <w:r>
        <w:rPr>
          <w:vertAlign w:val="baseline"/>
        </w:rPr>
        <w:t>and/or B.</w:t>
      </w:r>
      <w:r>
        <w:rPr>
          <w:spacing w:val="-3"/>
          <w:vertAlign w:val="baseline"/>
        </w:rPr>
        <w:t> </w:t>
      </w:r>
      <w:r>
        <w:rPr>
          <w:vertAlign w:val="baseline"/>
        </w:rPr>
        <w:t>They either are</w:t>
      </w:r>
      <w:r>
        <w:rPr>
          <w:spacing w:val="-4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participant, or they</w:t>
      </w:r>
      <w:r>
        <w:rPr>
          <w:spacing w:val="1"/>
          <w:vertAlign w:val="baseline"/>
        </w:rPr>
        <w:t> </w:t>
      </w:r>
      <w:r>
        <w:rPr>
          <w:vertAlign w:val="baseline"/>
        </w:rPr>
        <w:t>are not.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360" w:right="712"/>
        <w:jc w:val="both"/>
      </w:pPr>
      <w:r>
        <w:rPr/>
        <w:t>The issue of what supports may be funded is a separate issue, which must be determined with reference to</w:t>
      </w:r>
      <w:r>
        <w:rPr>
          <w:spacing w:val="1"/>
        </w:rPr>
        <w:t> </w:t>
      </w:r>
      <w:r>
        <w:rPr/>
        <w:t>section 34 and the </w:t>
      </w:r>
      <w:r>
        <w:rPr>
          <w:i/>
        </w:rPr>
        <w:t>Supports for Participants Rules</w:t>
      </w:r>
      <w:r>
        <w:rPr/>
        <w:t>. In particular, rule 5.1(b) states that a support will not be</w:t>
      </w:r>
      <w:r>
        <w:rPr>
          <w:spacing w:val="1"/>
        </w:rPr>
        <w:t> </w:t>
      </w:r>
      <w:r>
        <w:rPr/>
        <w:t>funded if it is not related to the participant’s disability</w:t>
      </w:r>
      <w:r>
        <w:rPr>
          <w:b/>
        </w:rPr>
        <w:t>. </w:t>
      </w:r>
      <w:r>
        <w:rPr/>
        <w:t>However, ‘disability’ is not defined in section 9 of the</w:t>
      </w:r>
      <w:r>
        <w:rPr>
          <w:spacing w:val="1"/>
        </w:rPr>
        <w:t> </w:t>
      </w:r>
      <w:r>
        <w:rPr/>
        <w:t>Act;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10"/>
        </w:rPr>
        <w:t> </w:t>
      </w:r>
      <w:r>
        <w:rPr/>
        <w:t>given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broad</w:t>
      </w:r>
      <w:r>
        <w:rPr>
          <w:spacing w:val="-12"/>
        </w:rPr>
        <w:t> </w:t>
      </w:r>
      <w:r>
        <w:rPr/>
        <w:t>meaning.</w:t>
      </w:r>
      <w:r>
        <w:rPr>
          <w:spacing w:val="-8"/>
        </w:rPr>
        <w:t> </w:t>
      </w:r>
      <w:r>
        <w:rPr/>
        <w:t>Part</w:t>
      </w:r>
      <w:r>
        <w:rPr>
          <w:spacing w:val="-10"/>
        </w:rPr>
        <w:t> </w:t>
      </w:r>
      <w:r>
        <w:rPr/>
        <w:t>8.1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i/>
        </w:rPr>
        <w:t>Access</w:t>
      </w:r>
      <w:r>
        <w:rPr>
          <w:i/>
          <w:spacing w:val="-11"/>
        </w:rPr>
        <w:t> </w:t>
      </w:r>
      <w:r>
        <w:rPr>
          <w:i/>
        </w:rPr>
        <w:t>to</w:t>
      </w:r>
      <w:r>
        <w:rPr>
          <w:i/>
          <w:spacing w:val="-8"/>
        </w:rPr>
        <w:t> </w:t>
      </w:r>
      <w:r>
        <w:rPr>
          <w:i/>
        </w:rPr>
        <w:t>the</w:t>
      </w:r>
      <w:r>
        <w:rPr>
          <w:i/>
          <w:spacing w:val="-11"/>
        </w:rPr>
        <w:t> </w:t>
      </w:r>
      <w:r>
        <w:rPr>
          <w:i/>
        </w:rPr>
        <w:t>NDIS</w:t>
      </w:r>
      <w:r>
        <w:rPr>
          <w:i/>
          <w:spacing w:val="-7"/>
        </w:rPr>
        <w:t> </w:t>
      </w:r>
      <w:r>
        <w:rPr>
          <w:i/>
        </w:rPr>
        <w:t>Operational</w:t>
      </w:r>
      <w:r>
        <w:rPr>
          <w:i/>
          <w:spacing w:val="-8"/>
        </w:rPr>
        <w:t> </w:t>
      </w:r>
      <w:r>
        <w:rPr>
          <w:i/>
        </w:rPr>
        <w:t>Guidelines</w:t>
      </w:r>
      <w:r>
        <w:rPr>
          <w:i/>
          <w:spacing w:val="-7"/>
        </w:rPr>
        <w:t> </w:t>
      </w:r>
      <w:r>
        <w:rPr/>
        <w:t>states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‘</w:t>
      </w:r>
      <w:r>
        <w:rPr>
          <w:i/>
        </w:rPr>
        <w:t>focus</w:t>
      </w:r>
      <w:r>
        <w:rPr>
          <w:i/>
          <w:spacing w:val="-47"/>
        </w:rPr>
        <w:t> </w:t>
      </w:r>
      <w:r>
        <w:rPr>
          <w:i/>
        </w:rPr>
        <w:t>of ‘disability’ is on the reduction or loss of an ability to perform an activity which results from an impairment’</w:t>
      </w:r>
      <w:r>
        <w:rPr/>
        <w:t>.</w:t>
      </w:r>
      <w:r>
        <w:rPr>
          <w:spacing w:val="-47"/>
        </w:rPr>
        <w:t> </w:t>
      </w:r>
      <w:r>
        <w:rPr/>
        <w:t>The</w:t>
      </w:r>
      <w:r>
        <w:rPr>
          <w:spacing w:val="-2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‘disability’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rule</w:t>
      </w:r>
      <w:r>
        <w:rPr>
          <w:spacing w:val="-4"/>
        </w:rPr>
        <w:t> </w:t>
      </w:r>
      <w:r>
        <w:rPr/>
        <w:t>5.1(b)</w:t>
      </w:r>
      <w:r>
        <w:rPr>
          <w:spacing w:val="-5"/>
        </w:rPr>
        <w:t> </w:t>
      </w:r>
      <w:r>
        <w:rPr/>
        <w:t>therefore</w:t>
      </w:r>
      <w:r>
        <w:rPr>
          <w:spacing w:val="-3"/>
        </w:rPr>
        <w:t> </w:t>
      </w:r>
      <w:r>
        <w:rPr/>
        <w:t>does not</w:t>
      </w:r>
      <w:r>
        <w:rPr>
          <w:spacing w:val="-3"/>
        </w:rPr>
        <w:t> </w:t>
      </w:r>
      <w:r>
        <w:rPr/>
        <w:t>mean</w:t>
      </w:r>
      <w:r>
        <w:rPr>
          <w:spacing w:val="-1"/>
        </w:rPr>
        <w:t> </w:t>
      </w:r>
      <w:r>
        <w:rPr/>
        <w:t>‘disability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participant</w:t>
      </w:r>
      <w:r>
        <w:rPr>
          <w:spacing w:val="-3"/>
        </w:rPr>
        <w:t> </w:t>
      </w:r>
      <w:r>
        <w:rPr/>
        <w:t>gained</w:t>
      </w:r>
      <w:r>
        <w:rPr>
          <w:spacing w:val="-47"/>
        </w:rPr>
        <w:t> </w:t>
      </w:r>
      <w:r>
        <w:rPr/>
        <w:t>access’.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/>
        <w:t>rule</w:t>
      </w:r>
      <w:r>
        <w:rPr>
          <w:spacing w:val="-10"/>
        </w:rPr>
        <w:t> </w:t>
      </w:r>
      <w:r>
        <w:rPr/>
        <w:t>simply</w:t>
      </w:r>
      <w:r>
        <w:rPr>
          <w:spacing w:val="-12"/>
        </w:rPr>
        <w:t> </w:t>
      </w:r>
      <w:r>
        <w:rPr/>
        <w:t>means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NDIS</w:t>
      </w:r>
      <w:r>
        <w:rPr>
          <w:spacing w:val="-12"/>
        </w:rPr>
        <w:t> </w:t>
      </w:r>
      <w:r>
        <w:rPr/>
        <w:t>will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/>
        <w:t>fund</w:t>
      </w:r>
      <w:r>
        <w:rPr>
          <w:spacing w:val="-10"/>
        </w:rPr>
        <w:t> </w:t>
      </w:r>
      <w:r>
        <w:rPr/>
        <w:t>supports</w:t>
      </w:r>
      <w:r>
        <w:rPr>
          <w:spacing w:val="-10"/>
        </w:rPr>
        <w:t> </w:t>
      </w:r>
      <w:r>
        <w:rPr/>
        <w:t>that</w:t>
      </w:r>
      <w:r>
        <w:rPr>
          <w:spacing w:val="-7"/>
        </w:rPr>
        <w:t> </w:t>
      </w:r>
      <w:r>
        <w:rPr/>
        <w:t>don’t</w:t>
      </w:r>
      <w:r>
        <w:rPr>
          <w:spacing w:val="-10"/>
        </w:rPr>
        <w:t> </w:t>
      </w:r>
      <w:r>
        <w:rPr/>
        <w:t>relate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participant’s</w:t>
      </w:r>
      <w:r>
        <w:rPr>
          <w:spacing w:val="-11"/>
        </w:rPr>
        <w:t> </w:t>
      </w:r>
      <w:r>
        <w:rPr/>
        <w:t>reduced</w:t>
      </w:r>
      <w:r>
        <w:rPr>
          <w:spacing w:val="-47"/>
        </w:rPr>
        <w:t> </w:t>
      </w:r>
      <w:r>
        <w:rPr/>
        <w:t>ability to function as the result of (any) impairment. QAI therefore urges the Committee to include relevant</w:t>
      </w:r>
      <w:r>
        <w:rPr>
          <w:spacing w:val="1"/>
        </w:rPr>
        <w:t> </w:t>
      </w:r>
      <w:r>
        <w:rPr/>
        <w:t>provisions within the Bill to this affect, thereby ensuring participants have unimpeded access to reasonable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supports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preserving</w:t>
      </w:r>
      <w:r>
        <w:rPr>
          <w:spacing w:val="1"/>
        </w:rPr>
        <w:t> </w:t>
      </w:r>
      <w:r>
        <w:rPr/>
        <w:t>scarce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matters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misinformation.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>
          <w:color w:val="808080"/>
        </w:rPr>
        <w:t>Conclusion</w:t>
      </w:r>
    </w:p>
    <w:p>
      <w:pPr>
        <w:pStyle w:val="BodyText"/>
        <w:spacing w:line="276" w:lineRule="auto" w:before="120"/>
        <w:ind w:left="360" w:right="818"/>
      </w:pPr>
      <w:r>
        <w:rPr/>
        <w:t>QAI thanks the Senate Community Legal Affairs Committee for the opportunity to contribute to this inquiry.</w:t>
      </w:r>
      <w:r>
        <w:rPr>
          <w:spacing w:val="-47"/>
        </w:rPr>
        <w:t> </w:t>
      </w:r>
      <w:r>
        <w:rPr/>
        <w:t>We are happy to provide further information or clarification of any of the matters raised in this submission</w:t>
      </w:r>
      <w:r>
        <w:rPr>
          <w:spacing w:val="1"/>
        </w:rPr>
        <w:t> </w:t>
      </w:r>
      <w:r>
        <w:rPr/>
        <w:t>upon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  <w:r>
        <w:rPr/>
        <w:pict>
          <v:rect style="position:absolute;margin-left:54pt;margin-top:18.719601pt;width:144.050pt;height:.71997pt;mso-position-horizontal-relative:page;mso-position-vertical-relative:paragraph;z-index:-15723008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before="102"/>
        <w:ind w:left="360" w:right="75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  <w:vertAlign w:val="baseline"/>
        </w:rPr>
        <w:t> For example, </w:t>
      </w:r>
      <w:r>
        <w:rPr>
          <w:sz w:val="20"/>
          <w:vertAlign w:val="baseline"/>
        </w:rPr>
        <w:t>https://ourguidelines.ndis.gov.au/how-ndis-supports-work-menu/what-principles-do-we-follow-create-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your-plan/what-principles-do-we-use-create-your-plan/fair-supports-your-disability-needs</w:t>
      </w:r>
    </w:p>
    <w:p>
      <w:pPr>
        <w:spacing w:before="1"/>
        <w:ind w:left="360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  <w:vertAlign w:val="baseline"/>
        </w:rPr>
        <w:t> </w:t>
      </w:r>
      <w:r>
        <w:rPr>
          <w:i/>
          <w:sz w:val="20"/>
          <w:vertAlign w:val="baseline"/>
        </w:rPr>
        <w:t>McLaughlin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and</w:t>
      </w:r>
      <w:r>
        <w:rPr>
          <w:i/>
          <w:spacing w:val="-5"/>
          <w:sz w:val="20"/>
          <w:vertAlign w:val="baseline"/>
        </w:rPr>
        <w:t> </w:t>
      </w:r>
      <w:r>
        <w:rPr>
          <w:i/>
          <w:sz w:val="20"/>
          <w:vertAlign w:val="baseline"/>
        </w:rPr>
        <w:t>National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Disability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Insurance</w:t>
      </w:r>
      <w:r>
        <w:rPr>
          <w:i/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Agency</w:t>
      </w:r>
      <w:r>
        <w:rPr>
          <w:i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[2021]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AATA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496</w:t>
      </w:r>
    </w:p>
    <w:sectPr>
      <w:pgSz w:w="11900" w:h="16850"/>
      <w:pgMar w:header="463" w:footer="611" w:top="660" w:bottom="800" w:left="7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639999pt;margin-top:792.977966pt;width:521.1pt;height:12.6pt;mso-position-horizontal-relative:page;mso-position-vertical-relative:page;z-index:-1591808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color w:val="585858"/>
                    <w:sz w:val="19"/>
                  </w:rPr>
                  <w:t>Level 2,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43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Peel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Street,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PO</w:t>
                </w:r>
                <w:r>
                  <w:rPr>
                    <w:rFonts w:ascii="Arial"/>
                    <w:color w:val="585858"/>
                    <w:spacing w:val="-5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Box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3384 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South Brisbane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QLD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4101</w:t>
                </w:r>
                <w:r>
                  <w:rPr>
                    <w:rFonts w:ascii="Arial"/>
                    <w:color w:val="585858"/>
                    <w:spacing w:val="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T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4200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F</w:t>
                </w:r>
                <w:r>
                  <w:rPr>
                    <w:rFonts w:ascii="Arial"/>
                    <w:b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(07)</w:t>
                </w:r>
                <w:r>
                  <w:rPr>
                    <w:rFonts w:ascii="Arial"/>
                    <w:color w:val="585858"/>
                    <w:spacing w:val="-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3844</w:t>
                </w:r>
                <w:r>
                  <w:rPr>
                    <w:rFonts w:ascii="Arial"/>
                    <w:color w:val="585858"/>
                    <w:spacing w:val="-1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4222</w:t>
                </w:r>
                <w:r>
                  <w:rPr>
                    <w:rFonts w:ascii="Arial"/>
                    <w:color w:val="585858"/>
                    <w:spacing w:val="2"/>
                    <w:sz w:val="19"/>
                  </w:rPr>
                  <w:t> </w:t>
                </w:r>
                <w:r>
                  <w:rPr>
                    <w:rFonts w:ascii="Arial"/>
                    <w:color w:val="585858"/>
                    <w:sz w:val="19"/>
                  </w:rPr>
                  <w:t>|</w:t>
                </w:r>
                <w:r>
                  <w:rPr>
                    <w:rFonts w:ascii="Arial"/>
                    <w:color w:val="585858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585858"/>
                    <w:sz w:val="19"/>
                  </w:rPr>
                  <w:t>E </w:t>
                </w:r>
                <w:hyperlink r:id="rId1">
                  <w:r>
                    <w:rPr>
                      <w:rFonts w:ascii="Arial"/>
                      <w:color w:val="585858"/>
                      <w:sz w:val="19"/>
                    </w:rPr>
                    <w:t>qai@qai.org.au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799988pt;margin-top:800.47998pt;width:12.6pt;height:13.05pt;mso-position-horizontal-relative:page;mso-position-vertical-relative:page;z-index:-15917056" type="#_x0000_t202" id="docshape5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4pt;margin-top:739.899963pt;width:144.050pt;height:.72003pt;mso-position-horizontal-relative:page;mso-position-vertical-relative:page;z-index:-15916032" id="docshape17" filled="true" fillcolor="#000000" stroked="false">
          <v:fill type="solid"/>
          <w10:wrap type="none"/>
        </v:rect>
      </w:pict>
    </w:r>
    <w:r>
      <w:rPr/>
      <w:pict>
        <v:shape style="position:absolute;margin-left:529.799988pt;margin-top:800.47998pt;width:12.6pt;height:13.05pt;mso-position-horizontal-relative:page;mso-position-vertical-relative:page;z-index:-15915520" type="#_x0000_t202" id="docshape18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799988pt;margin-top:800.47998pt;width:18.3pt;height:13.05pt;mso-position-horizontal-relative:page;mso-position-vertical-relative:page;z-index:-15914496" type="#_x0000_t202" id="docshape2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78pt;width:593.41pt;height:6.1pt;mso-position-horizontal-relative:page;mso-position-vertical-relative:page;z-index:-15917568" id="docshape4" filled="true" fillcolor="#ff0000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78pt;width:593.41pt;height:6.1pt;mso-position-horizontal-relative:page;mso-position-vertical-relative:page;z-index:-15916544" id="docshape16" filled="true" fillcolor="#ff0000" stroked="false">
          <v:fill type="solid"/>
          <w10:wrap type="non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78pt;width:593.41pt;height:6.1pt;mso-position-horizontal-relative:page;mso-position-vertical-relative:page;z-index:-15915008" id="docshape19" filled="true" fillcolor="#ff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13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107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7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04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01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97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94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91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83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68" w:hanging="4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1"/>
      <w:numFmt w:val="lowerLetter"/>
      <w:lvlText w:val="%2."/>
      <w:lvlJc w:val="left"/>
      <w:pPr>
        <w:ind w:left="1080" w:hanging="293"/>
        <w:jc w:val="left"/>
      </w:pPr>
      <w:rPr>
        <w:rFonts w:hint="default" w:ascii="Calibri" w:hAnsi="Calibri" w:eastAsia="Calibri" w:cs="Calibri"/>
        <w:b w:val="0"/>
        <w:bCs w:val="0"/>
        <w:i/>
        <w:iCs/>
        <w:spacing w:val="-1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162" w:hanging="29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44" w:hanging="29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326" w:hanging="29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408" w:hanging="29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490" w:hanging="29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572" w:hanging="29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654" w:hanging="293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360"/>
      <w:outlineLvl w:val="1"/>
    </w:pPr>
    <w:rPr>
      <w:rFonts w:ascii="Calibri" w:hAnsi="Calibri" w:eastAsia="Calibri" w:cs="Calibri"/>
      <w:b/>
      <w:bCs/>
      <w:sz w:val="32"/>
      <w:szCs w:val="32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360"/>
      <w:jc w:val="both"/>
      <w:outlineLvl w:val="2"/>
    </w:pPr>
    <w:rPr>
      <w:rFonts w:ascii="Calibri" w:hAnsi="Calibri" w:eastAsia="Calibri" w:cs="Calibri"/>
      <w:b/>
      <w:bCs/>
      <w:i/>
      <w:iCs/>
      <w:sz w:val="28"/>
      <w:szCs w:val="28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780" w:right="1164" w:firstLine="4"/>
      <w:jc w:val="center"/>
    </w:pPr>
    <w:rPr>
      <w:rFonts w:ascii="Calibri" w:hAnsi="Calibri" w:eastAsia="Calibri" w:cs="Calibri"/>
      <w:b/>
      <w:b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68" w:hanging="420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i@qai.org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Beaumont</dc:creator>
  <dcterms:created xsi:type="dcterms:W3CDTF">2021-12-07T07:25:21Z</dcterms:created>
  <dcterms:modified xsi:type="dcterms:W3CDTF">2021-12-07T07:25:21Z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2021-12-07T00:00:00Z</vt:filetime>
  </property>
</Properties>
</file>