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8"/>
                      <w:ind w:left="1148" w:right="168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before="110"/>
                      <w:ind w:left="1632" w:right="109" w:hanging="22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 mission is to promote, protect and defend, through advocacy, the fundamental needs</w:t>
                    </w:r>
                    <w:r>
                      <w:rPr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 and lives of the most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 people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 disability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68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4.243473pt;width:342.4pt;height:22.35pt;mso-position-horizontal-relative:page;mso-position-vertical-relative:paragraph;z-index:-15818240" type="#_x0000_t202" id="docshape6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99998pt;margin-top:-54.243473pt;width:342.4pt;height:22.35pt;mso-position-horizontal-relative:page;mso-position-vertical-relative:paragraph;z-index:-15817728" type="#_x0000_t202" id="docshape7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0"/>
        </w:rPr>
      </w:pPr>
    </w:p>
    <w:p>
      <w:pPr>
        <w:pStyle w:val="Title"/>
      </w:pPr>
      <w:r>
        <w:rPr>
          <w:color w:val="FF0000"/>
        </w:rPr>
        <w:t>National Redress Scheme for</w:t>
      </w:r>
      <w:r>
        <w:rPr>
          <w:color w:val="FF0000"/>
          <w:spacing w:val="1"/>
        </w:rPr>
        <w:t> </w:t>
      </w:r>
      <w:r>
        <w:rPr>
          <w:color w:val="FF0000"/>
        </w:rPr>
        <w:t>Institutional Child Sexual Abuse</w:t>
      </w:r>
      <w:r>
        <w:rPr>
          <w:color w:val="FF0000"/>
          <w:spacing w:val="1"/>
        </w:rPr>
        <w:t> </w:t>
      </w:r>
      <w:r>
        <w:rPr>
          <w:color w:val="FF0000"/>
        </w:rPr>
        <w:t>(Commonwealth</w:t>
      </w:r>
      <w:r>
        <w:rPr>
          <w:color w:val="FF0000"/>
          <w:spacing w:val="-6"/>
        </w:rPr>
        <w:t> </w:t>
      </w:r>
      <w:r>
        <w:rPr>
          <w:color w:val="FF0000"/>
        </w:rPr>
        <w:t>Powers)</w:t>
      </w:r>
      <w:r>
        <w:rPr>
          <w:color w:val="FF0000"/>
          <w:spacing w:val="-6"/>
        </w:rPr>
        <w:t> </w:t>
      </w:r>
      <w:r>
        <w:rPr>
          <w:color w:val="FF0000"/>
        </w:rPr>
        <w:t>Bill</w:t>
      </w:r>
      <w:r>
        <w:rPr>
          <w:color w:val="FF0000"/>
          <w:spacing w:val="-5"/>
        </w:rPr>
        <w:t> </w:t>
      </w:r>
      <w:r>
        <w:rPr>
          <w:color w:val="FF0000"/>
        </w:rPr>
        <w:t>2018</w:t>
      </w:r>
    </w:p>
    <w:p>
      <w:pPr>
        <w:pStyle w:val="BodyText"/>
        <w:spacing w:before="5" w:after="1"/>
        <w:rPr>
          <w:b/>
          <w:sz w:val="24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42"/>
        </w:rPr>
      </w:pPr>
    </w:p>
    <w:p>
      <w:pPr>
        <w:pStyle w:val="Heading1"/>
        <w:ind w:left="1512" w:right="1189"/>
        <w:jc w:val="center"/>
      </w:pPr>
      <w:r>
        <w:rPr/>
        <w:t>Submission by Queensland Advocacy</w:t>
      </w:r>
      <w:r>
        <w:rPr>
          <w:spacing w:val="-110"/>
        </w:rPr>
        <w:t> </w:t>
      </w:r>
      <w:r>
        <w:rPr/>
        <w:t>Incorporated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269"/>
        <w:ind w:left="855" w:right="534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Health, Communities, Disability Services and</w:t>
      </w:r>
      <w:r>
        <w:rPr>
          <w:b/>
          <w:color w:val="FF0000"/>
          <w:spacing w:val="-110"/>
          <w:sz w:val="40"/>
        </w:rPr>
        <w:t> </w:t>
      </w:r>
      <w:r>
        <w:rPr>
          <w:b/>
          <w:color w:val="FF0000"/>
          <w:sz w:val="40"/>
        </w:rPr>
        <w:t>Domestic and Family Violence Prevention</w:t>
      </w:r>
      <w:r>
        <w:rPr>
          <w:b/>
          <w:color w:val="FF0000"/>
          <w:spacing w:val="1"/>
          <w:sz w:val="40"/>
        </w:rPr>
        <w:t> </w:t>
      </w:r>
      <w:r>
        <w:rPr>
          <w:b/>
          <w:color w:val="FF0000"/>
          <w:sz w:val="40"/>
        </w:rPr>
        <w:t>Committee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266" w:after="59"/>
        <w:ind w:left="1511" w:right="1189" w:firstLine="0"/>
        <w:jc w:val="center"/>
        <w:rPr>
          <w:b/>
          <w:sz w:val="36"/>
        </w:rPr>
      </w:pPr>
      <w:r>
        <w:rPr>
          <w:b/>
          <w:sz w:val="36"/>
        </w:rPr>
        <w:t>July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2018</w:t>
      </w: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94"/>
        <w:ind w:left="103" w:right="0" w:firstLine="0"/>
        <w:jc w:val="left"/>
        <w:rPr>
          <w:b/>
          <w:sz w:val="20"/>
        </w:rPr>
      </w:pPr>
      <w:r>
        <w:rPr/>
        <w:pict>
          <v:group style="position:absolute;margin-left:45.25pt;margin-top:17.649883pt;width:510.25pt;height:46.65pt;mso-position-horizontal-relative:page;mso-position-vertical-relative:paragraph;z-index:15731712" id="docshapegroup10" coordorigin="905,353" coordsize="10205,933">
            <v:rect style="position:absolute;left:905;top:353;width:10205;height:933" id="docshape11" filled="true" fillcolor="#ff0000" stroked="false">
              <v:fill type="solid"/>
            </v:rect>
            <v:shape style="position:absolute;left:905;top:353;width:10205;height:933" type="#_x0000_t202" id="docshape12" filled="false" stroked="false">
              <v:textbox inset="0,0,0,0">
                <w:txbxContent>
                  <w:p>
                    <w:pPr>
                      <w:spacing w:before="116"/>
                      <w:ind w:left="549" w:right="56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0"/>
                      <w:ind w:left="561" w:right="56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 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1"/>
                      <w:ind w:left="561" w:right="56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 Honorable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 Jersey 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130 582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Fax: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Email: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</w:pPr>
      <w:r>
        <w:rPr>
          <w:color w:val="365F91"/>
        </w:rPr>
        <w:t>About</w:t>
      </w:r>
      <w:r>
        <w:rPr>
          <w:color w:val="365F91"/>
          <w:spacing w:val="-3"/>
        </w:rPr>
        <w:t> </w:t>
      </w:r>
      <w:r>
        <w:rPr>
          <w:color w:val="365F91"/>
        </w:rPr>
        <w:t>Queensland</w:t>
      </w:r>
      <w:r>
        <w:rPr>
          <w:color w:val="365F91"/>
          <w:spacing w:val="-3"/>
        </w:rPr>
        <w:t> </w:t>
      </w:r>
      <w:r>
        <w:rPr>
          <w:color w:val="365F91"/>
        </w:rPr>
        <w:t>Advocacy</w:t>
      </w:r>
      <w:r>
        <w:rPr>
          <w:color w:val="365F91"/>
          <w:spacing w:val="-5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19"/>
        <w:ind w:left="570" w:right="322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</w:p>
    <w:p>
      <w:pPr>
        <w:pStyle w:val="BodyText"/>
        <w:ind w:left="570" w:right="335"/>
      </w:pPr>
      <w:r>
        <w:rPr/>
        <w:t>Our mission is to promote, protect and defend, through systems and individual advocacy, the</w:t>
      </w:r>
      <w:r>
        <w:rPr>
          <w:spacing w:val="-60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20"/>
        <w:ind w:left="570" w:right="301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advocating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systems change,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campaigns</w:t>
      </w:r>
      <w:r>
        <w:rPr>
          <w:spacing w:val="1"/>
        </w:rPr>
        <w:t> </w:t>
      </w:r>
      <w:r>
        <w:rPr/>
        <w:t>directed to attitudinal, 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59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individual advocacy services – the Human Rights Legal Service, the Mental Health Legal</w:t>
      </w:r>
      <w:r>
        <w:rPr>
          <w:spacing w:val="1"/>
        </w:rPr>
        <w:t> </w:t>
      </w:r>
      <w:r>
        <w:rPr/>
        <w:t>Service and the Justice Support Program and more recently the National Disability Insurance</w:t>
      </w:r>
      <w:r>
        <w:rPr>
          <w:spacing w:val="-59"/>
        </w:rPr>
        <w:t> </w:t>
      </w:r>
      <w:r>
        <w:rPr/>
        <w:t>Scheme</w:t>
      </w:r>
      <w:r>
        <w:rPr>
          <w:spacing w:val="-2"/>
        </w:rPr>
        <w:t> </w:t>
      </w:r>
      <w:r>
        <w:rPr/>
        <w:t>Appeals Support</w:t>
      </w:r>
      <w:r>
        <w:rPr>
          <w:spacing w:val="-1"/>
        </w:rPr>
        <w:t> </w:t>
      </w:r>
      <w:r>
        <w:rPr/>
        <w:t>Program.</w:t>
      </w:r>
    </w:p>
    <w:p>
      <w:pPr>
        <w:spacing w:after="0"/>
        <w:sectPr>
          <w:footerReference w:type="default" r:id="rId8"/>
          <w:pgSz w:w="11910" w:h="16840"/>
          <w:pgMar w:footer="1909" w:header="0" w:top="1580" w:bottom="2100" w:left="1080" w:right="880"/>
          <w:pgNumType w:start="2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Heading2"/>
        <w:spacing w:before="90"/>
      </w:pPr>
      <w:r>
        <w:rPr>
          <w:color w:val="365F91"/>
        </w:rPr>
        <w:t>Summary</w:t>
      </w:r>
      <w:r>
        <w:rPr>
          <w:color w:val="365F91"/>
          <w:spacing w:val="-4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QAI’s</w:t>
      </w:r>
      <w:r>
        <w:rPr>
          <w:color w:val="365F91"/>
          <w:spacing w:val="-1"/>
        </w:rPr>
        <w:t> </w:t>
      </w:r>
      <w:r>
        <w:rPr>
          <w:color w:val="365F91"/>
        </w:rPr>
        <w:t>recommendations:</w:t>
      </w: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77.099998pt;margin-top:10.316904pt;width:467.35pt;height:96.45pt;mso-position-horizontal-relative:page;mso-position-vertical-relative:paragraph;z-index:-15725056;mso-wrap-distance-left:0;mso-wrap-distance-right:0" type="#_x0000_t202" id="docshape14" filled="true" fillcolor="#bebebe" stroked="true" strokeweight=".47998pt" strokecolor="#000000">
            <v:textbox inset="0,0,0,0">
              <w:txbxContent>
                <w:p>
                  <w:pPr>
                    <w:pStyle w:val="BodyText"/>
                    <w:ind w:left="103" w:right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QAI recommends that the Government broaden the parameters of the redress scheme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individuals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serving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custodial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sentences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five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more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years,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allowing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such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individuals to be eligible for the scheme, with an appropriate amendment or excision of clause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63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 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 allow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this.</w:t>
                  </w:r>
                </w:p>
                <w:p>
                  <w:pPr>
                    <w:spacing w:before="199"/>
                    <w:ind w:left="103" w:right="12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With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the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proposed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amendment,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QAI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supports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the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passage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of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the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National</w:t>
                  </w:r>
                  <w:r>
                    <w:rPr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Redress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Scheme</w:t>
                  </w:r>
                  <w:r>
                    <w:rPr>
                      <w:i/>
                      <w:color w:val="000000"/>
                      <w:spacing w:val="-58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for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Institutional</w:t>
                  </w:r>
                  <w:r>
                    <w:rPr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Child</w:t>
                  </w:r>
                  <w:r>
                    <w:rPr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Sexual</w:t>
                  </w:r>
                  <w:r>
                    <w:rPr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Abuse</w:t>
                  </w:r>
                  <w:r>
                    <w:rPr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(Commonwealth</w:t>
                  </w:r>
                  <w:r>
                    <w:rPr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Powers)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Bill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2018</w:t>
                  </w:r>
                  <w:r>
                    <w:rPr>
                      <w:i/>
                      <w:color w:val="000000"/>
                      <w:spacing w:val="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in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its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present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form.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91"/>
        <w:ind w:left="570" w:right="0" w:firstLine="0"/>
        <w:jc w:val="left"/>
        <w:rPr>
          <w:b/>
          <w:sz w:val="28"/>
        </w:rPr>
      </w:pPr>
      <w:r>
        <w:rPr>
          <w:b/>
          <w:color w:val="365F91"/>
          <w:sz w:val="28"/>
        </w:rPr>
        <w:t>Background</w:t>
      </w:r>
    </w:p>
    <w:p>
      <w:pPr>
        <w:pStyle w:val="BodyText"/>
        <w:spacing w:before="200"/>
        <w:ind w:left="570" w:right="237"/>
      </w:pPr>
      <w:r>
        <w:rPr/>
        <w:t>On 12 June 2018, the </w:t>
      </w:r>
      <w:r>
        <w:rPr>
          <w:i/>
        </w:rPr>
        <w:t>National Redress Scheme for Institutional Child Sexual Abuse</w:t>
      </w:r>
      <w:r>
        <w:rPr>
          <w:i/>
          <w:spacing w:val="1"/>
        </w:rPr>
        <w:t> </w:t>
      </w:r>
      <w:r>
        <w:rPr>
          <w:i/>
        </w:rPr>
        <w:t>(Commonwealth Powers) Bill 2018 </w:t>
      </w:r>
      <w:r>
        <w:rPr/>
        <w:t>was introduced into Queensland Parliament. The reforms</w:t>
      </w:r>
      <w:r>
        <w:rPr>
          <w:spacing w:val="1"/>
        </w:rPr>
        <w:t> </w:t>
      </w:r>
      <w:r>
        <w:rPr/>
        <w:t>proposed by the Bill, which align with key recommendations from the Royal Commission into</w:t>
      </w:r>
      <w:r>
        <w:rPr>
          <w:spacing w:val="1"/>
        </w:rPr>
        <w:t> </w:t>
      </w:r>
      <w:r>
        <w:rPr/>
        <w:t>Institutional Responses to Child Sexual Abuse, represent an important step towards</w:t>
      </w:r>
      <w:r>
        <w:rPr>
          <w:spacing w:val="1"/>
        </w:rPr>
        <w:t> </w:t>
      </w:r>
      <w:r>
        <w:rPr/>
        <w:t>addressing the grave abuse experienced by vulnerable Queenslanders while in institutional</w:t>
      </w:r>
      <w:r>
        <w:rPr>
          <w:spacing w:val="1"/>
        </w:rPr>
        <w:t> </w:t>
      </w:r>
      <w:r>
        <w:rPr/>
        <w:t>care.</w:t>
      </w:r>
      <w:r>
        <w:rPr>
          <w:spacing w:val="1"/>
        </w:rPr>
        <w:t> </w:t>
      </w:r>
      <w:r>
        <w:rPr/>
        <w:t>If enacted, the legislation will enable survivors of abuse to access payments of financial</w:t>
      </w:r>
      <w:r>
        <w:rPr>
          <w:spacing w:val="-59"/>
        </w:rPr>
        <w:t> </w:t>
      </w:r>
      <w:r>
        <w:rPr/>
        <w:t>compensation, in addition to a personal response from the responsible institution and</w:t>
      </w:r>
      <w:r>
        <w:rPr>
          <w:spacing w:val="1"/>
        </w:rPr>
        <w:t> </w:t>
      </w:r>
      <w:r>
        <w:rPr/>
        <w:t>counselling.</w:t>
      </w:r>
    </w:p>
    <w:p>
      <w:pPr>
        <w:pStyle w:val="BodyText"/>
        <w:spacing w:before="201"/>
        <w:ind w:left="570" w:right="322"/>
      </w:pPr>
      <w:r>
        <w:rPr/>
        <w:t>QAI</w:t>
      </w:r>
      <w:r>
        <w:rPr>
          <w:spacing w:val="-3"/>
        </w:rPr>
        <w:t> </w:t>
      </w:r>
      <w:r>
        <w:rPr/>
        <w:t>supports the</w:t>
      </w:r>
      <w:r>
        <w:rPr>
          <w:spacing w:val="-1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redress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terms,</w:t>
      </w:r>
      <w:r>
        <w:rPr>
          <w:spacing w:val="-2"/>
        </w:rPr>
        <w:t> </w:t>
      </w:r>
      <w:r>
        <w:rPr/>
        <w:t>save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59"/>
        </w:rPr>
        <w:t> </w:t>
      </w:r>
      <w:r>
        <w:rPr/>
        <w:t>exception</w:t>
      </w:r>
      <w:r>
        <w:rPr>
          <w:spacing w:val="-2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as follows.</w:t>
      </w:r>
    </w:p>
    <w:p>
      <w:pPr>
        <w:pStyle w:val="BodyText"/>
        <w:spacing w:before="200"/>
        <w:ind w:left="570" w:right="237"/>
      </w:pPr>
      <w:r>
        <w:rPr/>
        <w:t>However, clause 63 creates an exclusion to the general rules of entitlement to redress for</w:t>
      </w:r>
      <w:r>
        <w:rPr>
          <w:spacing w:val="1"/>
        </w:rPr>
        <w:t> </w:t>
      </w:r>
      <w:r>
        <w:rPr/>
        <w:t>individuals who would otherwise be entitled to redress. Under clause 63, if a person is</w:t>
      </w:r>
      <w:r>
        <w:rPr>
          <w:spacing w:val="1"/>
        </w:rPr>
        <w:t> </w:t>
      </w:r>
      <w:r>
        <w:rPr/>
        <w:t>sentenced to imprisonment for five years or longer for an offence against the law of the</w:t>
      </w:r>
      <w:r>
        <w:rPr>
          <w:spacing w:val="1"/>
        </w:rPr>
        <w:t> </w:t>
      </w:r>
      <w:r>
        <w:rPr/>
        <w:t>Commonwealth, a State, a Territory or a foreign country, the person will not be entitled to</w:t>
      </w:r>
      <w:r>
        <w:rPr>
          <w:spacing w:val="1"/>
        </w:rPr>
        <w:t> </w:t>
      </w:r>
      <w:r>
        <w:rPr/>
        <w:t>redress unless the an appropriate determination is made under subsection 63(5).</w:t>
      </w:r>
      <w:r>
        <w:rPr>
          <w:spacing w:val="1"/>
        </w:rPr>
        <w:t> </w:t>
      </w:r>
      <w:r>
        <w:rPr/>
        <w:t>No mention</w:t>
      </w:r>
      <w:r>
        <w:rPr>
          <w:spacing w:val="-59"/>
        </w:rPr>
        <w:t> </w:t>
      </w:r>
      <w:r>
        <w:rPr/>
        <w:t>or discussion of this proposed provision was included in the Explanatory Notes or Explanatory</w:t>
      </w:r>
      <w:r>
        <w:rPr>
          <w:spacing w:val="-59"/>
        </w:rPr>
        <w:t> </w:t>
      </w:r>
      <w:r>
        <w:rPr/>
        <w:t>Speech.</w:t>
      </w:r>
    </w:p>
    <w:p>
      <w:pPr>
        <w:pStyle w:val="Heading2"/>
        <w:spacing w:before="199"/>
      </w:pPr>
      <w:r>
        <w:rPr>
          <w:color w:val="365F91"/>
        </w:rPr>
        <w:t>QAI’s</w:t>
      </w:r>
      <w:r>
        <w:rPr>
          <w:color w:val="365F91"/>
          <w:spacing w:val="-2"/>
        </w:rPr>
        <w:t> </w:t>
      </w:r>
      <w:r>
        <w:rPr>
          <w:color w:val="365F91"/>
        </w:rPr>
        <w:t>response</w:t>
      </w:r>
      <w:r>
        <w:rPr>
          <w:color w:val="365F91"/>
          <w:spacing w:val="-1"/>
        </w:rPr>
        <w:t> </w:t>
      </w:r>
      <w:r>
        <w:rPr>
          <w:color w:val="365F91"/>
        </w:rPr>
        <w:t>to</w:t>
      </w:r>
      <w:r>
        <w:rPr>
          <w:color w:val="365F91"/>
          <w:spacing w:val="-2"/>
        </w:rPr>
        <w:t> </w:t>
      </w:r>
      <w:r>
        <w:rPr>
          <w:color w:val="365F91"/>
        </w:rPr>
        <w:t>key</w:t>
      </w:r>
      <w:r>
        <w:rPr>
          <w:color w:val="365F91"/>
          <w:spacing w:val="-5"/>
        </w:rPr>
        <w:t> </w:t>
      </w:r>
      <w:r>
        <w:rPr>
          <w:color w:val="365F91"/>
        </w:rPr>
        <w:t>issues</w:t>
      </w:r>
      <w:r>
        <w:rPr>
          <w:color w:val="365F91"/>
          <w:spacing w:val="-2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inquiry:</w:t>
      </w:r>
    </w:p>
    <w:p>
      <w:pPr>
        <w:pStyle w:val="BodyText"/>
        <w:spacing w:before="200"/>
        <w:ind w:left="570" w:right="568"/>
      </w:pPr>
      <w:r>
        <w:rPr/>
        <w:t>QAI warns that the scheme must be inclusive and non-discriminatory if it is to deliver on its</w:t>
      </w:r>
      <w:r>
        <w:rPr>
          <w:spacing w:val="-59"/>
        </w:rPr>
        <w:t> </w:t>
      </w:r>
      <w:r>
        <w:rPr/>
        <w:t>human rights commitments and provide a just response to the harm experienced by all</w:t>
      </w:r>
      <w:r>
        <w:rPr>
          <w:spacing w:val="1"/>
        </w:rPr>
        <w:t> </w:t>
      </w:r>
      <w:r>
        <w:rPr/>
        <w:t>survivors.</w:t>
      </w:r>
    </w:p>
    <w:p>
      <w:pPr>
        <w:pStyle w:val="BodyText"/>
        <w:spacing w:before="200"/>
        <w:ind w:left="570" w:right="335"/>
      </w:pPr>
      <w:r>
        <w:rPr/>
        <w:t>QAI notes that a growing collection of voices, including the Australian Council of Social</w:t>
      </w:r>
      <w:r>
        <w:rPr>
          <w:spacing w:val="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(ACOSS),</w:t>
      </w:r>
      <w:r>
        <w:rPr>
          <w:spacing w:val="-2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Lawyers</w:t>
      </w:r>
      <w:r>
        <w:rPr>
          <w:spacing w:val="-1"/>
        </w:rPr>
        <w:t> </w:t>
      </w:r>
      <w:r>
        <w:rPr/>
        <w:t>Alliance,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Law</w:t>
      </w:r>
      <w:r>
        <w:rPr>
          <w:spacing w:val="-3"/>
        </w:rPr>
        <w:t> </w:t>
      </w:r>
      <w:r>
        <w:rPr/>
        <w:t>Centre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Victorian</w:t>
      </w:r>
      <w:r>
        <w:rPr>
          <w:spacing w:val="-58"/>
        </w:rPr>
        <w:t> </w:t>
      </w:r>
      <w:r>
        <w:rPr/>
        <w:t>Aboriginal Legal Service, have called for the proposed parameters of the scheme to be</w:t>
      </w:r>
      <w:r>
        <w:rPr>
          <w:spacing w:val="1"/>
        </w:rPr>
        <w:t> </w:t>
      </w:r>
      <w:r>
        <w:rPr/>
        <w:t>widened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include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sentenced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term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imprisonment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more.</w:t>
      </w:r>
    </w:p>
    <w:p>
      <w:pPr>
        <w:pStyle w:val="BodyText"/>
        <w:spacing w:before="201"/>
        <w:ind w:left="570" w:right="525"/>
        <w:jc w:val="both"/>
      </w:pPr>
      <w:r>
        <w:rPr/>
        <w:t>To exclude people with a custodial sentence of five years or more is not consistent with the</w:t>
      </w:r>
      <w:r>
        <w:rPr>
          <w:spacing w:val="-59"/>
        </w:rPr>
        <w:t> </w:t>
      </w:r>
      <w:r>
        <w:rPr/>
        <w:t>findings of the Royal Commission, the findings of the Senate Community Affairs Legislation</w:t>
      </w:r>
      <w:r>
        <w:rPr>
          <w:spacing w:val="-60"/>
        </w:rPr>
        <w:t> </w:t>
      </w:r>
      <w:r>
        <w:rPr/>
        <w:t>Committee,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weight of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views 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issue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basic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 principles.</w:t>
      </w:r>
    </w:p>
    <w:p>
      <w:pPr>
        <w:pStyle w:val="BodyText"/>
        <w:spacing w:before="200"/>
        <w:ind w:left="570" w:right="416"/>
        <w:jc w:val="both"/>
      </w:pPr>
      <w:r>
        <w:rPr/>
        <w:t>Further, QAI submits that this exclusion would significantly devalue the scheme’s efficacy as</w:t>
      </w:r>
      <w:r>
        <w:rPr>
          <w:spacing w:val="-60"/>
        </w:rPr>
        <w:t> </w:t>
      </w:r>
      <w:r>
        <w:rPr/>
        <w:t>a tool for the rehabilitation of offenders.</w:t>
      </w:r>
      <w:r>
        <w:rPr>
          <w:spacing w:val="1"/>
        </w:rPr>
        <w:t> </w:t>
      </w:r>
      <w:r>
        <w:rPr/>
        <w:t>Many perpetrators of crime are victims themselves.</w:t>
      </w:r>
      <w:r>
        <w:rPr>
          <w:spacing w:val="-59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wealth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systemic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intersection</w:t>
      </w:r>
      <w:r>
        <w:rPr>
          <w:spacing w:val="-2"/>
        </w:rPr>
        <w:t> </w:t>
      </w:r>
      <w:r>
        <w:rPr/>
        <w:t>of</w:t>
      </w:r>
    </w:p>
    <w:p>
      <w:pPr>
        <w:spacing w:after="0"/>
        <w:jc w:val="both"/>
        <w:sectPr>
          <w:pgSz w:w="11910" w:h="16840"/>
          <w:pgMar w:header="0" w:footer="1909" w:top="1580" w:bottom="212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3"/>
        <w:ind w:left="570"/>
      </w:pPr>
      <w:r>
        <w:rPr/>
        <w:t>criminal</w:t>
      </w:r>
      <w:r>
        <w:rPr>
          <w:spacing w:val="-2"/>
        </w:rPr>
        <w:t> </w:t>
      </w:r>
      <w:r>
        <w:rPr/>
        <w:t>culpability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disability,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exacerbated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abuse.</w:t>
      </w:r>
    </w:p>
    <w:p>
      <w:pPr>
        <w:pStyle w:val="BodyText"/>
        <w:spacing w:before="200"/>
        <w:ind w:left="570" w:right="237"/>
      </w:pPr>
      <w:r>
        <w:rPr/>
        <w:t>In QAI’s recent report: </w:t>
      </w:r>
      <w:r>
        <w:rPr>
          <w:i/>
        </w:rPr>
        <w:t>dis-Abled Justice: Reforms to Justice for Persons with Disability in</w:t>
      </w:r>
      <w:r>
        <w:rPr>
          <w:i/>
          <w:spacing w:val="1"/>
        </w:rPr>
        <w:t> </w:t>
      </w:r>
      <w:r>
        <w:rPr>
          <w:i/>
        </w:rPr>
        <w:t>Queensland</w:t>
      </w:r>
      <w:r>
        <w:rPr/>
        <w:t>,</w:t>
      </w:r>
      <w:r>
        <w:rPr>
          <w:vertAlign w:val="superscript"/>
        </w:rPr>
        <w:t>1</w:t>
      </w:r>
      <w:r>
        <w:rPr>
          <w:vertAlign w:val="baseline"/>
        </w:rPr>
        <w:t> we documented how the experience of violence, abuse, trauma and neglect,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particularly when inflicted on a very vulnerable person, such as a person with disability or</w:t>
      </w:r>
      <w:r>
        <w:rPr>
          <w:spacing w:val="1"/>
          <w:vertAlign w:val="baseline"/>
        </w:rPr>
        <w:t> </w:t>
      </w:r>
      <w:r>
        <w:rPr>
          <w:vertAlign w:val="baseline"/>
        </w:rPr>
        <w:t>mental illness, can increase the likelihood of that person coming into contact with the criminal</w:t>
      </w:r>
      <w:r>
        <w:rPr>
          <w:spacing w:val="-59"/>
          <w:vertAlign w:val="baseline"/>
        </w:rPr>
        <w:t> </w:t>
      </w:r>
      <w:r>
        <w:rPr>
          <w:vertAlign w:val="baseline"/>
        </w:rPr>
        <w:t>justice system later in their life. Historically, people with disability and mental illness have</w:t>
      </w:r>
      <w:r>
        <w:rPr>
          <w:spacing w:val="1"/>
          <w:vertAlign w:val="baseline"/>
        </w:rPr>
        <w:t> </w:t>
      </w:r>
      <w:r>
        <w:rPr>
          <w:vertAlign w:val="baseline"/>
        </w:rPr>
        <w:t>comprised a large portion of those living in institutional settings. If the Bill is passed with the</w:t>
      </w:r>
      <w:r>
        <w:rPr>
          <w:spacing w:val="1"/>
          <w:vertAlign w:val="baseline"/>
        </w:rPr>
        <w:t> </w:t>
      </w:r>
      <w:r>
        <w:rPr>
          <w:vertAlign w:val="baseline"/>
        </w:rPr>
        <w:t>current exclusion, it will mean that a disproportionately high rate of those who are excluded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-3"/>
          <w:vertAlign w:val="baseline"/>
        </w:rPr>
        <w:t> </w:t>
      </w:r>
      <w:r>
        <w:rPr>
          <w:vertAlign w:val="baseline"/>
        </w:rPr>
        <w:t>accessing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Scheme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this</w:t>
      </w:r>
      <w:r>
        <w:rPr>
          <w:spacing w:val="-1"/>
          <w:vertAlign w:val="baseline"/>
        </w:rPr>
        <w:t> </w:t>
      </w:r>
      <w:r>
        <w:rPr>
          <w:vertAlign w:val="baseline"/>
        </w:rPr>
        <w:t>way</w:t>
      </w:r>
      <w:r>
        <w:rPr>
          <w:spacing w:val="-2"/>
          <w:vertAlign w:val="baseline"/>
        </w:rPr>
        <w:t> </w:t>
      </w:r>
      <w:r>
        <w:rPr>
          <w:vertAlign w:val="baseline"/>
        </w:rPr>
        <w:t>are</w:t>
      </w:r>
      <w:r>
        <w:rPr>
          <w:spacing w:val="-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2"/>
          <w:vertAlign w:val="baseline"/>
        </w:rPr>
        <w:t> </w:t>
      </w:r>
      <w:r>
        <w:rPr>
          <w:vertAlign w:val="baseline"/>
        </w:rPr>
        <w:t>or</w:t>
      </w:r>
      <w:r>
        <w:rPr>
          <w:spacing w:val="-2"/>
          <w:vertAlign w:val="baseline"/>
        </w:rPr>
        <w:t> </w:t>
      </w:r>
      <w:r>
        <w:rPr>
          <w:vertAlign w:val="baseline"/>
        </w:rPr>
        <w:t>mental</w:t>
      </w:r>
      <w:r>
        <w:rPr>
          <w:spacing w:val="-3"/>
          <w:vertAlign w:val="baseline"/>
        </w:rPr>
        <w:t> </w:t>
      </w:r>
      <w:r>
        <w:rPr>
          <w:vertAlign w:val="baseline"/>
        </w:rPr>
        <w:t>illness.</w:t>
      </w:r>
      <w:r>
        <w:rPr>
          <w:spacing w:val="-1"/>
          <w:vertAlign w:val="baseline"/>
        </w:rPr>
        <w:t> </w:t>
      </w:r>
      <w:r>
        <w:rPr>
          <w:vertAlign w:val="baseline"/>
        </w:rPr>
        <w:t>This</w:t>
      </w:r>
      <w:r>
        <w:rPr>
          <w:spacing w:val="-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58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very</w:t>
      </w:r>
      <w:r>
        <w:rPr>
          <w:spacing w:val="-1"/>
          <w:vertAlign w:val="baseline"/>
        </w:rPr>
        <w:t> </w:t>
      </w:r>
      <w:r>
        <w:rPr>
          <w:vertAlign w:val="baseline"/>
        </w:rPr>
        <w:t>unjust outcome.</w:t>
      </w:r>
    </w:p>
    <w:p>
      <w:pPr>
        <w:pStyle w:val="BodyText"/>
        <w:spacing w:before="200"/>
        <w:ind w:left="570" w:right="246"/>
      </w:pPr>
      <w:r>
        <w:rPr/>
        <w:t>QAI supports justice being delivered for all victims of institutional child sexual abuse under the</w:t>
      </w:r>
      <w:r>
        <w:rPr>
          <w:spacing w:val="-60"/>
        </w:rPr>
        <w:t> </w:t>
      </w:r>
      <w:r>
        <w:rPr/>
        <w:t>redress scheme.</w:t>
      </w:r>
      <w:r>
        <w:rPr>
          <w:spacing w:val="1"/>
        </w:rPr>
        <w:t> </w:t>
      </w:r>
      <w:r>
        <w:rPr/>
        <w:t>This requires the removal or amendment of clause 63 to allow for an</w:t>
      </w:r>
      <w:r>
        <w:rPr>
          <w:spacing w:val="1"/>
        </w:rPr>
        <w:t> </w:t>
      </w:r>
      <w:r>
        <w:rPr/>
        <w:t>inclusive redress scheme which permits individuals serving custodial sentences of five or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years to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scheme’s ambit.</w:t>
      </w:r>
    </w:p>
    <w:p>
      <w:pPr>
        <w:pStyle w:val="Heading2"/>
        <w:spacing w:before="200"/>
      </w:pPr>
      <w:r>
        <w:rPr>
          <w:color w:val="365F91"/>
        </w:rPr>
        <w:t>Conclusion</w:t>
      </w:r>
    </w:p>
    <w:p>
      <w:pPr>
        <w:pStyle w:val="BodyText"/>
        <w:spacing w:before="200"/>
        <w:ind w:left="570"/>
      </w:pPr>
      <w:r>
        <w:rPr/>
        <w:t>QAI thanks the Committee for the opportunity to make a submission to this inquiry.</w:t>
      </w:r>
      <w:r>
        <w:rPr>
          <w:spacing w:val="1"/>
        </w:rPr>
        <w:t> </w:t>
      </w:r>
      <w:r>
        <w:rPr/>
        <w:t>We would</w:t>
      </w:r>
      <w:r>
        <w:rPr>
          <w:spacing w:val="-59"/>
        </w:rPr>
        <w:t> </w:t>
      </w:r>
      <w:r>
        <w:rPr/>
        <w:t>welcome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input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inquiry</w:t>
      </w:r>
      <w:r>
        <w:rPr>
          <w:spacing w:val="-1"/>
        </w:rPr>
        <w:t> </w:t>
      </w:r>
      <w:r>
        <w:rPr/>
        <w:t>progresses.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82.5pt;margin-top:6.993456pt;width:144.020pt;height:.72003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8"/>
        <w:ind w:left="570" w:right="993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  <w:vertAlign w:val="baseline"/>
        </w:rPr>
        <w:t> Queensland Advocacy Incorporated. </w:t>
      </w:r>
      <w:r>
        <w:rPr>
          <w:rFonts w:ascii="Calibri"/>
          <w:i/>
          <w:sz w:val="20"/>
          <w:vertAlign w:val="baseline"/>
        </w:rPr>
        <w:t>Dis-Abled Justice: Reforms to Justice for Persons with Disability in</w:t>
      </w:r>
      <w:r>
        <w:rPr>
          <w:rFonts w:ascii="Calibri"/>
          <w:i/>
          <w:spacing w:val="-4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Queensland.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May 2015.</w:t>
      </w:r>
    </w:p>
    <w:sectPr>
      <w:pgSz w:w="11910" w:h="16840"/>
      <w:pgMar w:header="0" w:footer="1909" w:top="1580" w:bottom="210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04.940002pt;margin-top:733.86499pt;width:12.6pt;height:13pt;mso-position-horizontal-relative:page;mso-position-vertical-relative:page;z-index:-15819776" type="#_x0000_t202" id="docshape13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570"/>
      <w:outlineLvl w:val="2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226" w:right="903" w:firstLine="1"/>
      <w:jc w:val="center"/>
    </w:pPr>
    <w:rPr>
      <w:rFonts w:ascii="Arial" w:hAnsi="Arial" w:eastAsia="Arial" w:cs="Arial"/>
      <w:b/>
      <w:b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2021-10-18T02:57:31Z</dcterms:created>
  <dcterms:modified xsi:type="dcterms:W3CDTF">2021-10-18T02:57:31Z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