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000121pt;margin-top:822.036987pt;width:594.999879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66pt;margin-top:71.150002pt;width:594.999934pt;height:6.1pt;mso-position-horizontal-relative:page;mso-position-vertical-relative:page;z-index:-15809024" id="docshape3" filled="true" fillcolor="#ff0000" stroked="false">
            <v:fill type="solid"/>
            <w10:wrap type="none"/>
          </v:rect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before="36"/>
        <w:ind w:left="1656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-276169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Q</w:t>
      </w:r>
      <w:r>
        <w:rPr>
          <w:b/>
          <w:color w:val="585858"/>
          <w:sz w:val="32"/>
        </w:rPr>
        <w:t>ueensland</w:t>
      </w:r>
      <w:r>
        <w:rPr>
          <w:b/>
          <w:color w:val="585858"/>
          <w:spacing w:val="-6"/>
          <w:sz w:val="32"/>
        </w:rPr>
        <w:t> </w:t>
      </w:r>
      <w:r>
        <w:rPr>
          <w:b/>
          <w:color w:val="FF0000"/>
          <w:sz w:val="32"/>
        </w:rPr>
        <w:t>A</w:t>
      </w:r>
      <w:r>
        <w:rPr>
          <w:b/>
          <w:color w:val="585858"/>
          <w:sz w:val="32"/>
        </w:rPr>
        <w:t>dvocacy</w:t>
      </w:r>
      <w:r>
        <w:rPr>
          <w:b/>
          <w:color w:val="585858"/>
          <w:spacing w:val="-5"/>
          <w:sz w:val="32"/>
        </w:rPr>
        <w:t> </w:t>
      </w:r>
      <w:r>
        <w:rPr>
          <w:b/>
          <w:color w:val="FF0000"/>
          <w:sz w:val="32"/>
        </w:rPr>
        <w:t>I</w:t>
      </w:r>
      <w:r>
        <w:rPr>
          <w:b/>
          <w:color w:val="585858"/>
          <w:sz w:val="32"/>
        </w:rPr>
        <w:t>ncorporated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6163" w:right="0" w:firstLine="0"/>
        <w:jc w:val="lef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vulnerable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5"/>
          <w:sz w:val="24"/>
        </w:rPr>
        <w:t> </w:t>
      </w:r>
      <w:r>
        <w:rPr>
          <w:color w:val="585858"/>
          <w:sz w:val="24"/>
        </w:rPr>
        <w:t>disability.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Title"/>
      </w:pPr>
      <w:r>
        <w:rPr>
          <w:color w:val="808080"/>
        </w:rPr>
        <w:t>Public</w:t>
      </w:r>
      <w:r>
        <w:rPr>
          <w:color w:val="808080"/>
          <w:spacing w:val="38"/>
        </w:rPr>
        <w:t> </w:t>
      </w:r>
      <w:r>
        <w:rPr>
          <w:color w:val="808080"/>
        </w:rPr>
        <w:t>Trustee</w:t>
      </w:r>
      <w:r>
        <w:rPr>
          <w:color w:val="808080"/>
          <w:spacing w:val="39"/>
        </w:rPr>
        <w:t> </w:t>
      </w:r>
      <w:r>
        <w:rPr>
          <w:color w:val="808080"/>
        </w:rPr>
        <w:t>(Advisory</w:t>
      </w:r>
      <w:r>
        <w:rPr>
          <w:color w:val="808080"/>
          <w:spacing w:val="41"/>
        </w:rPr>
        <w:t> </w:t>
      </w:r>
      <w:r>
        <w:rPr>
          <w:color w:val="808080"/>
        </w:rPr>
        <w:t>and</w:t>
      </w:r>
      <w:r>
        <w:rPr>
          <w:color w:val="808080"/>
          <w:spacing w:val="44"/>
        </w:rPr>
        <w:t> </w:t>
      </w:r>
      <w:r>
        <w:rPr>
          <w:color w:val="808080"/>
        </w:rPr>
        <w:t>Monitoring</w:t>
      </w:r>
      <w:r>
        <w:rPr>
          <w:color w:val="808080"/>
          <w:spacing w:val="-115"/>
        </w:rPr>
        <w:t> </w:t>
      </w:r>
      <w:r>
        <w:rPr>
          <w:color w:val="808080"/>
        </w:rPr>
        <w:t>Board)</w:t>
      </w:r>
      <w:r>
        <w:rPr>
          <w:color w:val="808080"/>
          <w:spacing w:val="12"/>
        </w:rPr>
        <w:t> </w:t>
      </w:r>
      <w:r>
        <w:rPr>
          <w:color w:val="808080"/>
        </w:rPr>
        <w:t>Amendment</w:t>
      </w:r>
      <w:r>
        <w:rPr>
          <w:color w:val="808080"/>
          <w:spacing w:val="14"/>
        </w:rPr>
        <w:t> </w:t>
      </w:r>
      <w:r>
        <w:rPr>
          <w:color w:val="808080"/>
        </w:rPr>
        <w:t>Bill</w:t>
      </w:r>
      <w:r>
        <w:rPr>
          <w:color w:val="808080"/>
          <w:spacing w:val="17"/>
        </w:rPr>
        <w:t> </w:t>
      </w:r>
      <w:r>
        <w:rPr>
          <w:color w:val="808080"/>
        </w:rPr>
        <w:t>2021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0"/>
        <w:rPr>
          <w:b/>
          <w:sz w:val="52"/>
        </w:rPr>
      </w:pPr>
    </w:p>
    <w:p>
      <w:pPr>
        <w:spacing w:line="288" w:lineRule="auto" w:before="0"/>
        <w:ind w:left="1676" w:right="2035" w:firstLine="2121"/>
        <w:jc w:val="left"/>
        <w:rPr>
          <w:b/>
          <w:sz w:val="48"/>
        </w:rPr>
      </w:pPr>
      <w:bookmarkStart w:name="Submission by" w:id="1"/>
      <w:bookmarkEnd w:id="1"/>
      <w:r>
        <w:rPr/>
      </w:r>
      <w:r>
        <w:rPr>
          <w:b/>
          <w:color w:val="FF0000"/>
          <w:sz w:val="48"/>
        </w:rPr>
        <w:t>Submission</w:t>
      </w:r>
      <w:r>
        <w:rPr>
          <w:b/>
          <w:color w:val="FF0000"/>
          <w:spacing w:val="2"/>
          <w:sz w:val="48"/>
        </w:rPr>
        <w:t> </w:t>
      </w:r>
      <w:r>
        <w:rPr>
          <w:b/>
          <w:color w:val="FF0000"/>
          <w:sz w:val="48"/>
        </w:rPr>
        <w:t>by</w:t>
      </w:r>
      <w:r>
        <w:rPr>
          <w:b/>
          <w:color w:val="FF0000"/>
          <w:spacing w:val="1"/>
          <w:sz w:val="48"/>
        </w:rPr>
        <w:t> </w:t>
      </w:r>
      <w:bookmarkStart w:name="Queensland Advocacy Incorporated" w:id="2"/>
      <w:bookmarkEnd w:id="2"/>
      <w:r>
        <w:rPr>
          <w:b/>
          <w:color w:val="FF0000"/>
          <w:sz w:val="48"/>
        </w:rPr>
        <w:t>Q</w:t>
      </w:r>
      <w:r>
        <w:rPr>
          <w:b/>
          <w:color w:val="FF0000"/>
          <w:sz w:val="48"/>
        </w:rPr>
        <w:t>ueensland</w:t>
      </w:r>
      <w:r>
        <w:rPr>
          <w:b/>
          <w:color w:val="FF0000"/>
          <w:spacing w:val="-10"/>
          <w:sz w:val="48"/>
        </w:rPr>
        <w:t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11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spacing w:before="387"/>
        <w:ind w:left="750" w:right="1113" w:firstLine="0"/>
        <w:jc w:val="center"/>
        <w:rPr>
          <w:b/>
          <w:sz w:val="48"/>
        </w:rPr>
      </w:pPr>
      <w:bookmarkStart w:name="Community Support and Services Committee" w:id="3"/>
      <w:bookmarkEnd w:id="3"/>
      <w:r>
        <w:rPr/>
      </w:r>
      <w:r>
        <w:rPr>
          <w:b/>
          <w:color w:val="808080"/>
          <w:sz w:val="48"/>
        </w:rPr>
        <w:t>Community</w:t>
      </w:r>
      <w:r>
        <w:rPr>
          <w:b/>
          <w:color w:val="808080"/>
          <w:spacing w:val="-3"/>
          <w:sz w:val="48"/>
        </w:rPr>
        <w:t> </w:t>
      </w:r>
      <w:r>
        <w:rPr>
          <w:b/>
          <w:color w:val="808080"/>
          <w:sz w:val="48"/>
        </w:rPr>
        <w:t>Support</w:t>
      </w:r>
      <w:r>
        <w:rPr>
          <w:b/>
          <w:color w:val="808080"/>
          <w:spacing w:val="-8"/>
          <w:sz w:val="48"/>
        </w:rPr>
        <w:t> </w:t>
      </w:r>
      <w:r>
        <w:rPr>
          <w:b/>
          <w:color w:val="808080"/>
          <w:sz w:val="48"/>
        </w:rPr>
        <w:t>and</w:t>
      </w:r>
      <w:r>
        <w:rPr>
          <w:b/>
          <w:color w:val="808080"/>
          <w:spacing w:val="-13"/>
          <w:sz w:val="48"/>
        </w:rPr>
        <w:t> </w:t>
      </w:r>
      <w:r>
        <w:rPr>
          <w:b/>
          <w:color w:val="808080"/>
          <w:sz w:val="48"/>
        </w:rPr>
        <w:t>Services</w:t>
      </w:r>
      <w:r>
        <w:rPr>
          <w:b/>
          <w:color w:val="808080"/>
          <w:spacing w:val="-6"/>
          <w:sz w:val="48"/>
        </w:rPr>
        <w:t> </w:t>
      </w:r>
      <w:r>
        <w:rPr>
          <w:b/>
          <w:color w:val="808080"/>
          <w:sz w:val="48"/>
        </w:rPr>
        <w:t>Committee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2"/>
        <w:rPr>
          <w:b/>
          <w:sz w:val="48"/>
        </w:rPr>
      </w:pPr>
    </w:p>
    <w:p>
      <w:pPr>
        <w:spacing w:before="0"/>
        <w:ind w:left="750" w:right="1101" w:firstLine="0"/>
        <w:jc w:val="center"/>
        <w:rPr>
          <w:b/>
          <w:sz w:val="36"/>
        </w:rPr>
      </w:pPr>
      <w:bookmarkStart w:name="November 2021" w:id="4"/>
      <w:bookmarkEnd w:id="4"/>
      <w:r>
        <w:rPr/>
      </w:r>
      <w:r>
        <w:rPr>
          <w:b/>
          <w:color w:val="FF0000"/>
          <w:sz w:val="36"/>
        </w:rPr>
        <w:t>November</w:t>
      </w:r>
      <w:r>
        <w:rPr>
          <w:b/>
          <w:color w:val="FF0000"/>
          <w:spacing w:val="-2"/>
          <w:sz w:val="36"/>
        </w:rPr>
        <w:t> </w:t>
      </w:r>
      <w:r>
        <w:rPr>
          <w:b/>
          <w:color w:val="FF0000"/>
          <w:sz w:val="36"/>
        </w:rPr>
        <w:t>2021</w:t>
      </w:r>
    </w:p>
    <w:p>
      <w:pPr>
        <w:spacing w:after="0"/>
        <w:jc w:val="center"/>
        <w:rPr>
          <w:sz w:val="36"/>
        </w:rPr>
        <w:sectPr>
          <w:footerReference w:type="default" r:id="rId5"/>
          <w:type w:val="continuous"/>
          <w:pgSz w:w="11900" w:h="16840"/>
          <w:pgMar w:footer="758" w:header="0" w:top="340" w:bottom="940" w:left="720" w:right="3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43"/>
        <w:jc w:val="both"/>
      </w:pPr>
      <w:bookmarkStart w:name="About Queensland Advocacy Incorporated" w:id="5"/>
      <w:bookmarkEnd w:id="5"/>
      <w:r>
        <w:rPr>
          <w:b w:val="0"/>
        </w:rPr>
      </w:r>
      <w:r>
        <w:rPr>
          <w:color w:val="808080"/>
        </w:rPr>
        <w:t>About</w:t>
      </w:r>
      <w:r>
        <w:rPr>
          <w:color w:val="808080"/>
          <w:spacing w:val="-8"/>
        </w:rPr>
        <w:t> </w:t>
      </w:r>
      <w:r>
        <w:rPr>
          <w:color w:val="808080"/>
        </w:rPr>
        <w:t>Queensland</w:t>
      </w:r>
      <w:r>
        <w:rPr>
          <w:color w:val="808080"/>
          <w:spacing w:val="-5"/>
        </w:rPr>
        <w:t> </w:t>
      </w:r>
      <w:r>
        <w:rPr>
          <w:color w:val="808080"/>
        </w:rPr>
        <w:t>Advocacy Incorporated</w:t>
      </w:r>
    </w:p>
    <w:p>
      <w:pPr>
        <w:pStyle w:val="BodyText"/>
        <w:spacing w:line="276" w:lineRule="auto" w:before="121"/>
        <w:ind w:left="360" w:right="716"/>
        <w:jc w:val="both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legal</w:t>
      </w:r>
      <w:r>
        <w:rPr>
          <w:spacing w:val="-8"/>
        </w:rPr>
        <w:t> </w:t>
      </w:r>
      <w:r>
        <w:rPr/>
        <w:t>service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systems</w:t>
      </w:r>
      <w:r>
        <w:rPr>
          <w:spacing w:val="-8"/>
        </w:rPr>
        <w:t> </w:t>
      </w:r>
      <w:r>
        <w:rPr/>
        <w:t>advocacy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8"/>
        </w:rPr>
        <w:t> </w:t>
      </w:r>
      <w:r>
        <w:rPr/>
        <w:t>disability.</w:t>
      </w:r>
      <w:r>
        <w:rPr>
          <w:spacing w:val="-7"/>
        </w:rPr>
        <w:t> </w:t>
      </w:r>
      <w:r>
        <w:rPr/>
        <w:t>Our</w:t>
      </w:r>
      <w:r>
        <w:rPr>
          <w:spacing w:val="-5"/>
        </w:rPr>
        <w:t> </w:t>
      </w:r>
      <w:r>
        <w:rPr/>
        <w:t>mission</w:t>
      </w:r>
      <w:r>
        <w:rPr>
          <w:spacing w:val="-47"/>
        </w:rPr>
        <w:t> </w:t>
      </w:r>
      <w:r>
        <w:rPr/>
        <w:t>is to advocate for the protection and advancement of the fundamental needs, rights and lives of the most</w:t>
      </w:r>
      <w:r>
        <w:rPr>
          <w:spacing w:val="1"/>
        </w:rPr>
        <w:t> </w:t>
      </w:r>
      <w:r>
        <w:rPr/>
        <w:t>vulnerable people with disability in Queensland. QAI’s board is comprised of a majority of persons with</w:t>
      </w:r>
      <w:r>
        <w:rPr>
          <w:spacing w:val="1"/>
        </w:rPr>
        <w:t> </w:t>
      </w:r>
      <w:r>
        <w:rPr/>
        <w:t>disability,</w:t>
      </w:r>
      <w:r>
        <w:rPr>
          <w:spacing w:val="-1"/>
        </w:rPr>
        <w:t> </w:t>
      </w:r>
      <w:r>
        <w:rPr/>
        <w:t>whose</w:t>
      </w:r>
      <w:r>
        <w:rPr>
          <w:spacing w:val="4"/>
        </w:rPr>
        <w:t> </w:t>
      </w:r>
      <w:r>
        <w:rPr/>
        <w:t>wisdom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lived</w:t>
      </w:r>
      <w:r>
        <w:rPr>
          <w:spacing w:val="-2"/>
        </w:rPr>
        <w:t> </w:t>
      </w:r>
      <w:r>
        <w:rPr/>
        <w:t>experience of</w:t>
      </w:r>
      <w:r>
        <w:rPr>
          <w:spacing w:val="-4"/>
        </w:rPr>
        <w:t> </w:t>
      </w:r>
      <w:r>
        <w:rPr/>
        <w:t>disability is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pStyle w:val="BodyText"/>
        <w:spacing w:line="276" w:lineRule="auto" w:before="121"/>
        <w:ind w:left="360" w:right="711"/>
        <w:jc w:val="both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attitudinal,</w:t>
      </w:r>
      <w:r>
        <w:rPr>
          <w:spacing w:val="-7"/>
        </w:rPr>
        <w:t> </w:t>
      </w:r>
      <w:r>
        <w:rPr/>
        <w:t>law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policy</w:t>
      </w:r>
      <w:r>
        <w:rPr>
          <w:spacing w:val="-7"/>
        </w:rPr>
        <w:t> </w:t>
      </w:r>
      <w:r>
        <w:rPr/>
        <w:t>reform.</w:t>
      </w:r>
      <w:r>
        <w:rPr>
          <w:spacing w:val="-8"/>
        </w:rPr>
        <w:t> </w:t>
      </w:r>
      <w:r>
        <w:rPr/>
        <w:t>QAI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supported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advocacy</w:t>
      </w:r>
      <w:r>
        <w:rPr>
          <w:spacing w:val="-48"/>
        </w:rPr>
        <w:t> </w:t>
      </w:r>
      <w:r>
        <w:rPr/>
        <w:t>initiatives in this state. For over a decade, QAI has provided highly in-demand individual advocacy services.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 currently provided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our three advocacy practices:</w:t>
      </w:r>
      <w:r>
        <w:rPr>
          <w:spacing w:val="1"/>
        </w:rPr>
        <w:t> </w:t>
      </w:r>
      <w:r>
        <w:rPr/>
        <w:t>the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</w:t>
      </w:r>
      <w:r>
        <w:rPr>
          <w:spacing w:val="50"/>
        </w:rPr>
        <w:t> </w:t>
      </w:r>
      <w:r>
        <w:rPr/>
        <w:t>interface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education,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social</w:t>
      </w:r>
      <w:r>
        <w:rPr>
          <w:spacing w:val="50"/>
        </w:rPr>
        <w:t> </w:t>
      </w:r>
      <w:r>
        <w:rPr/>
        <w:t>work</w:t>
      </w:r>
      <w:r>
        <w:rPr>
          <w:spacing w:val="50"/>
        </w:rPr>
        <w:t> </w:t>
      </w:r>
      <w:r>
        <w:rPr/>
        <w:t>services);</w:t>
      </w:r>
      <w:r>
        <w:rPr>
          <w:spacing w:val="50"/>
        </w:rPr>
        <w:t> </w:t>
      </w:r>
      <w:r>
        <w:rPr/>
        <w:t>the   Mental   Health Advocacy   Practice</w:t>
      </w:r>
      <w:r>
        <w:rPr>
          <w:spacing w:val="1"/>
        </w:rPr>
        <w:t> </w:t>
      </w:r>
      <w:r>
        <w:rPr/>
        <w:t>(which supports</w:t>
      </w:r>
      <w:r>
        <w:rPr>
          <w:spacing w:val="1"/>
        </w:rPr>
        <w:t> </w:t>
      </w:r>
      <w:r>
        <w:rPr/>
        <w:t>people receiving</w:t>
      </w:r>
      <w:r>
        <w:rPr>
          <w:spacing w:val="1"/>
        </w:rPr>
        <w:t> </w:t>
      </w:r>
      <w:r>
        <w:rPr/>
        <w:t>involuntary</w:t>
      </w:r>
      <w:r>
        <w:rPr>
          <w:spacing w:val="1"/>
        </w:rPr>
        <w:t> </w:t>
      </w:r>
      <w:r>
        <w:rPr/>
        <w:t>treatment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mental illness);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NDIS Advocacy</w:t>
      </w:r>
      <w:r>
        <w:rPr>
          <w:spacing w:val="1"/>
        </w:rPr>
        <w:t> </w:t>
      </w:r>
      <w:r>
        <w:rPr/>
        <w:t>Practice (which provides support for people challenging decisions of the National Disability Insurance Agency</w:t>
      </w:r>
      <w:r>
        <w:rPr>
          <w:spacing w:val="-47"/>
        </w:rPr>
        <w:t> </w:t>
      </w:r>
      <w:r>
        <w:rPr/>
        <w:t>and decision support to access the NDIS). Our individual advocacy experience informs our understanding and</w:t>
      </w:r>
      <w:r>
        <w:rPr>
          <w:spacing w:val="-47"/>
        </w:rPr>
        <w:t> </w:t>
      </w:r>
      <w:r>
        <w:rPr/>
        <w:t>prioritisation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systemic</w:t>
      </w:r>
      <w:r>
        <w:rPr>
          <w:spacing w:val="1"/>
        </w:rPr>
        <w:t> </w:t>
      </w:r>
      <w:r>
        <w:rPr/>
        <w:t>advocacy issues.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jc w:val="both"/>
      </w:pPr>
      <w:bookmarkStart w:name="QAI’s recommendations" w:id="6"/>
      <w:bookmarkEnd w:id="6"/>
      <w:r>
        <w:rPr>
          <w:b w:val="0"/>
        </w:rPr>
      </w:r>
      <w:r>
        <w:rPr>
          <w:color w:val="808080"/>
        </w:rPr>
        <w:t>QAI’s</w:t>
      </w:r>
      <w:r>
        <w:rPr>
          <w:color w:val="808080"/>
          <w:spacing w:val="-13"/>
        </w:rPr>
        <w:t> </w:t>
      </w:r>
      <w:r>
        <w:rPr>
          <w:color w:val="808080"/>
        </w:rPr>
        <w:t>recommendations</w:t>
      </w:r>
    </w:p>
    <w:p>
      <w:pPr>
        <w:spacing w:before="135"/>
        <w:ind w:left="475" w:right="0" w:firstLine="0"/>
        <w:jc w:val="both"/>
        <w:rPr>
          <w:b/>
          <w:sz w:val="22"/>
        </w:rPr>
      </w:pPr>
      <w:r>
        <w:rPr/>
        <w:pict>
          <v:group style="position:absolute;margin-left:54.025002pt;margin-top:6.223638pt;width:487.25pt;height:365.65pt;mso-position-horizontal-relative:page;mso-position-vertical-relative:paragraph;z-index:-15808512" id="docshapegroup6" coordorigin="1081,124" coordsize="9745,7313">
            <v:rect style="position:absolute;left:1090;top:134;width:9724;height:7292" id="docshape7" filled="true" fillcolor="#bebebe" stroked="false">
              <v:fill type="solid"/>
            </v:rect>
            <v:shape style="position:absolute;left:1080;top:124;width:9745;height:7313" id="docshape8" coordorigin="1081,124" coordsize="9745,7313" path="m10815,7427l1091,7427,1091,135,1081,135,1081,7427,1081,7437,1091,7437,10815,7437,10815,7427xm10815,124l1091,124,1081,124,1081,134,1091,134,10815,134,10815,124xm10825,135l10815,135,10815,7427,10825,7427,10825,1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QAI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recommends: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76" w:lineRule="auto" w:before="40" w:after="0"/>
        <w:ind w:left="1196" w:right="820" w:hanging="361"/>
        <w:jc w:val="both"/>
        <w:rPr>
          <w:sz w:val="22"/>
        </w:rPr>
      </w:pPr>
      <w:r>
        <w:rPr>
          <w:sz w:val="22"/>
        </w:rPr>
        <w:t>The additional appointment of a person with lived experience in disability who has the requisite</w:t>
      </w:r>
      <w:r>
        <w:rPr>
          <w:spacing w:val="1"/>
          <w:sz w:val="22"/>
        </w:rPr>
        <w:t> </w:t>
      </w:r>
      <w:r>
        <w:rPr>
          <w:sz w:val="22"/>
        </w:rPr>
        <w:t>‘knowledge, qualifications or skills’ in disability advocacy to be an appointed board member in the</w:t>
      </w:r>
      <w:r>
        <w:rPr>
          <w:spacing w:val="1"/>
          <w:sz w:val="22"/>
        </w:rPr>
        <w:t> </w:t>
      </w:r>
      <w:r>
        <w:rPr>
          <w:sz w:val="22"/>
        </w:rPr>
        <w:t>spirit of the Public Trustee’s recognition and representation of the diversity of the Queensland</w:t>
      </w:r>
      <w:r>
        <w:rPr>
          <w:spacing w:val="1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76" w:lineRule="auto" w:before="0" w:after="0"/>
        <w:ind w:left="1196" w:right="834" w:hanging="361"/>
        <w:jc w:val="both"/>
        <w:rPr>
          <w:sz w:val="22"/>
        </w:rPr>
      </w:pPr>
      <w:r>
        <w:rPr>
          <w:sz w:val="22"/>
        </w:rPr>
        <w:t>Further guidance on the intention for appointed board members to ‘reflect the diversity of the</w:t>
      </w:r>
      <w:r>
        <w:rPr>
          <w:spacing w:val="1"/>
          <w:sz w:val="22"/>
        </w:rPr>
        <w:t> </w:t>
      </w:r>
      <w:r>
        <w:rPr>
          <w:sz w:val="22"/>
        </w:rPr>
        <w:t>Queensland</w:t>
      </w:r>
      <w:r>
        <w:rPr>
          <w:spacing w:val="1"/>
          <w:sz w:val="22"/>
        </w:rPr>
        <w:t> </w:t>
      </w:r>
      <w:r>
        <w:rPr>
          <w:sz w:val="22"/>
        </w:rPr>
        <w:t>community’.</w:t>
      </w:r>
      <w:r>
        <w:rPr>
          <w:spacing w:val="1"/>
          <w:sz w:val="22"/>
        </w:rPr>
        <w:t> </w:t>
      </w:r>
      <w:r>
        <w:rPr>
          <w:sz w:val="22"/>
        </w:rPr>
        <w:t>For example,</w:t>
      </w:r>
      <w:r>
        <w:rPr>
          <w:spacing w:val="1"/>
          <w:sz w:val="22"/>
        </w:rPr>
        <w:t> </w:t>
      </w:r>
      <w:r>
        <w:rPr>
          <w:sz w:val="22"/>
        </w:rPr>
        <w:t>quantification</w:t>
      </w:r>
      <w:r>
        <w:rPr>
          <w:spacing w:val="1"/>
          <w:sz w:val="22"/>
        </w:rPr>
        <w:t> </w:t>
      </w:r>
      <w:r>
        <w:rPr>
          <w:sz w:val="22"/>
        </w:rPr>
        <w:t>of representatives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distinct</w:t>
      </w:r>
      <w:r>
        <w:rPr>
          <w:spacing w:val="1"/>
          <w:sz w:val="22"/>
        </w:rPr>
        <w:t> </w:t>
      </w:r>
      <w:r>
        <w:rPr>
          <w:sz w:val="22"/>
        </w:rPr>
        <w:t>diverse</w:t>
      </w:r>
      <w:r>
        <w:rPr>
          <w:spacing w:val="1"/>
          <w:sz w:val="22"/>
        </w:rPr>
        <w:t> </w:t>
      </w:r>
      <w:r>
        <w:rPr>
          <w:sz w:val="22"/>
        </w:rPr>
        <w:t>groups</w:t>
      </w:r>
      <w:r>
        <w:rPr>
          <w:spacing w:val="-5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allow</w:t>
      </w:r>
      <w:r>
        <w:rPr>
          <w:spacing w:val="-6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considered,</w:t>
      </w:r>
      <w:r>
        <w:rPr>
          <w:spacing w:val="-2"/>
          <w:sz w:val="22"/>
        </w:rPr>
        <w:t> </w:t>
      </w:r>
      <w:r>
        <w:rPr>
          <w:sz w:val="22"/>
        </w:rPr>
        <w:t>publicly</w:t>
      </w:r>
      <w:r>
        <w:rPr>
          <w:spacing w:val="-3"/>
          <w:sz w:val="22"/>
        </w:rPr>
        <w:t> </w:t>
      </w:r>
      <w:r>
        <w:rPr>
          <w:sz w:val="22"/>
        </w:rPr>
        <w:t>accountable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3"/>
          <w:sz w:val="22"/>
        </w:rPr>
        <w:t> </w:t>
      </w:r>
      <w:r>
        <w:rPr>
          <w:sz w:val="22"/>
        </w:rPr>
        <w:t>representation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73" w:lineRule="auto" w:before="0" w:after="0"/>
        <w:ind w:left="1196" w:right="827" w:hanging="361"/>
        <w:jc w:val="both"/>
        <w:rPr>
          <w:sz w:val="22"/>
        </w:rPr>
      </w:pPr>
      <w:r>
        <w:rPr>
          <w:spacing w:val="-1"/>
          <w:sz w:val="22"/>
        </w:rPr>
        <w:t>Further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consideration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given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increasing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frequency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Board</w:t>
      </w:r>
      <w:r>
        <w:rPr>
          <w:spacing w:val="-11"/>
          <w:sz w:val="22"/>
        </w:rPr>
        <w:t> </w:t>
      </w:r>
      <w:r>
        <w:rPr>
          <w:sz w:val="22"/>
        </w:rPr>
        <w:t>meetings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level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resources</w:t>
      </w:r>
      <w:r>
        <w:rPr>
          <w:spacing w:val="-47"/>
          <w:sz w:val="22"/>
        </w:rPr>
        <w:t> </w:t>
      </w:r>
      <w:r>
        <w:rPr>
          <w:sz w:val="22"/>
        </w:rPr>
        <w:t>available to the Board, given the breadth of services offered by the Public Trustee and the scale of</w:t>
      </w:r>
      <w:r>
        <w:rPr>
          <w:spacing w:val="-47"/>
          <w:sz w:val="22"/>
        </w:rPr>
        <w:t> </w:t>
      </w:r>
      <w:r>
        <w:rPr>
          <w:sz w:val="22"/>
        </w:rPr>
        <w:t>reform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required, as</w:t>
      </w:r>
      <w:r>
        <w:rPr>
          <w:spacing w:val="-3"/>
          <w:sz w:val="22"/>
        </w:rPr>
        <w:t> </w:t>
      </w:r>
      <w:r>
        <w:rPr>
          <w:sz w:val="22"/>
        </w:rPr>
        <w:t>demonstrated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Advocate’s</w:t>
      </w:r>
      <w:r>
        <w:rPr>
          <w:spacing w:val="-1"/>
          <w:sz w:val="22"/>
        </w:rPr>
        <w:t> </w:t>
      </w:r>
      <w:r>
        <w:rPr>
          <w:sz w:val="22"/>
        </w:rPr>
        <w:t>report.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76" w:lineRule="auto" w:before="5" w:after="0"/>
        <w:ind w:left="1196" w:right="827" w:hanging="361"/>
        <w:jc w:val="both"/>
        <w:rPr>
          <w:sz w:val="22"/>
        </w:rPr>
      </w:pPr>
      <w:r>
        <w:rPr>
          <w:sz w:val="22"/>
        </w:rPr>
        <w:t>Regular mandatory, independent reporting by the Board, in addition to the information about the</w:t>
      </w:r>
      <w:r>
        <w:rPr>
          <w:spacing w:val="1"/>
          <w:sz w:val="22"/>
        </w:rPr>
        <w:t> </w:t>
      </w:r>
      <w:r>
        <w:rPr>
          <w:sz w:val="22"/>
        </w:rPr>
        <w:t>performance of the Board’s functions that is to be included in the Public Trustee’s annual report.</w:t>
      </w:r>
      <w:r>
        <w:rPr>
          <w:spacing w:val="1"/>
          <w:sz w:val="22"/>
        </w:rPr>
        <w:t> </w:t>
      </w:r>
      <w:r>
        <w:rPr>
          <w:sz w:val="22"/>
        </w:rPr>
        <w:t>For example, the Board should release communiques from their meetings and should release any</w:t>
      </w:r>
      <w:r>
        <w:rPr>
          <w:spacing w:val="1"/>
          <w:sz w:val="22"/>
        </w:rPr>
        <w:t> </w:t>
      </w:r>
      <w:r>
        <w:rPr>
          <w:sz w:val="22"/>
        </w:rPr>
        <w:t>written recommendations or advice given to the Minister or Public Trustee regarding changes or</w:t>
      </w:r>
      <w:r>
        <w:rPr>
          <w:spacing w:val="1"/>
          <w:sz w:val="22"/>
        </w:rPr>
        <w:t> </w:t>
      </w:r>
      <w:r>
        <w:rPr>
          <w:sz w:val="22"/>
        </w:rPr>
        <w:t>improvements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 sees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necessary.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80" w:lineRule="auto" w:before="0" w:after="0"/>
        <w:ind w:left="1196" w:right="824" w:hanging="361"/>
        <w:jc w:val="both"/>
        <w:rPr>
          <w:sz w:val="22"/>
        </w:rPr>
      </w:pPr>
      <w:r>
        <w:rPr>
          <w:sz w:val="22"/>
        </w:rPr>
        <w:t>The Public Trustee be legislatively required to publicly provide a written response to any advice or</w:t>
      </w:r>
      <w:r>
        <w:rPr>
          <w:spacing w:val="1"/>
          <w:sz w:val="22"/>
        </w:rPr>
        <w:t> </w:t>
      </w:r>
      <w:r>
        <w:rPr>
          <w:sz w:val="22"/>
        </w:rPr>
        <w:t>recommendations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Board.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76" w:lineRule="auto" w:before="0" w:after="0"/>
        <w:ind w:left="1196" w:right="823" w:hanging="361"/>
        <w:jc w:val="both"/>
        <w:rPr>
          <w:sz w:val="22"/>
        </w:rPr>
      </w:pPr>
      <w:r>
        <w:rPr>
          <w:sz w:val="22"/>
        </w:rPr>
        <w:t>The establishment of the Board alone is not sufficient to address the numerous issues of concern</w:t>
      </w:r>
      <w:r>
        <w:rPr>
          <w:spacing w:val="1"/>
          <w:sz w:val="22"/>
        </w:rPr>
        <w:t> </w:t>
      </w:r>
      <w:r>
        <w:rPr>
          <w:sz w:val="22"/>
        </w:rPr>
        <w:t>raised by the Public Advocate’s report. QAI therefore urges the government to continue working</w:t>
      </w:r>
      <w:r>
        <w:rPr>
          <w:spacing w:val="1"/>
          <w:sz w:val="22"/>
        </w:rPr>
        <w:t> </w:t>
      </w:r>
      <w:r>
        <w:rPr>
          <w:sz w:val="22"/>
        </w:rPr>
        <w:t>towards implementing the remainder of the Public Advocate’s recommendations that fall 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government’s</w:t>
      </w:r>
      <w:r>
        <w:rPr>
          <w:spacing w:val="-1"/>
          <w:sz w:val="22"/>
        </w:rPr>
        <w:t> </w:t>
      </w:r>
      <w:r>
        <w:rPr>
          <w:sz w:val="22"/>
        </w:rPr>
        <w:t>remit.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7"/>
          <w:footerReference w:type="default" r:id="rId8"/>
          <w:pgSz w:w="11900" w:h="1684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spacing w:before="44"/>
      </w:pPr>
      <w:bookmarkStart w:name="Introduction" w:id="7"/>
      <w:bookmarkEnd w:id="7"/>
      <w:r>
        <w:rPr>
          <w:b w:val="0"/>
        </w:rPr>
      </w:r>
      <w:r>
        <w:rPr>
          <w:color w:val="808080"/>
        </w:rPr>
        <w:t>Introduction</w:t>
      </w:r>
    </w:p>
    <w:p>
      <w:pPr>
        <w:pStyle w:val="BodyText"/>
        <w:spacing w:line="276" w:lineRule="auto" w:before="121"/>
        <w:ind w:left="360" w:right="715"/>
        <w:jc w:val="both"/>
      </w:pPr>
      <w:r>
        <w:rPr/>
        <w:t>QAI welcomes the opportunity to provide feedback on the introduction of the Public Trustee (Advisory and</w:t>
      </w:r>
      <w:r>
        <w:rPr>
          <w:spacing w:val="1"/>
        </w:rPr>
        <w:t> </w:t>
      </w:r>
      <w:r>
        <w:rPr/>
        <w:t>Monitoring Board) Amendment Bill 2021 (Qld) which seeks to establish the Public Trustee Advisory and</w:t>
      </w:r>
      <w:r>
        <w:rPr>
          <w:spacing w:val="1"/>
        </w:rPr>
        <w:t> </w:t>
      </w:r>
      <w:r>
        <w:rPr/>
        <w:t>Monitoring Board (</w:t>
      </w:r>
      <w:r>
        <w:rPr>
          <w:b/>
        </w:rPr>
        <w:t>the Board</w:t>
      </w:r>
      <w:r>
        <w:rPr/>
        <w:t>). We acknowledge that the proposed vision of the Board is to ensure oversight,</w:t>
      </w:r>
      <w:r>
        <w:rPr>
          <w:spacing w:val="-47"/>
        </w:rPr>
        <w:t> </w:t>
      </w:r>
      <w:r>
        <w:rPr/>
        <w:t>enhance transparency and increase public accountability of the Public Trustee after the release of the Public</w:t>
      </w:r>
      <w:r>
        <w:rPr>
          <w:spacing w:val="1"/>
        </w:rPr>
        <w:t> </w:t>
      </w:r>
      <w:r>
        <w:rPr/>
        <w:t>Advocate’s</w:t>
      </w:r>
      <w:r>
        <w:rPr>
          <w:spacing w:val="-8"/>
        </w:rPr>
        <w:t> </w:t>
      </w:r>
      <w:r>
        <w:rPr/>
        <w:t>‘</w:t>
      </w:r>
      <w:r>
        <w:rPr>
          <w:i/>
        </w:rPr>
        <w:t>Preserving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7"/>
        </w:rPr>
        <w:t> </w:t>
      </w:r>
      <w:r>
        <w:rPr>
          <w:i/>
        </w:rPr>
        <w:t>financial</w:t>
      </w:r>
      <w:r>
        <w:rPr>
          <w:i/>
          <w:spacing w:val="-7"/>
        </w:rPr>
        <w:t> </w:t>
      </w:r>
      <w:r>
        <w:rPr>
          <w:i/>
        </w:rPr>
        <w:t>futures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>
          <w:i/>
        </w:rPr>
        <w:t>vulnerable</w:t>
      </w:r>
      <w:r>
        <w:rPr>
          <w:i/>
          <w:spacing w:val="-7"/>
        </w:rPr>
        <w:t> </w:t>
      </w:r>
      <w:r>
        <w:rPr>
          <w:i/>
        </w:rPr>
        <w:t>Queenslanders: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9"/>
        </w:rPr>
        <w:t> </w:t>
      </w:r>
      <w:r>
        <w:rPr>
          <w:i/>
        </w:rPr>
        <w:t>review</w:t>
      </w:r>
      <w:r>
        <w:rPr>
          <w:i/>
          <w:spacing w:val="-8"/>
        </w:rPr>
        <w:t> </w:t>
      </w:r>
      <w:r>
        <w:rPr>
          <w:i/>
        </w:rPr>
        <w:t>of</w:t>
      </w:r>
      <w:r>
        <w:rPr>
          <w:i/>
          <w:spacing w:val="-8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Public</w:t>
      </w:r>
      <w:r>
        <w:rPr>
          <w:i/>
          <w:spacing w:val="-9"/>
        </w:rPr>
        <w:t> </w:t>
      </w:r>
      <w:r>
        <w:rPr>
          <w:i/>
        </w:rPr>
        <w:t>Trustee’s</w:t>
      </w:r>
      <w:r>
        <w:rPr>
          <w:i/>
          <w:spacing w:val="-7"/>
        </w:rPr>
        <w:t> </w:t>
      </w:r>
      <w:r>
        <w:rPr>
          <w:i/>
        </w:rPr>
        <w:t>fees,</w:t>
      </w:r>
      <w:r>
        <w:rPr>
          <w:i/>
          <w:spacing w:val="-47"/>
        </w:rPr>
        <w:t> </w:t>
      </w:r>
      <w:r>
        <w:rPr>
          <w:i/>
        </w:rPr>
        <w:t>charges and practices’ </w:t>
      </w:r>
      <w:r>
        <w:rPr/>
        <w:t>report earlier this year.</w:t>
      </w:r>
      <w:r>
        <w:rPr>
          <w:vertAlign w:val="superscript"/>
        </w:rPr>
        <w:t>1</w:t>
      </w:r>
      <w:r>
        <w:rPr>
          <w:vertAlign w:val="baseline"/>
        </w:rPr>
        <w:t> This report revealed a range of Public Trustee fees, policies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practices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5"/>
          <w:vertAlign w:val="baseline"/>
        </w:rPr>
        <w:t> </w:t>
      </w:r>
      <w:r>
        <w:rPr>
          <w:vertAlign w:val="baseline"/>
        </w:rPr>
        <w:t>suggest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5"/>
          <w:vertAlign w:val="baseline"/>
        </w:rPr>
        <w:t> </w:t>
      </w:r>
      <w:r>
        <w:rPr>
          <w:vertAlign w:val="baseline"/>
        </w:rPr>
        <w:t>Trustee</w:t>
      </w:r>
      <w:r>
        <w:rPr>
          <w:spacing w:val="-6"/>
          <w:vertAlign w:val="baseline"/>
        </w:rPr>
        <w:t> </w:t>
      </w:r>
      <w:r>
        <w:rPr>
          <w:vertAlign w:val="baseline"/>
        </w:rPr>
        <w:t>is</w:t>
      </w:r>
      <w:r>
        <w:rPr>
          <w:spacing w:val="-8"/>
          <w:vertAlign w:val="baseline"/>
        </w:rPr>
        <w:t> </w:t>
      </w:r>
      <w:r>
        <w:rPr>
          <w:vertAlign w:val="baseline"/>
        </w:rPr>
        <w:t>breaching</w:t>
      </w:r>
      <w:r>
        <w:rPr>
          <w:spacing w:val="-7"/>
          <w:vertAlign w:val="baseline"/>
        </w:rPr>
        <w:t> </w:t>
      </w:r>
      <w:r>
        <w:rPr>
          <w:vertAlign w:val="baseline"/>
        </w:rPr>
        <w:t>some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its</w:t>
      </w:r>
      <w:r>
        <w:rPr>
          <w:spacing w:val="-3"/>
          <w:vertAlign w:val="baseline"/>
        </w:rPr>
        <w:t> </w:t>
      </w:r>
      <w:r>
        <w:rPr>
          <w:vertAlign w:val="baseline"/>
        </w:rPr>
        <w:t>legal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fiduciary</w:t>
      </w:r>
      <w:r>
        <w:rPr>
          <w:spacing w:val="-6"/>
          <w:vertAlign w:val="baseline"/>
        </w:rPr>
        <w:t> </w:t>
      </w:r>
      <w:r>
        <w:rPr>
          <w:vertAlign w:val="baseline"/>
        </w:rPr>
        <w:t>duties,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not</w:t>
      </w:r>
      <w:r>
        <w:rPr>
          <w:spacing w:val="-6"/>
          <w:vertAlign w:val="baseline"/>
        </w:rPr>
        <w:t> </w:t>
      </w:r>
      <w:r>
        <w:rPr>
          <w:vertAlign w:val="baseline"/>
        </w:rPr>
        <w:t>acting</w:t>
      </w:r>
      <w:r>
        <w:rPr>
          <w:spacing w:val="-47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interests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1"/>
          <w:vertAlign w:val="baseline"/>
        </w:rPr>
        <w:t> </w:t>
      </w:r>
      <w:r>
        <w:rPr>
          <w:vertAlign w:val="baseline"/>
        </w:rPr>
        <w:t>clients.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raised</w:t>
      </w:r>
      <w:r>
        <w:rPr>
          <w:spacing w:val="1"/>
          <w:vertAlign w:val="baseline"/>
        </w:rPr>
        <w:t> </w:t>
      </w:r>
      <w:r>
        <w:rPr>
          <w:vertAlign w:val="baseline"/>
        </w:rPr>
        <w:t>serious</w:t>
      </w:r>
      <w:r>
        <w:rPr>
          <w:spacing w:val="1"/>
          <w:vertAlign w:val="baseline"/>
        </w:rPr>
        <w:t> </w:t>
      </w:r>
      <w:r>
        <w:rPr>
          <w:vertAlign w:val="baseline"/>
        </w:rPr>
        <w:t>concern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QAI’s</w:t>
      </w:r>
      <w:r>
        <w:rPr>
          <w:spacing w:val="1"/>
          <w:vertAlign w:val="baseline"/>
        </w:rPr>
        <w:t> </w:t>
      </w:r>
      <w:r>
        <w:rPr>
          <w:vertAlign w:val="baseline"/>
        </w:rPr>
        <w:t>clients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under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administration of the Public Trustee. QAI endorses the report in its entirety and the 32 recommendations for</w:t>
      </w:r>
      <w:r>
        <w:rPr>
          <w:spacing w:val="-47"/>
          <w:vertAlign w:val="baseline"/>
        </w:rPr>
        <w:t> </w:t>
      </w:r>
      <w:r>
        <w:rPr>
          <w:vertAlign w:val="baseline"/>
        </w:rPr>
        <w:t>reform contained therein, including recommendation 30 relating to the consideration of additional oversight</w:t>
      </w:r>
      <w:r>
        <w:rPr>
          <w:spacing w:val="-47"/>
          <w:vertAlign w:val="baseline"/>
        </w:rPr>
        <w:t> </w:t>
      </w:r>
      <w:r>
        <w:rPr>
          <w:vertAlign w:val="baseline"/>
        </w:rPr>
        <w:t>mechanisms.</w:t>
      </w:r>
    </w:p>
    <w:p>
      <w:pPr>
        <w:pStyle w:val="BodyText"/>
        <w:spacing w:line="276" w:lineRule="auto" w:before="123"/>
        <w:ind w:left="360" w:right="714"/>
        <w:jc w:val="both"/>
      </w:pPr>
      <w:r>
        <w:rPr/>
        <w:t>QAI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establishment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 of the Public Trustee’s functions, to monitor complaints and the Public Trustee’s processes for</w:t>
      </w:r>
      <w:r>
        <w:rPr>
          <w:spacing w:val="1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complaints,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give</w:t>
      </w:r>
      <w:r>
        <w:rPr>
          <w:spacing w:val="-7"/>
        </w:rPr>
        <w:t> </w:t>
      </w:r>
      <w:r>
        <w:rPr/>
        <w:t>written</w:t>
      </w:r>
      <w:r>
        <w:rPr>
          <w:spacing w:val="-7"/>
        </w:rPr>
        <w:t> </w:t>
      </w:r>
      <w:r>
        <w:rPr/>
        <w:t>advice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recommendations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Minister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Public</w:t>
      </w:r>
      <w:r>
        <w:rPr>
          <w:spacing w:val="-5"/>
        </w:rPr>
        <w:t> </w:t>
      </w:r>
      <w:r>
        <w:rPr/>
        <w:t>Trustee</w:t>
      </w:r>
      <w:r>
        <w:rPr>
          <w:spacing w:val="-6"/>
        </w:rPr>
        <w:t> </w:t>
      </w:r>
      <w:r>
        <w:rPr/>
        <w:t>on</w:t>
      </w:r>
      <w:r>
        <w:rPr>
          <w:spacing w:val="-48"/>
        </w:rPr>
        <w:t> </w:t>
      </w:r>
      <w:r>
        <w:rPr>
          <w:spacing w:val="-1"/>
        </w:rPr>
        <w:t>changes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improvements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promote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interests</w:t>
      </w:r>
      <w:r>
        <w:rPr>
          <w:spacing w:val="-2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its</w:t>
      </w:r>
      <w:r>
        <w:rPr>
          <w:spacing w:val="-10"/>
        </w:rPr>
        <w:t> </w:t>
      </w:r>
      <w:r>
        <w:rPr/>
        <w:t>clients,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will</w:t>
      </w:r>
      <w:r>
        <w:rPr>
          <w:spacing w:val="-10"/>
        </w:rPr>
        <w:t> </w:t>
      </w:r>
      <w:r>
        <w:rPr/>
        <w:t>ensure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Public</w:t>
      </w:r>
      <w:r>
        <w:rPr>
          <w:spacing w:val="-8"/>
        </w:rPr>
        <w:t> </w:t>
      </w:r>
      <w:r>
        <w:rPr/>
        <w:t>Trustee</w:t>
      </w:r>
      <w:r>
        <w:rPr>
          <w:spacing w:val="-47"/>
        </w:rPr>
        <w:t> </w:t>
      </w:r>
      <w:r>
        <w:rPr/>
        <w:t>can effectively perform its functions. However, QAI considers that further detail and specificity regarding the</w:t>
      </w:r>
      <w:r>
        <w:rPr>
          <w:spacing w:val="-47"/>
        </w:rPr>
        <w:t> </w:t>
      </w:r>
      <w:r>
        <w:rPr/>
        <w:t>proposed activities of the Board is required in order to ensure it will achieve the level of increased oversight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accountability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10"/>
        </w:rPr>
        <w:t> </w:t>
      </w:r>
      <w:r>
        <w:rPr/>
        <w:t>purportedly</w:t>
      </w:r>
      <w:r>
        <w:rPr>
          <w:spacing w:val="-8"/>
        </w:rPr>
        <w:t> </w:t>
      </w:r>
      <w:r>
        <w:rPr/>
        <w:t>behind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reform.</w:t>
      </w:r>
      <w:r>
        <w:rPr>
          <w:spacing w:val="-4"/>
        </w:rPr>
        <w:t> </w:t>
      </w:r>
      <w:r>
        <w:rPr/>
        <w:t>Further,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</w:t>
      </w:r>
      <w:r>
        <w:rPr>
          <w:spacing w:val="-7"/>
        </w:rPr>
        <w:t> </w:t>
      </w:r>
      <w:r>
        <w:rPr/>
        <w:t>alone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47"/>
        </w:rPr>
        <w:t> </w:t>
      </w:r>
      <w:r>
        <w:rPr/>
        <w:t>sufficient to address the numerous issues of concern raised by the Public Advocate’s report. QAI therefore</w:t>
      </w:r>
      <w:r>
        <w:rPr>
          <w:spacing w:val="1"/>
        </w:rPr>
        <w:t> </w:t>
      </w:r>
      <w:r>
        <w:rPr/>
        <w:t>urges the government to continue working towards implementing the remainder of the Public Advocate’s</w:t>
      </w:r>
      <w:r>
        <w:rPr>
          <w:spacing w:val="1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fall</w:t>
      </w:r>
      <w:r>
        <w:rPr>
          <w:spacing w:val="4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government’s</w:t>
      </w:r>
      <w:r>
        <w:rPr>
          <w:spacing w:val="-1"/>
        </w:rPr>
        <w:t> </w:t>
      </w:r>
      <w:r>
        <w:rPr/>
        <w:t>remit.</w:t>
      </w:r>
    </w:p>
    <w:p>
      <w:pPr>
        <w:pStyle w:val="Heading1"/>
        <w:spacing w:before="121"/>
      </w:pPr>
      <w:bookmarkStart w:name="Board membership" w:id="8"/>
      <w:bookmarkEnd w:id="8"/>
      <w:r>
        <w:rPr>
          <w:b w:val="0"/>
        </w:rPr>
      </w:r>
      <w:r>
        <w:rPr>
          <w:color w:val="808080"/>
        </w:rPr>
        <w:t>Board</w:t>
      </w:r>
      <w:r>
        <w:rPr>
          <w:color w:val="808080"/>
          <w:spacing w:val="-6"/>
        </w:rPr>
        <w:t> </w:t>
      </w:r>
      <w:r>
        <w:rPr>
          <w:color w:val="808080"/>
        </w:rPr>
        <w:t>membership</w:t>
      </w:r>
    </w:p>
    <w:p>
      <w:pPr>
        <w:pStyle w:val="BodyText"/>
        <w:spacing w:line="276" w:lineRule="auto" w:before="170"/>
        <w:ind w:left="360" w:right="713"/>
        <w:jc w:val="both"/>
      </w:pPr>
      <w:r>
        <w:rPr/>
        <w:t>QAI</w:t>
      </w:r>
      <w:r>
        <w:rPr>
          <w:spacing w:val="1"/>
        </w:rPr>
        <w:t> </w:t>
      </w:r>
      <w:r>
        <w:rPr/>
        <w:t>welcomes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inclusion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executive,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executive,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Seniors,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Aboriginal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Strait</w:t>
      </w:r>
      <w:r>
        <w:rPr>
          <w:spacing w:val="1"/>
        </w:rPr>
        <w:t> </w:t>
      </w:r>
      <w:r>
        <w:rPr/>
        <w:t>Islander</w:t>
      </w:r>
      <w:r>
        <w:rPr>
          <w:spacing w:val="1"/>
        </w:rPr>
        <w:t> </w:t>
      </w:r>
      <w:r>
        <w:rPr/>
        <w:t>Partnerships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permanent</w:t>
      </w:r>
      <w:r>
        <w:rPr>
          <w:spacing w:val="-9"/>
        </w:rPr>
        <w:t> </w:t>
      </w:r>
      <w:r>
        <w:rPr>
          <w:spacing w:val="-1"/>
        </w:rPr>
        <w:t>member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Board.</w:t>
      </w:r>
      <w:r>
        <w:rPr>
          <w:spacing w:val="-1"/>
          <w:vertAlign w:val="superscript"/>
        </w:rPr>
        <w:t>2</w:t>
      </w:r>
      <w:r>
        <w:rPr>
          <w:spacing w:val="-10"/>
          <w:vertAlign w:val="baseline"/>
        </w:rPr>
        <w:t> </w:t>
      </w:r>
      <w:r>
        <w:rPr>
          <w:vertAlign w:val="baseline"/>
        </w:rPr>
        <w:t>QAI</w:t>
      </w:r>
      <w:r>
        <w:rPr>
          <w:spacing w:val="-11"/>
          <w:vertAlign w:val="baseline"/>
        </w:rPr>
        <w:t> </w:t>
      </w:r>
      <w:r>
        <w:rPr>
          <w:vertAlign w:val="baseline"/>
        </w:rPr>
        <w:t>also</w:t>
      </w:r>
      <w:r>
        <w:rPr>
          <w:spacing w:val="-11"/>
          <w:vertAlign w:val="baseline"/>
        </w:rPr>
        <w:t> </w:t>
      </w:r>
      <w:r>
        <w:rPr>
          <w:vertAlign w:val="baseline"/>
        </w:rPr>
        <w:t>strongly</w:t>
      </w:r>
      <w:r>
        <w:rPr>
          <w:spacing w:val="-10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10"/>
          <w:vertAlign w:val="baseline"/>
        </w:rPr>
        <w:t> </w:t>
      </w:r>
      <w:r>
        <w:rPr>
          <w:vertAlign w:val="baseline"/>
        </w:rPr>
        <w:t>inclusion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at</w:t>
      </w:r>
      <w:r>
        <w:rPr>
          <w:spacing w:val="-10"/>
          <w:vertAlign w:val="baseline"/>
        </w:rPr>
        <w:t> </w:t>
      </w:r>
      <w:r>
        <w:rPr>
          <w:vertAlign w:val="baseline"/>
        </w:rPr>
        <w:t>least</w:t>
      </w:r>
      <w:r>
        <w:rPr>
          <w:spacing w:val="-9"/>
          <w:vertAlign w:val="baseline"/>
        </w:rPr>
        <w:t> </w:t>
      </w:r>
      <w:r>
        <w:rPr>
          <w:vertAlign w:val="baseline"/>
        </w:rPr>
        <w:t>one</w:t>
      </w:r>
      <w:r>
        <w:rPr>
          <w:spacing w:val="-10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47"/>
          <w:vertAlign w:val="baseline"/>
        </w:rPr>
        <w:t> </w:t>
      </w:r>
      <w:r>
        <w:rPr>
          <w:vertAlign w:val="baseline"/>
        </w:rPr>
        <w:t>member of the Board with ‘knowledge, qualifications or skills in relation to advocacy, services and 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for… persons with a disability, including persons with impaired capacity’.</w:t>
      </w:r>
      <w:r>
        <w:rPr>
          <w:vertAlign w:val="superscript"/>
        </w:rPr>
        <w:t>3</w:t>
      </w:r>
      <w:r>
        <w:rPr>
          <w:vertAlign w:val="baseline"/>
        </w:rPr>
        <w:t> According to the Public Trustee’s</w:t>
      </w:r>
      <w:r>
        <w:rPr>
          <w:spacing w:val="1"/>
          <w:vertAlign w:val="baseline"/>
        </w:rPr>
        <w:t> </w:t>
      </w:r>
      <w:r>
        <w:rPr>
          <w:vertAlign w:val="baseline"/>
        </w:rPr>
        <w:t>own statistics in 2019-2020, 29% of the Public Trustee’s customers live with an intellectual or psychiatric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disability.</w:t>
      </w:r>
      <w:r>
        <w:rPr>
          <w:vertAlign w:val="superscript"/>
        </w:rPr>
        <w:t>4</w:t>
      </w:r>
      <w:r>
        <w:rPr>
          <w:vertAlign w:val="baseline"/>
        </w:rPr>
        <w:t> Representation of disability on the Board’s membership will ensure that the vulnerability of these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 Trustee customers is not exploited. QAI also strongly encourages the appointment of a person with</w:t>
      </w:r>
      <w:r>
        <w:rPr>
          <w:spacing w:val="1"/>
          <w:vertAlign w:val="baseline"/>
        </w:rPr>
        <w:t> </w:t>
      </w:r>
      <w:r>
        <w:rPr>
          <w:vertAlign w:val="baseline"/>
        </w:rPr>
        <w:t>lived experience in disability who has the requisite ‘knowledge, qualifications or skills’ in disability advocacy</w:t>
      </w:r>
      <w:r>
        <w:rPr>
          <w:spacing w:val="1"/>
          <w:vertAlign w:val="baseline"/>
        </w:rPr>
        <w:t> </w:t>
      </w:r>
      <w:r>
        <w:rPr>
          <w:vertAlign w:val="baseline"/>
        </w:rPr>
        <w:t>to be an appointed board member in the spirit of the Public Trustee’s recognition and representation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diversity 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2"/>
          <w:vertAlign w:val="baseline"/>
        </w:rPr>
        <w:t> </w:t>
      </w:r>
      <w:r>
        <w:rPr>
          <w:vertAlign w:val="baseline"/>
        </w:rPr>
        <w:t>community.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54.025002pt;margin-top:12.364649pt;width:144.050pt;height:.75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line="242" w:lineRule="exact" w:before="100"/>
        <w:ind w:left="360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Trustee</w:t>
      </w:r>
      <w:r>
        <w:rPr>
          <w:spacing w:val="-3"/>
          <w:sz w:val="20"/>
        </w:rPr>
        <w:t> </w:t>
      </w:r>
      <w:r>
        <w:rPr>
          <w:sz w:val="20"/>
        </w:rPr>
        <w:t>(Advisory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Monitoring</w:t>
      </w:r>
      <w:r>
        <w:rPr>
          <w:spacing w:val="-3"/>
          <w:sz w:val="20"/>
        </w:rPr>
        <w:t> </w:t>
      </w:r>
      <w:r>
        <w:rPr>
          <w:sz w:val="20"/>
        </w:rPr>
        <w:t>Board)</w:t>
      </w:r>
      <w:r>
        <w:rPr>
          <w:spacing w:val="-3"/>
          <w:sz w:val="20"/>
        </w:rPr>
        <w:t> </w:t>
      </w:r>
      <w:r>
        <w:rPr>
          <w:sz w:val="20"/>
        </w:rPr>
        <w:t>Amendment Bill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4"/>
          <w:sz w:val="20"/>
        </w:rPr>
        <w:t> </w:t>
      </w:r>
      <w:r>
        <w:rPr>
          <w:sz w:val="20"/>
        </w:rPr>
        <w:t>Explanatory</w:t>
      </w:r>
      <w:r>
        <w:rPr>
          <w:spacing w:val="-4"/>
          <w:sz w:val="20"/>
        </w:rPr>
        <w:t> </w:t>
      </w:r>
      <w:r>
        <w:rPr>
          <w:sz w:val="20"/>
        </w:rPr>
        <w:t>Notes,</w:t>
      </w:r>
      <w:r>
        <w:rPr>
          <w:spacing w:val="-3"/>
          <w:sz w:val="20"/>
        </w:rPr>
        <w:t> </w:t>
      </w:r>
      <w:r>
        <w:rPr>
          <w:sz w:val="20"/>
        </w:rPr>
        <w:t>page</w:t>
      </w:r>
      <w:r>
        <w:rPr>
          <w:spacing w:val="-3"/>
          <w:sz w:val="20"/>
        </w:rPr>
        <w:t> </w:t>
      </w:r>
      <w:r>
        <w:rPr>
          <w:sz w:val="20"/>
        </w:rPr>
        <w:t>1.</w:t>
      </w:r>
    </w:p>
    <w:p>
      <w:pPr>
        <w:spacing w:line="242" w:lineRule="exact" w:before="0"/>
        <w:ind w:left="360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Trustee</w:t>
      </w:r>
      <w:r>
        <w:rPr>
          <w:spacing w:val="-4"/>
          <w:sz w:val="20"/>
        </w:rPr>
        <w:t> </w:t>
      </w:r>
      <w:r>
        <w:rPr>
          <w:sz w:val="20"/>
        </w:rPr>
        <w:t>(Advisory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Board)</w:t>
      </w:r>
      <w:r>
        <w:rPr>
          <w:spacing w:val="-4"/>
          <w:sz w:val="20"/>
        </w:rPr>
        <w:t> </w:t>
      </w:r>
      <w:r>
        <w:rPr>
          <w:sz w:val="20"/>
        </w:rPr>
        <w:t>Amendment</w:t>
      </w:r>
      <w:r>
        <w:rPr>
          <w:spacing w:val="-1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2021,</w:t>
      </w:r>
      <w:r>
        <w:rPr>
          <w:spacing w:val="-4"/>
          <w:sz w:val="20"/>
        </w:rPr>
        <w:t> </w:t>
      </w: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4,</w:t>
      </w:r>
      <w:r>
        <w:rPr>
          <w:spacing w:val="-4"/>
          <w:sz w:val="20"/>
        </w:rPr>
        <w:t> </w:t>
      </w:r>
      <w:r>
        <w:rPr>
          <w:sz w:val="20"/>
        </w:rPr>
        <w:t>section 117ZC(1)(c).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Trustee</w:t>
      </w:r>
      <w:r>
        <w:rPr>
          <w:spacing w:val="-4"/>
          <w:sz w:val="20"/>
        </w:rPr>
        <w:t> </w:t>
      </w:r>
      <w:r>
        <w:rPr>
          <w:sz w:val="20"/>
        </w:rPr>
        <w:t>(Advisory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Board)</w:t>
      </w:r>
      <w:r>
        <w:rPr>
          <w:spacing w:val="-5"/>
          <w:sz w:val="20"/>
        </w:rPr>
        <w:t> </w:t>
      </w:r>
      <w:r>
        <w:rPr>
          <w:sz w:val="20"/>
        </w:rPr>
        <w:t>Amendment</w:t>
      </w:r>
      <w:r>
        <w:rPr>
          <w:spacing w:val="-2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2021,</w:t>
      </w:r>
      <w:r>
        <w:rPr>
          <w:spacing w:val="-4"/>
          <w:sz w:val="20"/>
        </w:rPr>
        <w:t> </w:t>
      </w:r>
      <w:r>
        <w:rPr>
          <w:sz w:val="20"/>
        </w:rPr>
        <w:t>chapter</w:t>
      </w:r>
      <w:r>
        <w:rPr>
          <w:spacing w:val="-5"/>
          <w:sz w:val="20"/>
        </w:rPr>
        <w:t> </w:t>
      </w:r>
      <w:r>
        <w:rPr>
          <w:sz w:val="20"/>
        </w:rPr>
        <w:t>4,</w:t>
      </w:r>
      <w:r>
        <w:rPr>
          <w:spacing w:val="-4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117ZD(3)(b).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6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8"/>
          <w:sz w:val="20"/>
        </w:rPr>
        <w:t> </w:t>
      </w:r>
      <w:r>
        <w:rPr>
          <w:sz w:val="20"/>
        </w:rPr>
        <w:t>Trustee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Queensland;</w:t>
      </w:r>
      <w:r>
        <w:rPr>
          <w:spacing w:val="-5"/>
          <w:sz w:val="20"/>
        </w:rPr>
        <w:t> </w:t>
      </w:r>
      <w:r>
        <w:rPr>
          <w:sz w:val="20"/>
        </w:rPr>
        <w:t>https://</w:t>
      </w:r>
      <w:hyperlink r:id="rId9">
        <w:r>
          <w:rPr>
            <w:sz w:val="20"/>
          </w:rPr>
          <w:t>www.pt.qld.gov.au/fees-and-charges-review-public-consultation.</w:t>
        </w:r>
      </w:hyperlink>
    </w:p>
    <w:p>
      <w:pPr>
        <w:spacing w:after="0"/>
        <w:jc w:val="left"/>
        <w:rPr>
          <w:sz w:val="20"/>
        </w:rPr>
        <w:sectPr>
          <w:pgSz w:w="11900" w:h="1684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 w:before="56"/>
        <w:ind w:left="360" w:right="713"/>
        <w:jc w:val="both"/>
      </w:pPr>
      <w:r>
        <w:rPr/>
        <w:t>QAI also supports the proposed inclusion of at least one Aboriginal or Torres Strait Islander person as an</w:t>
      </w:r>
      <w:r>
        <w:rPr>
          <w:spacing w:val="1"/>
        </w:rPr>
        <w:t> </w:t>
      </w:r>
      <w:r>
        <w:rPr/>
        <w:t>appointed member of the Board.</w:t>
      </w:r>
      <w:r>
        <w:rPr>
          <w:vertAlign w:val="superscript"/>
        </w:rPr>
        <w:t>5</w:t>
      </w:r>
      <w:r>
        <w:rPr>
          <w:vertAlign w:val="baseline"/>
        </w:rPr>
        <w:t> In 2018, almost one quarter (24%) of Aboriginal or Torres Strait Islander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Australians were living with a disability, including 51,100 people with severe or profound disability.</w:t>
      </w:r>
      <w:r>
        <w:rPr>
          <w:vertAlign w:val="superscript"/>
        </w:rPr>
        <w:t>6</w:t>
      </w:r>
      <w:r>
        <w:rPr>
          <w:vertAlign w:val="baseline"/>
        </w:rPr>
        <w:t>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intersection of race and disability presents a unique experience which should be central to conversations on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strategy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direction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"/>
          <w:vertAlign w:val="baseline"/>
        </w:rPr>
        <w:t> </w:t>
      </w:r>
      <w:r>
        <w:rPr>
          <w:vertAlign w:val="baseline"/>
        </w:rPr>
        <w:t>bodies such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"/>
          <w:vertAlign w:val="baseline"/>
        </w:rPr>
        <w:t> </w:t>
      </w:r>
      <w:r>
        <w:rPr>
          <w:vertAlign w:val="baseline"/>
        </w:rPr>
        <w:t>Trustee.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360" w:right="713"/>
        <w:jc w:val="both"/>
      </w:pPr>
      <w:r>
        <w:rPr/>
        <w:t>However,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ambiguous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unquantifiable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requirement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‘the</w:t>
      </w:r>
      <w:r>
        <w:rPr>
          <w:spacing w:val="1"/>
        </w:rPr>
        <w:t> </w:t>
      </w:r>
      <w:r>
        <w:rPr/>
        <w:t>appointed board members reflect the diversity of the Queensland community’.</w:t>
      </w:r>
      <w:r>
        <w:rPr>
          <w:vertAlign w:val="superscript"/>
        </w:rPr>
        <w:t>7</w:t>
      </w:r>
      <w:r>
        <w:rPr>
          <w:vertAlign w:val="baseline"/>
        </w:rPr>
        <w:t> Further guidance on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intention for inclusion of this subsection and quantification of representatives from distinct diverse groups</w:t>
      </w:r>
      <w:r>
        <w:rPr>
          <w:spacing w:val="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2"/>
          <w:vertAlign w:val="baseline"/>
        </w:rPr>
        <w:t> </w:t>
      </w:r>
      <w:r>
        <w:rPr>
          <w:vertAlign w:val="baseline"/>
        </w:rPr>
        <w:t>allow</w:t>
      </w:r>
      <w:r>
        <w:rPr>
          <w:spacing w:val="-4"/>
          <w:vertAlign w:val="baseline"/>
        </w:rPr>
        <w:t> </w:t>
      </w:r>
      <w:r>
        <w:rPr>
          <w:vertAlign w:val="baseline"/>
        </w:rPr>
        <w:t>full and</w:t>
      </w:r>
      <w:r>
        <w:rPr>
          <w:spacing w:val="-2"/>
          <w:vertAlign w:val="baseline"/>
        </w:rPr>
        <w:t> </w:t>
      </w:r>
      <w:r>
        <w:rPr>
          <w:vertAlign w:val="baseline"/>
        </w:rPr>
        <w:t>considered,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publicly</w:t>
      </w:r>
      <w:r>
        <w:rPr>
          <w:spacing w:val="-1"/>
          <w:vertAlign w:val="baseline"/>
        </w:rPr>
        <w:t> </w:t>
      </w:r>
      <w:r>
        <w:rPr>
          <w:vertAlign w:val="baseline"/>
        </w:rPr>
        <w:t>accountable</w:t>
      </w:r>
      <w:r>
        <w:rPr>
          <w:spacing w:val="1"/>
          <w:vertAlign w:val="baseline"/>
        </w:rPr>
        <w:t> </w:t>
      </w:r>
      <w:r>
        <w:rPr>
          <w:vertAlign w:val="baseline"/>
        </w:rPr>
        <w:t>diverse representation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Board.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jc w:val="both"/>
      </w:pPr>
      <w:bookmarkStart w:name="Board powers and functions" w:id="9"/>
      <w:bookmarkEnd w:id="9"/>
      <w:r>
        <w:rPr>
          <w:b w:val="0"/>
        </w:rPr>
      </w:r>
      <w:r>
        <w:rPr>
          <w:color w:val="808080"/>
        </w:rPr>
        <w:t>Board</w:t>
      </w:r>
      <w:r>
        <w:rPr>
          <w:color w:val="808080"/>
          <w:spacing w:val="-3"/>
        </w:rPr>
        <w:t> </w:t>
      </w:r>
      <w:r>
        <w:rPr>
          <w:color w:val="808080"/>
        </w:rPr>
        <w:t>powers</w:t>
      </w:r>
      <w:r>
        <w:rPr>
          <w:color w:val="808080"/>
          <w:spacing w:val="-4"/>
        </w:rPr>
        <w:t> </w:t>
      </w:r>
      <w:r>
        <w:rPr>
          <w:color w:val="808080"/>
        </w:rPr>
        <w:t>and</w:t>
      </w:r>
      <w:r>
        <w:rPr>
          <w:color w:val="808080"/>
          <w:spacing w:val="-2"/>
        </w:rPr>
        <w:t> </w:t>
      </w:r>
      <w:r>
        <w:rPr>
          <w:color w:val="808080"/>
        </w:rPr>
        <w:t>functions</w:t>
      </w:r>
    </w:p>
    <w:p>
      <w:pPr>
        <w:pStyle w:val="BodyText"/>
        <w:spacing w:line="276" w:lineRule="auto" w:before="140"/>
        <w:ind w:left="360" w:right="706"/>
        <w:jc w:val="both"/>
      </w:pPr>
      <w:r>
        <w:rPr/>
        <w:t>QAI notes the proposed functions of the Board are to monitor and review performance and processes, to</w:t>
      </w:r>
      <w:r>
        <w:rPr>
          <w:spacing w:val="1"/>
        </w:rPr>
        <w:t> </w:t>
      </w:r>
      <w:r>
        <w:rPr/>
        <w:t>provide written advice and make written recommendations to the Minister.</w:t>
      </w:r>
      <w:r>
        <w:rPr>
          <w:vertAlign w:val="superscript"/>
        </w:rPr>
        <w:t>8</w:t>
      </w:r>
      <w:r>
        <w:rPr>
          <w:vertAlign w:val="baseline"/>
        </w:rPr>
        <w:t> These proposed functions could</w:t>
      </w:r>
      <w:r>
        <w:rPr>
          <w:spacing w:val="-47"/>
          <w:vertAlign w:val="baseline"/>
        </w:rPr>
        <w:t> </w:t>
      </w:r>
      <w:r>
        <w:rPr>
          <w:vertAlign w:val="baseline"/>
        </w:rPr>
        <w:t>allow the Board to undertake a full fees and charges review to improve the transparency of fees and charges</w:t>
      </w:r>
      <w:r>
        <w:rPr>
          <w:spacing w:val="1"/>
          <w:vertAlign w:val="baseline"/>
        </w:rPr>
        <w:t> </w:t>
      </w:r>
      <w:r>
        <w:rPr>
          <w:vertAlign w:val="baseline"/>
        </w:rPr>
        <w:t>which</w:t>
      </w:r>
      <w:r>
        <w:rPr>
          <w:spacing w:val="-8"/>
          <w:vertAlign w:val="baseline"/>
        </w:rPr>
        <w:t> </w:t>
      </w:r>
      <w:r>
        <w:rPr>
          <w:vertAlign w:val="baseline"/>
        </w:rPr>
        <w:t>were,</w:t>
      </w:r>
      <w:r>
        <w:rPr>
          <w:spacing w:val="-2"/>
          <w:vertAlign w:val="baseline"/>
        </w:rPr>
        <w:t> </w:t>
      </w:r>
      <w:r>
        <w:rPr>
          <w:vertAlign w:val="baseline"/>
        </w:rPr>
        <w:t>respectively,</w:t>
      </w:r>
      <w:r>
        <w:rPr>
          <w:spacing w:val="-7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-4"/>
          <w:vertAlign w:val="baseline"/>
        </w:rPr>
        <w:t> </w:t>
      </w:r>
      <w:r>
        <w:rPr>
          <w:vertAlign w:val="baseline"/>
        </w:rPr>
        <w:t>1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2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4"/>
          <w:vertAlign w:val="baseline"/>
        </w:rPr>
        <w:t> </w:t>
      </w:r>
      <w:r>
        <w:rPr>
          <w:vertAlign w:val="baseline"/>
        </w:rPr>
        <w:t>Advocate’s</w:t>
      </w:r>
      <w:r>
        <w:rPr>
          <w:spacing w:val="-8"/>
          <w:vertAlign w:val="baseline"/>
        </w:rPr>
        <w:t> </w:t>
      </w:r>
      <w:r>
        <w:rPr>
          <w:vertAlign w:val="baseline"/>
        </w:rPr>
        <w:t>report.</w:t>
      </w:r>
      <w:r>
        <w:rPr>
          <w:spacing w:val="-8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7"/>
          <w:vertAlign w:val="baseline"/>
        </w:rPr>
        <w:t> </w:t>
      </w:r>
      <w:r>
        <w:rPr>
          <w:vertAlign w:val="baseline"/>
        </w:rPr>
        <w:t>QAI</w:t>
      </w:r>
      <w:r>
        <w:rPr>
          <w:spacing w:val="-3"/>
          <w:vertAlign w:val="baseline"/>
        </w:rPr>
        <w:t> </w:t>
      </w:r>
      <w:r>
        <w:rPr>
          <w:vertAlign w:val="baseline"/>
        </w:rPr>
        <w:t>questions</w:t>
      </w:r>
      <w:r>
        <w:rPr>
          <w:spacing w:val="1"/>
          <w:vertAlign w:val="baseline"/>
        </w:rPr>
        <w:t> </w:t>
      </w:r>
      <w:r>
        <w:rPr>
          <w:vertAlign w:val="baseline"/>
        </w:rPr>
        <w:t>whether these functions will ensure adequate implementation and enforcement of changes or reforms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are put forward by the Board. Further, the breadth of services offered by the Public Trustee and the scale of</w:t>
      </w:r>
      <w:r>
        <w:rPr>
          <w:spacing w:val="1"/>
          <w:vertAlign w:val="baseline"/>
        </w:rPr>
        <w:t> </w:t>
      </w:r>
      <w:r>
        <w:rPr>
          <w:vertAlign w:val="baseline"/>
        </w:rPr>
        <w:t>reform that is required, as evidenced by the Public Advocate’s review, leaves doubt as to whether a Board</w:t>
      </w:r>
      <w:r>
        <w:rPr>
          <w:spacing w:val="1"/>
          <w:vertAlign w:val="baseline"/>
        </w:rPr>
        <w:t> </w:t>
      </w:r>
      <w:r>
        <w:rPr>
          <w:vertAlign w:val="baseline"/>
        </w:rPr>
        <w:t>that meets potentially only three times per year will be well-placed to make well-informed and meaningful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 in the absence of increased resources and higher meeting frequencies. QAI therefore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recommends further consideration be given to increasing the frequency of Board meetings and level of</w:t>
      </w:r>
      <w:r>
        <w:rPr>
          <w:spacing w:val="1"/>
          <w:vertAlign w:val="baseline"/>
        </w:rPr>
        <w:t> </w:t>
      </w:r>
      <w:r>
        <w:rPr>
          <w:vertAlign w:val="baseline"/>
        </w:rPr>
        <w:t>resources</w:t>
      </w:r>
      <w:r>
        <w:rPr>
          <w:spacing w:val="-1"/>
          <w:vertAlign w:val="baseline"/>
        </w:rPr>
        <w:t> </w:t>
      </w:r>
      <w:r>
        <w:rPr>
          <w:vertAlign w:val="baseline"/>
        </w:rPr>
        <w:t>available to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Board 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performance of</w:t>
      </w:r>
      <w:r>
        <w:rPr>
          <w:spacing w:val="-3"/>
          <w:vertAlign w:val="baseline"/>
        </w:rPr>
        <w:t> </w:t>
      </w:r>
      <w:r>
        <w:rPr>
          <w:vertAlign w:val="baseline"/>
        </w:rPr>
        <w:t>its</w:t>
      </w:r>
      <w:r>
        <w:rPr>
          <w:spacing w:val="-2"/>
          <w:vertAlign w:val="baseline"/>
        </w:rPr>
        <w:t> </w:t>
      </w:r>
      <w:r>
        <w:rPr>
          <w:vertAlign w:val="baseline"/>
        </w:rPr>
        <w:t>functions.</w:t>
      </w:r>
    </w:p>
    <w:p>
      <w:pPr>
        <w:pStyle w:val="BodyText"/>
        <w:spacing w:line="276" w:lineRule="auto" w:before="134"/>
        <w:ind w:left="360" w:right="708"/>
        <w:jc w:val="both"/>
      </w:pPr>
      <w:r>
        <w:rPr/>
        <w:t>QAI</w:t>
      </w:r>
      <w:r>
        <w:rPr>
          <w:spacing w:val="-9"/>
        </w:rPr>
        <w:t> </w:t>
      </w:r>
      <w:r>
        <w:rPr/>
        <w:t>principally</w:t>
      </w:r>
      <w:r>
        <w:rPr>
          <w:spacing w:val="-8"/>
        </w:rPr>
        <w:t> </w:t>
      </w:r>
      <w:r>
        <w:rPr/>
        <w:t>supports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proposed</w:t>
      </w:r>
      <w:r>
        <w:rPr>
          <w:spacing w:val="-9"/>
        </w:rPr>
        <w:t> </w:t>
      </w:r>
      <w:r>
        <w:rPr/>
        <w:t>independence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Board,</w:t>
      </w:r>
      <w:r>
        <w:rPr>
          <w:spacing w:val="-8"/>
        </w:rPr>
        <w:t> </w:t>
      </w:r>
      <w:r>
        <w:rPr/>
        <w:t>who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free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‘direction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anyone,</w:t>
      </w:r>
      <w:r>
        <w:rPr>
          <w:spacing w:val="1"/>
        </w:rPr>
        <w:t> </w:t>
      </w:r>
      <w:r>
        <w:rPr/>
        <w:t>including the Minister, about how it performs its functions’.</w:t>
      </w:r>
      <w:r>
        <w:rPr>
          <w:vertAlign w:val="superscript"/>
        </w:rPr>
        <w:t>9</w:t>
      </w:r>
      <w:r>
        <w:rPr>
          <w:vertAlign w:val="baseline"/>
        </w:rPr>
        <w:t> A level of independence is required to allow the</w:t>
      </w:r>
      <w:r>
        <w:rPr>
          <w:spacing w:val="-47"/>
          <w:vertAlign w:val="baseline"/>
        </w:rPr>
        <w:t> </w:t>
      </w:r>
      <w:r>
        <w:rPr>
          <w:vertAlign w:val="baseline"/>
        </w:rPr>
        <w:t>Board to achieve the vision behind its establishment. However, QAI questions how, when and to whom the</w:t>
      </w:r>
      <w:r>
        <w:rPr>
          <w:spacing w:val="1"/>
          <w:vertAlign w:val="baseline"/>
        </w:rPr>
        <w:t> </w:t>
      </w:r>
      <w:r>
        <w:rPr>
          <w:vertAlign w:val="baseline"/>
        </w:rPr>
        <w:t>Board will be publicly accountable for actions and decisions made in the performance of its functions,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absence of any independent and public reporting requirements separate to a summary of its activities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included in the Public Trustee’s annual report. QAI notes the seemingly unfettered nature of the Board’s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proposed powers to ‘do anything necessary or convenient to be done in the performance of its functions’.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Considering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purpose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which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Board</w:t>
      </w:r>
      <w:r>
        <w:rPr>
          <w:spacing w:val="-7"/>
          <w:vertAlign w:val="baseline"/>
        </w:rPr>
        <w:t> </w:t>
      </w:r>
      <w:r>
        <w:rPr>
          <w:vertAlign w:val="baseline"/>
        </w:rPr>
        <w:t>has</w:t>
      </w:r>
      <w:r>
        <w:rPr>
          <w:spacing w:val="-2"/>
          <w:vertAlign w:val="baseline"/>
        </w:rPr>
        <w:t> </w:t>
      </w:r>
      <w:r>
        <w:rPr>
          <w:vertAlign w:val="baseline"/>
        </w:rPr>
        <w:t>been</w:t>
      </w:r>
      <w:r>
        <w:rPr>
          <w:spacing w:val="-7"/>
          <w:vertAlign w:val="baseline"/>
        </w:rPr>
        <w:t> </w:t>
      </w:r>
      <w:r>
        <w:rPr>
          <w:vertAlign w:val="baseline"/>
        </w:rPr>
        <w:t>proposed,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5"/>
          <w:vertAlign w:val="baseline"/>
        </w:rPr>
        <w:t> </w:t>
      </w:r>
      <w:r>
        <w:rPr>
          <w:vertAlign w:val="baseline"/>
        </w:rPr>
        <w:t>is, to</w:t>
      </w:r>
      <w:r>
        <w:rPr>
          <w:spacing w:val="-7"/>
          <w:vertAlign w:val="baseline"/>
        </w:rPr>
        <w:t> </w:t>
      </w:r>
      <w:r>
        <w:rPr>
          <w:vertAlign w:val="baseline"/>
        </w:rPr>
        <w:t>increase</w:t>
      </w:r>
      <w:r>
        <w:rPr>
          <w:spacing w:val="-5"/>
          <w:vertAlign w:val="baseline"/>
        </w:rPr>
        <w:t> </w:t>
      </w:r>
      <w:r>
        <w:rPr>
          <w:vertAlign w:val="baseline"/>
        </w:rPr>
        <w:t>transparency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ensure</w:t>
      </w:r>
      <w:r>
        <w:rPr>
          <w:spacing w:val="-47"/>
          <w:vertAlign w:val="baseline"/>
        </w:rPr>
        <w:t> </w:t>
      </w:r>
      <w:r>
        <w:rPr>
          <w:vertAlign w:val="baseline"/>
        </w:rPr>
        <w:t>public accountability, QAI recommends that regular independent reporting by the Board be required in</w:t>
      </w:r>
      <w:r>
        <w:rPr>
          <w:spacing w:val="1"/>
          <w:vertAlign w:val="baseline"/>
        </w:rPr>
        <w:t> </w:t>
      </w:r>
      <w:r>
        <w:rPr>
          <w:vertAlign w:val="baseline"/>
        </w:rPr>
        <w:t>addition to the information about the performance of the Board’s functions included in the Public Trustee’s</w:t>
      </w:r>
      <w:r>
        <w:rPr>
          <w:spacing w:val="1"/>
          <w:vertAlign w:val="baseline"/>
        </w:rPr>
        <w:t> </w:t>
      </w:r>
      <w:r>
        <w:rPr>
          <w:vertAlign w:val="baseline"/>
        </w:rPr>
        <w:t>annual report. For example, the Board should release communiques from their meetings and should release</w:t>
      </w:r>
      <w:r>
        <w:rPr>
          <w:spacing w:val="1"/>
          <w:vertAlign w:val="baseline"/>
        </w:rPr>
        <w:t> </w:t>
      </w:r>
      <w:r>
        <w:rPr>
          <w:vertAlign w:val="baseline"/>
        </w:rPr>
        <w:t>any</w:t>
      </w:r>
      <w:r>
        <w:rPr>
          <w:spacing w:val="1"/>
          <w:vertAlign w:val="baseline"/>
        </w:rPr>
        <w:t> </w:t>
      </w:r>
      <w:r>
        <w:rPr>
          <w:vertAlign w:val="baseline"/>
        </w:rPr>
        <w:t>written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advice</w:t>
      </w:r>
      <w:r>
        <w:rPr>
          <w:spacing w:val="1"/>
          <w:vertAlign w:val="baseline"/>
        </w:rPr>
        <w:t> </w:t>
      </w:r>
      <w:r>
        <w:rPr>
          <w:vertAlign w:val="baseline"/>
        </w:rPr>
        <w:t>given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Minister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"/>
          <w:vertAlign w:val="baseline"/>
        </w:rPr>
        <w:t> </w:t>
      </w:r>
      <w:r>
        <w:rPr>
          <w:vertAlign w:val="baseline"/>
        </w:rPr>
        <w:t>Trustee</w:t>
      </w:r>
      <w:r>
        <w:rPr>
          <w:spacing w:val="1"/>
          <w:vertAlign w:val="baseline"/>
        </w:rPr>
        <w:t> </w:t>
      </w:r>
      <w:r>
        <w:rPr>
          <w:vertAlign w:val="baseline"/>
        </w:rPr>
        <w:t>regarding</w:t>
      </w:r>
      <w:r>
        <w:rPr>
          <w:spacing w:val="1"/>
          <w:vertAlign w:val="baseline"/>
        </w:rPr>
        <w:t> </w:t>
      </w:r>
      <w:r>
        <w:rPr>
          <w:vertAlign w:val="baseline"/>
        </w:rPr>
        <w:t>changes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improvements that it sees as necessary. This would ensure transparency of the Board’s own actions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their</w:t>
      </w:r>
      <w:r>
        <w:rPr>
          <w:spacing w:val="-6"/>
          <w:vertAlign w:val="baseline"/>
        </w:rPr>
        <w:t> </w:t>
      </w:r>
      <w:r>
        <w:rPr>
          <w:vertAlign w:val="baseline"/>
        </w:rPr>
        <w:t>broad</w:t>
      </w:r>
      <w:r>
        <w:rPr>
          <w:spacing w:val="-5"/>
          <w:vertAlign w:val="baseline"/>
        </w:rPr>
        <w:t> </w:t>
      </w:r>
      <w:r>
        <w:rPr>
          <w:vertAlign w:val="baseline"/>
        </w:rPr>
        <w:t>discretion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would</w:t>
      </w:r>
      <w:r>
        <w:rPr>
          <w:spacing w:val="-5"/>
          <w:vertAlign w:val="baseline"/>
        </w:rPr>
        <w:t> </w:t>
      </w:r>
      <w:r>
        <w:rPr>
          <w:vertAlign w:val="baseline"/>
        </w:rPr>
        <w:t>underscore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Board’s</w:t>
      </w:r>
      <w:r>
        <w:rPr>
          <w:spacing w:val="-6"/>
          <w:vertAlign w:val="baseline"/>
        </w:rPr>
        <w:t> </w:t>
      </w:r>
      <w:r>
        <w:rPr>
          <w:vertAlign w:val="baseline"/>
        </w:rPr>
        <w:t>independence</w:t>
      </w:r>
      <w:r>
        <w:rPr>
          <w:spacing w:val="-4"/>
          <w:vertAlign w:val="baseline"/>
        </w:rPr>
        <w:t> </w:t>
      </w:r>
      <w:r>
        <w:rPr>
          <w:vertAlign w:val="baseline"/>
        </w:rPr>
        <w:t>from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3"/>
          <w:vertAlign w:val="baseline"/>
        </w:rPr>
        <w:t> </w:t>
      </w:r>
      <w:r>
        <w:rPr>
          <w:vertAlign w:val="baseline"/>
        </w:rPr>
        <w:t>Trustee by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54.025002pt;margin-top:8.160742pt;width:144.050pt;height:.75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99"/>
        <w:ind w:left="360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Trustee</w:t>
      </w:r>
      <w:r>
        <w:rPr>
          <w:spacing w:val="-4"/>
          <w:sz w:val="20"/>
        </w:rPr>
        <w:t> </w:t>
      </w:r>
      <w:r>
        <w:rPr>
          <w:sz w:val="20"/>
        </w:rPr>
        <w:t>(Advisory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Monitoring</w:t>
      </w:r>
      <w:r>
        <w:rPr>
          <w:spacing w:val="-5"/>
          <w:sz w:val="20"/>
        </w:rPr>
        <w:t> </w:t>
      </w:r>
      <w:r>
        <w:rPr>
          <w:sz w:val="20"/>
        </w:rPr>
        <w:t>Board)</w:t>
      </w:r>
      <w:r>
        <w:rPr>
          <w:spacing w:val="-4"/>
          <w:sz w:val="20"/>
        </w:rPr>
        <w:t> </w:t>
      </w:r>
      <w:r>
        <w:rPr>
          <w:sz w:val="20"/>
        </w:rPr>
        <w:t>Amendment</w:t>
      </w:r>
      <w:r>
        <w:rPr>
          <w:spacing w:val="-1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2021,</w:t>
      </w:r>
      <w:r>
        <w:rPr>
          <w:spacing w:val="-4"/>
          <w:sz w:val="20"/>
        </w:rPr>
        <w:t> </w:t>
      </w: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4,</w:t>
      </w:r>
      <w:r>
        <w:rPr>
          <w:spacing w:val="-5"/>
          <w:sz w:val="20"/>
        </w:rPr>
        <w:t> </w:t>
      </w:r>
      <w:r>
        <w:rPr>
          <w:sz w:val="20"/>
        </w:rPr>
        <w:t>section 117ZD(4)(b).</w:t>
      </w:r>
    </w:p>
    <w:p>
      <w:pPr>
        <w:spacing w:before="1"/>
        <w:ind w:left="360" w:right="722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5"/>
          <w:position w:val="6"/>
          <w:sz w:val="13"/>
        </w:rPr>
        <w:t> </w:t>
      </w:r>
      <w:r>
        <w:rPr>
          <w:sz w:val="20"/>
        </w:rPr>
        <w:t>Australian</w:t>
      </w:r>
      <w:r>
        <w:rPr>
          <w:spacing w:val="-10"/>
          <w:sz w:val="20"/>
        </w:rPr>
        <w:t> </w:t>
      </w:r>
      <w:r>
        <w:rPr>
          <w:sz w:val="20"/>
        </w:rPr>
        <w:t>Institute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Health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Welfare;</w:t>
      </w:r>
      <w:r>
        <w:rPr>
          <w:spacing w:val="-6"/>
          <w:sz w:val="20"/>
        </w:rPr>
        <w:t> </w:t>
      </w:r>
      <w:r>
        <w:rPr>
          <w:sz w:val="20"/>
        </w:rPr>
        <w:t>https://</w:t>
      </w:r>
      <w:hyperlink r:id="rId10">
        <w:r>
          <w:rPr>
            <w:sz w:val="20"/>
          </w:rPr>
          <w:t>www.aihw.gov.au/reports/australias-welfare/disability-support-for-</w:t>
        </w:r>
      </w:hyperlink>
      <w:r>
        <w:rPr>
          <w:spacing w:val="1"/>
          <w:sz w:val="20"/>
        </w:rPr>
        <w:t> </w:t>
      </w:r>
      <w:r>
        <w:rPr>
          <w:sz w:val="20"/>
        </w:rPr>
        <w:t>indigenous-australians.</w:t>
      </w:r>
    </w:p>
    <w:p>
      <w:pPr>
        <w:spacing w:line="242" w:lineRule="exact" w:before="2"/>
        <w:ind w:left="360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0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Trustee</w:t>
      </w:r>
      <w:r>
        <w:rPr>
          <w:spacing w:val="-4"/>
          <w:sz w:val="20"/>
        </w:rPr>
        <w:t> </w:t>
      </w:r>
      <w:r>
        <w:rPr>
          <w:sz w:val="20"/>
        </w:rPr>
        <w:t>(Advisory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Monitoring</w:t>
      </w:r>
      <w:r>
        <w:rPr>
          <w:spacing w:val="-4"/>
          <w:sz w:val="20"/>
        </w:rPr>
        <w:t> </w:t>
      </w:r>
      <w:r>
        <w:rPr>
          <w:sz w:val="20"/>
        </w:rPr>
        <w:t>Board)</w:t>
      </w:r>
      <w:r>
        <w:rPr>
          <w:spacing w:val="-4"/>
          <w:sz w:val="20"/>
        </w:rPr>
        <w:t> </w:t>
      </w:r>
      <w:r>
        <w:rPr>
          <w:sz w:val="20"/>
        </w:rPr>
        <w:t>Amendment</w:t>
      </w:r>
      <w:r>
        <w:rPr>
          <w:spacing w:val="-1"/>
          <w:sz w:val="20"/>
        </w:rPr>
        <w:t> </w:t>
      </w:r>
      <w:r>
        <w:rPr>
          <w:sz w:val="20"/>
        </w:rPr>
        <w:t>Bill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4"/>
          <w:sz w:val="20"/>
        </w:rPr>
        <w:t> </w:t>
      </w: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4,</w:t>
      </w:r>
      <w:r>
        <w:rPr>
          <w:spacing w:val="-4"/>
          <w:sz w:val="20"/>
        </w:rPr>
        <w:t> </w:t>
      </w:r>
      <w:r>
        <w:rPr>
          <w:sz w:val="20"/>
        </w:rPr>
        <w:t>section 117ZD(4)(a).</w:t>
      </w:r>
    </w:p>
    <w:p>
      <w:pPr>
        <w:spacing w:line="240" w:lineRule="auto" w:before="0"/>
        <w:ind w:left="360" w:right="2535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2"/>
          <w:sz w:val="20"/>
        </w:rPr>
        <w:t> </w:t>
      </w:r>
      <w:r>
        <w:rPr>
          <w:sz w:val="20"/>
        </w:rPr>
        <w:t>Trustee</w:t>
      </w:r>
      <w:r>
        <w:rPr>
          <w:spacing w:val="3"/>
          <w:sz w:val="20"/>
        </w:rPr>
        <w:t> </w:t>
      </w:r>
      <w:r>
        <w:rPr>
          <w:sz w:val="20"/>
        </w:rPr>
        <w:t>(Advisory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Monitoring</w:t>
      </w:r>
      <w:r>
        <w:rPr>
          <w:spacing w:val="3"/>
          <w:sz w:val="20"/>
        </w:rPr>
        <w:t> </w:t>
      </w:r>
      <w:r>
        <w:rPr>
          <w:sz w:val="20"/>
        </w:rPr>
        <w:t>Board)</w:t>
      </w:r>
      <w:r>
        <w:rPr>
          <w:spacing w:val="2"/>
          <w:sz w:val="20"/>
        </w:rPr>
        <w:t> </w:t>
      </w:r>
      <w:r>
        <w:rPr>
          <w:sz w:val="20"/>
        </w:rPr>
        <w:t>Amendment</w:t>
      </w:r>
      <w:r>
        <w:rPr>
          <w:spacing w:val="5"/>
          <w:sz w:val="20"/>
        </w:rPr>
        <w:t> </w:t>
      </w:r>
      <w:r>
        <w:rPr>
          <w:sz w:val="20"/>
        </w:rPr>
        <w:t>Bill</w:t>
      </w:r>
      <w:r>
        <w:rPr>
          <w:spacing w:val="2"/>
          <w:sz w:val="20"/>
        </w:rPr>
        <w:t> </w:t>
      </w:r>
      <w:r>
        <w:rPr>
          <w:sz w:val="20"/>
        </w:rPr>
        <w:t>2021,</w:t>
      </w:r>
      <w:r>
        <w:rPr>
          <w:spacing w:val="2"/>
          <w:sz w:val="20"/>
        </w:rPr>
        <w:t> </w:t>
      </w:r>
      <w:r>
        <w:rPr>
          <w:sz w:val="20"/>
        </w:rPr>
        <w:t>chapter</w:t>
      </w:r>
      <w:r>
        <w:rPr>
          <w:spacing w:val="3"/>
          <w:sz w:val="20"/>
        </w:rPr>
        <w:t> </w:t>
      </w:r>
      <w:r>
        <w:rPr>
          <w:sz w:val="20"/>
        </w:rPr>
        <w:t>4,</w:t>
      </w:r>
      <w:r>
        <w:rPr>
          <w:spacing w:val="3"/>
          <w:sz w:val="20"/>
        </w:rPr>
        <w:t> </w:t>
      </w:r>
      <w:r>
        <w:rPr>
          <w:sz w:val="20"/>
        </w:rPr>
        <w:t>section</w:t>
      </w:r>
      <w:r>
        <w:rPr>
          <w:spacing w:val="6"/>
          <w:sz w:val="20"/>
        </w:rPr>
        <w:t> </w:t>
      </w:r>
      <w:r>
        <w:rPr>
          <w:sz w:val="20"/>
        </w:rPr>
        <w:t>117Y.</w:t>
      </w:r>
      <w:r>
        <w:rPr>
          <w:spacing w:val="1"/>
          <w:sz w:val="20"/>
        </w:rPr>
        <w:t> </w:t>
      </w:r>
      <w:r>
        <w:rPr>
          <w:position w:val="6"/>
          <w:sz w:val="13"/>
        </w:rPr>
        <w:t>9 </w:t>
      </w:r>
      <w:r>
        <w:rPr>
          <w:sz w:val="20"/>
        </w:rPr>
        <w:t>Public Trustee (Advisory and Monitoring Board) Amendment Bill 2021, chapter 4, section 117ZA.</w:t>
      </w:r>
      <w:r>
        <w:rPr>
          <w:spacing w:val="-43"/>
          <w:sz w:val="20"/>
        </w:rPr>
        <w:t> </w:t>
      </w:r>
      <w:r>
        <w:rPr>
          <w:position w:val="6"/>
          <w:sz w:val="13"/>
        </w:rPr>
        <w:t>10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Trustee</w:t>
      </w:r>
      <w:r>
        <w:rPr>
          <w:spacing w:val="-3"/>
          <w:sz w:val="20"/>
        </w:rPr>
        <w:t> </w:t>
      </w:r>
      <w:r>
        <w:rPr>
          <w:sz w:val="20"/>
        </w:rPr>
        <w:t>(Advisory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Monitoring</w:t>
      </w:r>
      <w:r>
        <w:rPr>
          <w:spacing w:val="-3"/>
          <w:sz w:val="20"/>
        </w:rPr>
        <w:t> </w:t>
      </w:r>
      <w:r>
        <w:rPr>
          <w:sz w:val="20"/>
        </w:rPr>
        <w:t>Board)</w:t>
      </w:r>
      <w:r>
        <w:rPr>
          <w:spacing w:val="-3"/>
          <w:sz w:val="20"/>
        </w:rPr>
        <w:t> </w:t>
      </w:r>
      <w:r>
        <w:rPr>
          <w:sz w:val="20"/>
        </w:rPr>
        <w:t>Amendment</w:t>
      </w:r>
      <w:r>
        <w:rPr>
          <w:spacing w:val="-1"/>
          <w:sz w:val="20"/>
        </w:rPr>
        <w:t> </w:t>
      </w:r>
      <w:r>
        <w:rPr>
          <w:sz w:val="20"/>
        </w:rPr>
        <w:t>Bill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3"/>
          <w:sz w:val="20"/>
        </w:rPr>
        <w:t> </w:t>
      </w:r>
      <w:r>
        <w:rPr>
          <w:sz w:val="20"/>
        </w:rPr>
        <w:t>chapter</w:t>
      </w:r>
      <w:r>
        <w:rPr>
          <w:spacing w:val="-4"/>
          <w:sz w:val="20"/>
        </w:rPr>
        <w:t> </w:t>
      </w:r>
      <w:r>
        <w:rPr>
          <w:sz w:val="20"/>
        </w:rPr>
        <w:t>4,</w:t>
      </w:r>
      <w:r>
        <w:rPr>
          <w:spacing w:val="-3"/>
          <w:sz w:val="20"/>
        </w:rPr>
        <w:t> </w:t>
      </w:r>
      <w:r>
        <w:rPr>
          <w:sz w:val="20"/>
        </w:rPr>
        <w:t>section 117Z.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 w:before="56"/>
        <w:ind w:left="360" w:right="707"/>
        <w:jc w:val="both"/>
      </w:pPr>
      <w:r>
        <w:rPr/>
        <w:t>releasing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format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Public</w:t>
      </w:r>
      <w:r>
        <w:rPr>
          <w:spacing w:val="-2"/>
        </w:rPr>
        <w:t> </w:t>
      </w:r>
      <w:r>
        <w:rPr/>
        <w:t>Trustee’s</w:t>
      </w:r>
      <w:r>
        <w:rPr>
          <w:spacing w:val="-2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report.</w:t>
      </w:r>
      <w:r>
        <w:rPr>
          <w:spacing w:val="-48"/>
        </w:rPr>
        <w:t> </w:t>
      </w:r>
      <w:r>
        <w:rPr/>
        <w:t>It would also remove any concern that information regarding the performance of the Board’s activities as</w:t>
      </w:r>
      <w:r>
        <w:rPr>
          <w:spacing w:val="1"/>
        </w:rPr>
        <w:t> </w:t>
      </w:r>
      <w:r>
        <w:rPr/>
        <w:t>described in the Public Trustee’s annual report, has been censored by the Public Trustee. It is vital that the</w:t>
      </w:r>
      <w:r>
        <w:rPr>
          <w:spacing w:val="1"/>
        </w:rPr>
        <w:t> </w:t>
      </w:r>
      <w:r>
        <w:rPr/>
        <w:t>Board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its</w:t>
      </w:r>
      <w:r>
        <w:rPr>
          <w:spacing w:val="-3"/>
        </w:rPr>
        <w:t> </w:t>
      </w:r>
      <w:r>
        <w:rPr/>
        <w:t>actions</w:t>
      </w:r>
      <w:r>
        <w:rPr>
          <w:spacing w:val="-9"/>
        </w:rPr>
        <w:t> </w:t>
      </w:r>
      <w:r>
        <w:rPr/>
        <w:t>embody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transparency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accountability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its</w:t>
      </w:r>
      <w:r>
        <w:rPr>
          <w:spacing w:val="-8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are</w:t>
      </w:r>
      <w:r>
        <w:rPr>
          <w:spacing w:val="-6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facilitate.</w:t>
      </w:r>
    </w:p>
    <w:p>
      <w:pPr>
        <w:pStyle w:val="BodyText"/>
        <w:spacing w:line="276" w:lineRule="auto" w:before="135"/>
        <w:ind w:left="360" w:right="719"/>
        <w:jc w:val="both"/>
      </w:pPr>
      <w:r>
        <w:rPr/>
        <w:t>Further, QAI recommends that the Public Trustee be legislatively required to publicly provide a written</w:t>
      </w:r>
      <w:r>
        <w:rPr>
          <w:spacing w:val="1"/>
        </w:rPr>
        <w:t> </w:t>
      </w:r>
      <w:r>
        <w:rPr/>
        <w:t>response to any advice or recommendations made by the Board. This would provide transparency regarding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Public</w:t>
      </w:r>
      <w:r>
        <w:rPr>
          <w:spacing w:val="-8"/>
        </w:rPr>
        <w:t> </w:t>
      </w:r>
      <w:r>
        <w:rPr>
          <w:spacing w:val="-1"/>
        </w:rPr>
        <w:t>Trustee’s</w:t>
      </w:r>
      <w:r>
        <w:rPr>
          <w:spacing w:val="-11"/>
        </w:rPr>
        <w:t> </w:t>
      </w:r>
      <w:r>
        <w:rPr>
          <w:spacing w:val="-1"/>
        </w:rPr>
        <w:t>awareness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systemic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been</w:t>
      </w:r>
      <w:r>
        <w:rPr>
          <w:spacing w:val="-11"/>
        </w:rPr>
        <w:t> </w:t>
      </w:r>
      <w:r>
        <w:rPr/>
        <w:t>identified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Board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would</w:t>
      </w:r>
      <w:r>
        <w:rPr>
          <w:spacing w:val="-11"/>
        </w:rPr>
        <w:t> </w:t>
      </w:r>
      <w:r>
        <w:rPr/>
        <w:t>ensure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broader</w:t>
      </w:r>
      <w:r>
        <w:rPr>
          <w:spacing w:val="-3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are</w:t>
      </w:r>
      <w:r>
        <w:rPr>
          <w:spacing w:val="-1"/>
        </w:rPr>
        <w:t> </w:t>
      </w:r>
      <w:r>
        <w:rPr/>
        <w:t>aware 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intentions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otherwise)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them.</w:t>
      </w: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bookmarkStart w:name="Conclusion" w:id="10"/>
      <w:bookmarkEnd w:id="10"/>
      <w:r>
        <w:rPr>
          <w:b w:val="0"/>
        </w:rPr>
      </w:r>
      <w:r>
        <w:rPr>
          <w:color w:val="808080"/>
        </w:rPr>
        <w:t>Conclusion</w:t>
      </w:r>
    </w:p>
    <w:p>
      <w:pPr>
        <w:pStyle w:val="BodyText"/>
        <w:spacing w:line="276" w:lineRule="auto" w:before="125"/>
        <w:ind w:left="360" w:right="718"/>
        <w:jc w:val="both"/>
      </w:pPr>
      <w:r>
        <w:rPr/>
        <w:t>QAI thanks the Community Support and Services Committee for the opportunity to contribute to this review.</w:t>
      </w:r>
      <w:r>
        <w:rPr>
          <w:spacing w:val="-47"/>
        </w:rPr>
        <w:t> </w:t>
      </w:r>
      <w:r>
        <w:rPr/>
        <w:t>We are happy to provide further information or clarification of any of the matters raised in this submission</w:t>
      </w:r>
      <w:r>
        <w:rPr>
          <w:spacing w:val="1"/>
        </w:rPr>
        <w:t> </w:t>
      </w:r>
      <w:r>
        <w:rPr/>
        <w:t>upon</w:t>
      </w:r>
      <w:r>
        <w:rPr>
          <w:spacing w:val="-2"/>
        </w:rPr>
        <w:t> </w:t>
      </w:r>
      <w:r>
        <w:rPr/>
        <w:t>request.</w:t>
      </w:r>
    </w:p>
    <w:sectPr>
      <w:pgSz w:w="11900" w:h="1684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775pt;margin-top:793.124878pt;width:521.25pt;height:12.65pt;mso-position-horizontal-relative:page;mso-position-vertical-relative:page;z-index:-15810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</w:t>
                </w:r>
                <w:r>
                  <w:rPr>
                    <w:rFonts w:ascii="Arial"/>
                    <w:color w:val="585858"/>
                    <w:spacing w:val="-4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2,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 |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</w:t>
                </w:r>
                <w:r>
                  <w:rPr>
                    <w:rFonts w:ascii="Arial"/>
                    <w:color w:val="585858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Brisbane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4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</w:t>
                </w:r>
                <w:r>
                  <w:rPr>
                    <w:rFonts w:ascii="Arial"/>
                    <w:b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4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 |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6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 |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</w:t>
                </w:r>
                <w:r>
                  <w:rPr>
                    <w:rFonts w:ascii="Arial"/>
                    <w:b/>
                    <w:color w:val="585858"/>
                    <w:spacing w:val="-7"/>
                    <w:sz w:val="19"/>
                  </w:rPr>
                  <w:t>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969971pt;margin-top:800.474976pt;width:12.6pt;height:13pt;mso-position-horizontal-relative:page;mso-position-vertical-relative:page;z-index:-15809024" type="#_x0000_t202" id="docshape5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99pt;width:593.450pt;height:6.1pt;mso-position-horizontal-relative:page;mso-position-vertical-relative:page;z-index:-15809536" id="docshape4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9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43" w:right="1113"/>
      <w:jc w:val="center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6" w:right="827" w:hanging="361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pt.qld.gov.au/fees-and-charges-review-public-consultation" TargetMode="External"/><Relationship Id="rId10" Type="http://schemas.openxmlformats.org/officeDocument/2006/relationships/hyperlink" Target="http://www.aihw.gov.au/reports/australias-welfare/disability-support-for-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2021-12-07T07:01:31Z</dcterms:created>
  <dcterms:modified xsi:type="dcterms:W3CDTF">2021-12-07T07:01:31Z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