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5309" w14:textId="7F1969FF" w:rsidR="00165510" w:rsidRPr="003E3932" w:rsidRDefault="00165510" w:rsidP="00165510">
      <w:pPr>
        <w:pStyle w:val="Heading1"/>
        <w:spacing w:before="0" w:after="120" w:line="240" w:lineRule="auto"/>
        <w:jc w:val="center"/>
        <w:rPr>
          <w:rFonts w:cstheme="minorHAnsi"/>
          <w:color w:val="404040" w:themeColor="text1" w:themeTint="BF"/>
          <w:sz w:val="40"/>
          <w:szCs w:val="40"/>
        </w:rPr>
      </w:pPr>
      <w:r w:rsidRPr="003E3932">
        <w:rPr>
          <w:rFonts w:cstheme="minorHAnsi"/>
          <w:color w:val="404040" w:themeColor="text1" w:themeTint="BF"/>
          <w:sz w:val="40"/>
          <w:szCs w:val="40"/>
        </w:rPr>
        <w:t xml:space="preserve">To the </w:t>
      </w:r>
    </w:p>
    <w:p w14:paraId="7650414E" w14:textId="4FC4B8C4" w:rsidR="00165510" w:rsidRPr="003E3932" w:rsidRDefault="00165510" w:rsidP="00165510">
      <w:pPr>
        <w:pStyle w:val="Heading1"/>
        <w:spacing w:before="0" w:after="120" w:line="240" w:lineRule="auto"/>
        <w:jc w:val="center"/>
        <w:rPr>
          <w:rFonts w:cstheme="minorHAnsi"/>
          <w:color w:val="404040" w:themeColor="text1" w:themeTint="BF"/>
          <w:sz w:val="40"/>
          <w:szCs w:val="40"/>
        </w:rPr>
      </w:pPr>
      <w:r w:rsidRPr="003E3932">
        <w:rPr>
          <w:rFonts w:cstheme="minorHAnsi"/>
          <w:color w:val="404040" w:themeColor="text1" w:themeTint="BF"/>
          <w:sz w:val="40"/>
          <w:szCs w:val="40"/>
        </w:rPr>
        <w:t>Queensland Human Rights Commission</w:t>
      </w:r>
      <w:r w:rsidR="00892D49">
        <w:rPr>
          <w:rFonts w:cstheme="minorHAnsi"/>
          <w:color w:val="404040" w:themeColor="text1" w:themeTint="BF"/>
          <w:sz w:val="40"/>
          <w:szCs w:val="40"/>
        </w:rPr>
        <w:t>er</w:t>
      </w:r>
    </w:p>
    <w:p w14:paraId="5A01F62E" w14:textId="21725054" w:rsidR="00165510" w:rsidRPr="00CF7410" w:rsidRDefault="00165510" w:rsidP="00627529">
      <w:pPr>
        <w:spacing w:after="120"/>
        <w:rPr>
          <w:rStyle w:val="BookTitle"/>
          <w:rFonts w:cstheme="minorBidi"/>
          <w:color w:val="767171" w:themeColor="background2" w:themeShade="80"/>
          <w:sz w:val="24"/>
        </w:rPr>
      </w:pPr>
    </w:p>
    <w:p w14:paraId="262EFDDB" w14:textId="77777777" w:rsidR="00CF7410" w:rsidRDefault="00CF7410" w:rsidP="1AFA847E">
      <w:pPr>
        <w:spacing w:after="120"/>
        <w:jc w:val="center"/>
        <w:rPr>
          <w:rStyle w:val="BookTitle"/>
          <w:rFonts w:cstheme="minorBidi"/>
          <w:color w:val="767171" w:themeColor="background2" w:themeShade="80"/>
          <w:sz w:val="44"/>
          <w:szCs w:val="44"/>
        </w:rPr>
      </w:pPr>
    </w:p>
    <w:p w14:paraId="44B71BAE" w14:textId="13FA5D1B" w:rsidR="00CF1A02" w:rsidRPr="00627529" w:rsidRDefault="000F2C1C" w:rsidP="00627529">
      <w:pPr>
        <w:spacing w:after="120"/>
        <w:jc w:val="center"/>
        <w:rPr>
          <w:rFonts w:ascii="Calibri" w:hAnsi="Calibri"/>
          <w:b/>
          <w:bCs/>
          <w:iCs/>
          <w:color w:val="404040" w:themeColor="text1" w:themeTint="BF"/>
          <w:spacing w:val="5"/>
          <w:sz w:val="48"/>
          <w:szCs w:val="48"/>
        </w:rPr>
      </w:pPr>
      <w:r w:rsidRPr="00CF7410">
        <w:rPr>
          <w:rStyle w:val="BookTitle"/>
          <w:rFonts w:cstheme="minorBidi"/>
          <w:color w:val="404040" w:themeColor="text1" w:themeTint="BF"/>
          <w:sz w:val="48"/>
          <w:szCs w:val="48"/>
        </w:rPr>
        <w:t>The n</w:t>
      </w:r>
      <w:r w:rsidR="00E06490" w:rsidRPr="00CF7410">
        <w:rPr>
          <w:rStyle w:val="BookTitle"/>
          <w:rFonts w:cstheme="minorBidi"/>
          <w:color w:val="404040" w:themeColor="text1" w:themeTint="BF"/>
          <w:sz w:val="48"/>
          <w:szCs w:val="48"/>
        </w:rPr>
        <w:t>eed for</w:t>
      </w:r>
      <w:r w:rsidR="00374271" w:rsidRPr="00CF7410">
        <w:rPr>
          <w:rStyle w:val="BookTitle"/>
          <w:rFonts w:cstheme="minorBidi"/>
          <w:color w:val="404040" w:themeColor="text1" w:themeTint="BF"/>
          <w:sz w:val="48"/>
          <w:szCs w:val="48"/>
        </w:rPr>
        <w:t xml:space="preserve"> inquiry into </w:t>
      </w:r>
      <w:r w:rsidR="002016E4" w:rsidRPr="00CF7410">
        <w:rPr>
          <w:rStyle w:val="BookTitle"/>
          <w:rFonts w:cstheme="minorBidi"/>
          <w:color w:val="404040" w:themeColor="text1" w:themeTint="BF"/>
          <w:sz w:val="48"/>
          <w:szCs w:val="48"/>
        </w:rPr>
        <w:t>s</w:t>
      </w:r>
      <w:r w:rsidR="000107A7" w:rsidRPr="00CF7410">
        <w:rPr>
          <w:rStyle w:val="BookTitle"/>
          <w:rFonts w:cstheme="minorBidi"/>
          <w:color w:val="404040" w:themeColor="text1" w:themeTint="BF"/>
          <w:sz w:val="48"/>
          <w:szCs w:val="48"/>
        </w:rPr>
        <w:t>chool disciplinary absences in Queensland state schools</w:t>
      </w:r>
    </w:p>
    <w:p w14:paraId="4AEBDE0D" w14:textId="10DD4F66" w:rsidR="00E25199" w:rsidRDefault="00092888" w:rsidP="00CF1A02">
      <w:pPr>
        <w:spacing w:after="120"/>
        <w:jc w:val="center"/>
        <w:rPr>
          <w:rFonts w:cstheme="minorHAnsi"/>
        </w:rPr>
      </w:pPr>
      <w:r>
        <w:rPr>
          <w:rFonts w:cstheme="minorHAnsi"/>
        </w:rPr>
        <w:t xml:space="preserve"> </w:t>
      </w:r>
    </w:p>
    <w:p w14:paraId="13612B4A" w14:textId="77777777" w:rsidR="00627529" w:rsidRPr="00EB03E4" w:rsidRDefault="00627529" w:rsidP="00CF1A02">
      <w:pPr>
        <w:spacing w:after="120"/>
        <w:jc w:val="center"/>
        <w:rPr>
          <w:rFonts w:cstheme="minorHAnsi"/>
        </w:rPr>
      </w:pPr>
    </w:p>
    <w:p w14:paraId="6148447D" w14:textId="7F839478" w:rsidR="00C340C7" w:rsidRPr="00EB03E4" w:rsidRDefault="00C340C7" w:rsidP="00CF1A02">
      <w:pPr>
        <w:spacing w:after="120"/>
        <w:jc w:val="center"/>
        <w:rPr>
          <w:rFonts w:cstheme="minorHAnsi"/>
        </w:rPr>
      </w:pPr>
    </w:p>
    <w:p w14:paraId="435F2DD5" w14:textId="3BDFCD3F" w:rsidR="00CF1A02" w:rsidRDefault="00CF1A02" w:rsidP="00CF1A02">
      <w:pPr>
        <w:pStyle w:val="Heading1"/>
        <w:spacing w:before="0" w:after="120" w:line="240" w:lineRule="auto"/>
        <w:jc w:val="center"/>
        <w:rPr>
          <w:rFonts w:cstheme="minorHAnsi"/>
          <w:color w:val="404040" w:themeColor="text1" w:themeTint="BF"/>
          <w:sz w:val="40"/>
          <w:szCs w:val="40"/>
        </w:rPr>
      </w:pPr>
      <w:r w:rsidRPr="009C3D8A">
        <w:rPr>
          <w:rFonts w:cstheme="minorHAnsi"/>
          <w:color w:val="404040" w:themeColor="text1" w:themeTint="BF"/>
          <w:sz w:val="40"/>
          <w:szCs w:val="40"/>
        </w:rPr>
        <w:t xml:space="preserve">Submission by </w:t>
      </w:r>
    </w:p>
    <w:p w14:paraId="0EFC57D3" w14:textId="77777777" w:rsidR="00EA3EB1" w:rsidRPr="00EA3EB1" w:rsidRDefault="00EA3EB1" w:rsidP="00EA3EB1">
      <w:pPr>
        <w:rPr>
          <w:lang w:eastAsia="en-US"/>
        </w:rPr>
      </w:pPr>
    </w:p>
    <w:p w14:paraId="07EA178D" w14:textId="77777777" w:rsidR="002F41F3" w:rsidRPr="002F41F3" w:rsidRDefault="002F41F3" w:rsidP="002F41F3">
      <w:pPr>
        <w:rPr>
          <w:lang w:eastAsia="en-US"/>
        </w:rPr>
      </w:pPr>
    </w:p>
    <w:p w14:paraId="400889C7" w14:textId="56E7A958" w:rsidR="00E60656" w:rsidRPr="00E60656" w:rsidRDefault="002F41F3" w:rsidP="00E60656">
      <w:pPr>
        <w:rPr>
          <w:lang w:eastAsia="en-US"/>
        </w:rPr>
      </w:pPr>
      <w:r>
        <w:rPr>
          <w:rFonts w:cstheme="minorHAnsi"/>
          <w:noProof/>
          <w:color w:val="FF0000"/>
          <w:sz w:val="32"/>
          <w:szCs w:val="32"/>
        </w:rPr>
        <w:drawing>
          <wp:anchor distT="0" distB="0" distL="114300" distR="114300" simplePos="0" relativeHeight="251658242" behindDoc="0" locked="0" layoutInCell="1" allowOverlap="1" wp14:anchorId="38A8849E" wp14:editId="3E98237E">
            <wp:simplePos x="0" y="0"/>
            <wp:positionH relativeFrom="margin">
              <wp:align>center</wp:align>
            </wp:positionH>
            <wp:positionV relativeFrom="paragraph">
              <wp:posOffset>16510</wp:posOffset>
            </wp:positionV>
            <wp:extent cx="1984375" cy="1463675"/>
            <wp:effectExtent l="0" t="0" r="0" b="3175"/>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4375" cy="1463675"/>
                    </a:xfrm>
                    <a:prstGeom prst="rect">
                      <a:avLst/>
                    </a:prstGeom>
                  </pic:spPr>
                </pic:pic>
              </a:graphicData>
            </a:graphic>
            <wp14:sizeRelH relativeFrom="page">
              <wp14:pctWidth>0</wp14:pctWidth>
            </wp14:sizeRelH>
            <wp14:sizeRelV relativeFrom="page">
              <wp14:pctHeight>0</wp14:pctHeight>
            </wp14:sizeRelV>
          </wp:anchor>
        </w:drawing>
      </w:r>
    </w:p>
    <w:p w14:paraId="7E8A5DFE" w14:textId="1D4E10CF" w:rsidR="001D43FA" w:rsidRDefault="001D43FA" w:rsidP="009018D6">
      <w:pPr>
        <w:pStyle w:val="Heading1"/>
        <w:spacing w:before="0" w:after="120" w:line="240" w:lineRule="auto"/>
        <w:jc w:val="center"/>
        <w:rPr>
          <w:rFonts w:cstheme="minorHAnsi"/>
          <w:color w:val="767171" w:themeColor="background2" w:themeShade="80"/>
          <w:sz w:val="32"/>
          <w:szCs w:val="32"/>
        </w:rPr>
      </w:pPr>
    </w:p>
    <w:p w14:paraId="7A58FE8D" w14:textId="256D7CBE" w:rsidR="00083EE2" w:rsidRDefault="00083EE2" w:rsidP="009018D6">
      <w:pPr>
        <w:pStyle w:val="Heading1"/>
        <w:spacing w:before="0" w:after="120" w:line="240" w:lineRule="auto"/>
        <w:jc w:val="center"/>
        <w:rPr>
          <w:rFonts w:cstheme="minorHAnsi"/>
          <w:color w:val="FF0000"/>
          <w:sz w:val="32"/>
          <w:szCs w:val="32"/>
        </w:rPr>
      </w:pPr>
    </w:p>
    <w:p w14:paraId="68F02511" w14:textId="2E34F6AE" w:rsidR="00090F09" w:rsidRDefault="00090F09" w:rsidP="009018D6">
      <w:pPr>
        <w:pStyle w:val="Heading1"/>
        <w:spacing w:before="0" w:after="120" w:line="240" w:lineRule="auto"/>
        <w:jc w:val="center"/>
        <w:rPr>
          <w:rFonts w:cstheme="minorHAnsi"/>
          <w:color w:val="FF0000"/>
          <w:sz w:val="32"/>
          <w:szCs w:val="32"/>
        </w:rPr>
      </w:pPr>
    </w:p>
    <w:p w14:paraId="0875CEC7" w14:textId="36938554" w:rsidR="00090F09" w:rsidRDefault="00090F09" w:rsidP="009018D6">
      <w:pPr>
        <w:pStyle w:val="Heading1"/>
        <w:spacing w:before="0" w:after="120" w:line="240" w:lineRule="auto"/>
        <w:jc w:val="center"/>
        <w:rPr>
          <w:rFonts w:cstheme="minorHAnsi"/>
          <w:color w:val="FF0000"/>
          <w:sz w:val="32"/>
          <w:szCs w:val="32"/>
        </w:rPr>
      </w:pPr>
    </w:p>
    <w:p w14:paraId="508F80A2" w14:textId="546EB85D" w:rsidR="00D63232" w:rsidRDefault="00780C33" w:rsidP="00CF1A02">
      <w:pPr>
        <w:pStyle w:val="Heading1"/>
        <w:spacing w:before="0" w:after="120" w:line="240" w:lineRule="auto"/>
        <w:jc w:val="center"/>
        <w:rPr>
          <w:rFonts w:cstheme="minorHAnsi"/>
          <w:color w:val="FF0000"/>
          <w:sz w:val="36"/>
          <w:szCs w:val="36"/>
        </w:rPr>
      </w:pPr>
      <w:r>
        <w:rPr>
          <w:rFonts w:cstheme="minorHAnsi"/>
          <w:b w:val="0"/>
          <w:bCs w:val="0"/>
          <w:noProof/>
          <w:color w:val="FF0000"/>
          <w:sz w:val="32"/>
          <w:szCs w:val="32"/>
        </w:rPr>
        <w:drawing>
          <wp:anchor distT="0" distB="0" distL="114300" distR="114300" simplePos="0" relativeHeight="251658240" behindDoc="0" locked="0" layoutInCell="1" allowOverlap="1" wp14:anchorId="42E4A20F" wp14:editId="53C42080">
            <wp:simplePos x="0" y="0"/>
            <wp:positionH relativeFrom="margin">
              <wp:posOffset>1238885</wp:posOffset>
            </wp:positionH>
            <wp:positionV relativeFrom="paragraph">
              <wp:posOffset>189865</wp:posOffset>
            </wp:positionV>
            <wp:extent cx="3676015" cy="1003300"/>
            <wp:effectExtent l="0" t="0" r="635" b="635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015"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DD12D" w14:textId="4C33E2AA" w:rsidR="00D63232" w:rsidRDefault="00D63232" w:rsidP="00CF1A02">
      <w:pPr>
        <w:pStyle w:val="Heading1"/>
        <w:spacing w:before="0" w:after="120" w:line="240" w:lineRule="auto"/>
        <w:jc w:val="center"/>
        <w:rPr>
          <w:rFonts w:cstheme="minorHAnsi"/>
          <w:color w:val="FF0000"/>
          <w:sz w:val="36"/>
          <w:szCs w:val="36"/>
        </w:rPr>
      </w:pPr>
    </w:p>
    <w:p w14:paraId="3B1E01C2" w14:textId="77777777" w:rsidR="00E25199" w:rsidRDefault="00E25199" w:rsidP="00E25199">
      <w:pPr>
        <w:pStyle w:val="Heading1"/>
        <w:spacing w:before="0" w:after="120" w:line="240" w:lineRule="auto"/>
        <w:jc w:val="center"/>
        <w:rPr>
          <w:rFonts w:cstheme="minorHAnsi"/>
          <w:sz w:val="44"/>
          <w:szCs w:val="44"/>
        </w:rPr>
      </w:pPr>
    </w:p>
    <w:p w14:paraId="7C69A3E2" w14:textId="77777777" w:rsidR="00D63232" w:rsidRDefault="00D63232" w:rsidP="00CF1A02">
      <w:pPr>
        <w:pStyle w:val="Heading1"/>
        <w:spacing w:before="0" w:after="120" w:line="240" w:lineRule="auto"/>
        <w:jc w:val="center"/>
        <w:rPr>
          <w:rFonts w:cstheme="minorHAnsi"/>
          <w:color w:val="FF0000"/>
        </w:rPr>
      </w:pPr>
    </w:p>
    <w:p w14:paraId="356ECA50" w14:textId="77777777" w:rsidR="00627529" w:rsidRDefault="00627529" w:rsidP="00627529">
      <w:pPr>
        <w:rPr>
          <w:lang w:eastAsia="en-US"/>
        </w:rPr>
      </w:pPr>
    </w:p>
    <w:p w14:paraId="669FB32F" w14:textId="77777777" w:rsidR="007E1F04" w:rsidRDefault="007E1F04" w:rsidP="00627529">
      <w:pPr>
        <w:rPr>
          <w:lang w:eastAsia="en-US"/>
        </w:rPr>
      </w:pPr>
    </w:p>
    <w:p w14:paraId="6712F3C9" w14:textId="77777777" w:rsidR="00DC0666" w:rsidRPr="00627529" w:rsidRDefault="00DC0666" w:rsidP="00627529">
      <w:pPr>
        <w:rPr>
          <w:lang w:eastAsia="en-US"/>
        </w:rPr>
      </w:pPr>
    </w:p>
    <w:p w14:paraId="747E9F35" w14:textId="105A180F" w:rsidR="00474D26" w:rsidRPr="007E1F04" w:rsidRDefault="00474D26" w:rsidP="007E1F04">
      <w:pPr>
        <w:pStyle w:val="Heading1"/>
        <w:jc w:val="center"/>
        <w:rPr>
          <w:color w:val="404040" w:themeColor="text1" w:themeTint="BF"/>
        </w:rPr>
      </w:pPr>
      <w:r w:rsidRPr="00BF0023">
        <w:rPr>
          <w:color w:val="404040" w:themeColor="text1" w:themeTint="BF"/>
        </w:rPr>
        <w:t xml:space="preserve">With support from </w:t>
      </w:r>
      <w:r w:rsidR="004D5442">
        <w:rPr>
          <w:color w:val="404040" w:themeColor="text1" w:themeTint="BF"/>
        </w:rPr>
        <w:t xml:space="preserve"> </w:t>
      </w:r>
      <w:r w:rsidR="004D5442">
        <w:rPr>
          <w:noProof/>
        </w:rPr>
        <w:drawing>
          <wp:inline distT="0" distB="0" distL="0" distR="0" wp14:anchorId="2CC827E3" wp14:editId="31BE78C2">
            <wp:extent cx="1320800" cy="15689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642821" cy="195141"/>
                    </a:xfrm>
                    <a:prstGeom prst="rect">
                      <a:avLst/>
                    </a:prstGeom>
                  </pic:spPr>
                </pic:pic>
              </a:graphicData>
            </a:graphic>
          </wp:inline>
        </w:drawing>
      </w:r>
    </w:p>
    <w:p w14:paraId="61244F18" w14:textId="38AEA3F9" w:rsidR="00CF1A02" w:rsidRPr="009C3D8A" w:rsidRDefault="00CF1A02" w:rsidP="00D63232">
      <w:pPr>
        <w:pStyle w:val="Heading1"/>
        <w:spacing w:before="0" w:after="120" w:line="240" w:lineRule="auto"/>
        <w:jc w:val="center"/>
        <w:rPr>
          <w:rFonts w:cstheme="minorHAnsi"/>
          <w:color w:val="404040" w:themeColor="text1" w:themeTint="BF"/>
          <w:sz w:val="32"/>
          <w:szCs w:val="32"/>
        </w:rPr>
      </w:pPr>
    </w:p>
    <w:p w14:paraId="43983B39" w14:textId="49961FB2" w:rsidR="007A3268" w:rsidRPr="00EB03E4" w:rsidRDefault="007A3268" w:rsidP="007A3268">
      <w:pPr>
        <w:rPr>
          <w:rFonts w:cstheme="minorHAnsi"/>
          <w:szCs w:val="22"/>
        </w:rPr>
      </w:pPr>
    </w:p>
    <w:p w14:paraId="1D5C2DAE" w14:textId="1CCE314C" w:rsidR="000A1ABB" w:rsidRPr="003E3932" w:rsidRDefault="000A1ABB" w:rsidP="00083EE2">
      <w:pPr>
        <w:pStyle w:val="Heading1"/>
        <w:rPr>
          <w:color w:val="404040" w:themeColor="text1" w:themeTint="BF"/>
        </w:rPr>
      </w:pPr>
      <w:r w:rsidRPr="00EB03E4">
        <w:br w:type="page"/>
      </w:r>
      <w:r w:rsidRPr="003E3932">
        <w:rPr>
          <w:color w:val="404040" w:themeColor="text1" w:themeTint="BF"/>
        </w:rPr>
        <w:lastRenderedPageBreak/>
        <w:t>About Queensland Advocacy Incorporated</w:t>
      </w:r>
    </w:p>
    <w:p w14:paraId="098101F3" w14:textId="77777777" w:rsidR="0084502F" w:rsidRDefault="0084502F" w:rsidP="001D43FA">
      <w:pPr>
        <w:tabs>
          <w:tab w:val="clear" w:pos="288"/>
        </w:tabs>
        <w:spacing w:line="276" w:lineRule="auto"/>
        <w:textAlignment w:val="baseline"/>
        <w:rPr>
          <w:rFonts w:ascii="Calibri" w:eastAsia="Times New Roman" w:hAnsi="Calibri" w:cs="Calibri"/>
          <w:szCs w:val="22"/>
          <w:lang w:val="en-US" w:eastAsia="en-AU"/>
        </w:rPr>
      </w:pPr>
    </w:p>
    <w:p w14:paraId="50CD8141" w14:textId="77777777" w:rsidR="007A169A" w:rsidRDefault="007A169A" w:rsidP="007C5403">
      <w:pPr>
        <w:spacing w:line="276" w:lineRule="auto"/>
      </w:pPr>
      <w:r>
        <w:t>Queensland Advocacy Incorporated (</w:t>
      </w:r>
      <w:r>
        <w:rPr>
          <w:b/>
          <w:bCs/>
        </w:rPr>
        <w:t>QAI</w:t>
      </w:r>
      <w:r>
        <w:t xml:space="preserve">) is an independent, community-based advocacy organisation and community legal service that provides individual and systems advocacy for people with disability. Our mission is to advocate for the protection and advancement of the fundamental needs, </w:t>
      </w:r>
      <w:proofErr w:type="gramStart"/>
      <w:r>
        <w:t>rights</w:t>
      </w:r>
      <w:proofErr w:type="gramEnd"/>
      <w:r>
        <w:t xml:space="preserve"> and lives of people with disability in Queensland. QAI’s Management Committee is comprised of </w:t>
      </w:r>
      <w:proofErr w:type="gramStart"/>
      <w:r>
        <w:t>a majority of</w:t>
      </w:r>
      <w:proofErr w:type="gramEnd"/>
      <w:r>
        <w:t xml:space="preserve"> persons with disability, whose wisdom and lived experience is our foundation and guide. </w:t>
      </w:r>
    </w:p>
    <w:p w14:paraId="2E6513C6" w14:textId="77777777" w:rsidR="007C5403" w:rsidRDefault="007C5403" w:rsidP="00290950">
      <w:pPr>
        <w:spacing w:line="276" w:lineRule="auto"/>
      </w:pPr>
    </w:p>
    <w:p w14:paraId="54466C54" w14:textId="4F7A0305" w:rsidR="00426C33" w:rsidRPr="00132774" w:rsidRDefault="00290950" w:rsidP="001D43FA">
      <w:pPr>
        <w:tabs>
          <w:tab w:val="clear" w:pos="288"/>
        </w:tabs>
        <w:spacing w:line="276" w:lineRule="auto"/>
        <w:textAlignment w:val="baseline"/>
        <w:rPr>
          <w:rFonts w:ascii="Segoe UI" w:eastAsia="Times New Roman" w:hAnsi="Segoe UI" w:cs="Segoe UI"/>
          <w:sz w:val="18"/>
          <w:szCs w:val="18"/>
          <w:lang w:eastAsia="en-AU"/>
        </w:rPr>
      </w:pPr>
      <w:r w:rsidRPr="00151EB8">
        <w:rPr>
          <w:rFonts w:ascii="Calibri" w:eastAsia="Times New Roman" w:hAnsi="Calibri" w:cs="Calibri"/>
          <w:szCs w:val="22"/>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151EB8">
        <w:rPr>
          <w:rFonts w:ascii="Calibri" w:eastAsia="Times New Roman" w:hAnsi="Calibri" w:cs="Calibri"/>
          <w:color w:val="000000"/>
          <w:szCs w:val="22"/>
          <w:lang w:eastAsia="en-AU"/>
        </w:rPr>
        <w:t>For over a decade, QAI has provided highly in-demand individual advocacy services. These services are currently provided through our three advocacy practices: the Human Rights Advocacy Practice</w:t>
      </w:r>
      <w:r>
        <w:rPr>
          <w:rFonts w:ascii="Calibri" w:eastAsia="Times New Roman" w:hAnsi="Calibri" w:cs="Calibri"/>
          <w:color w:val="000000"/>
          <w:szCs w:val="22"/>
          <w:lang w:eastAsia="en-AU"/>
        </w:rPr>
        <w:t xml:space="preserve"> (which provides legal advocacy in the areas of guardianship and administration, disability discrimination and human rights law and non-legal advocacy support with the Disability Royal Commission and the justice interface); </w:t>
      </w:r>
      <w:r w:rsidRPr="00151EB8">
        <w:rPr>
          <w:rFonts w:ascii="Calibri" w:eastAsia="Times New Roman" w:hAnsi="Calibri" w:cs="Calibri"/>
          <w:color w:val="000000"/>
          <w:szCs w:val="22"/>
          <w:lang w:eastAsia="en-AU"/>
        </w:rPr>
        <w:t>the Mental Health Advocacy Practice (which supports people receiving involuntary treatment for mental illness); and the NDIS Advocacy Practice (which provides support for people challenging decisions of the National Disability Insurance Agency and decision support to access the NDIS). Our individual advocacy experience informs our understanding and prioritisation of systemic advocacy issues. </w:t>
      </w:r>
      <w:r>
        <w:rPr>
          <w:rFonts w:ascii="Calibri" w:eastAsia="Times New Roman" w:hAnsi="Calibri" w:cs="Calibri"/>
          <w:szCs w:val="22"/>
          <w:lang w:val="en-US" w:eastAsia="en-AU"/>
        </w:rPr>
        <w:t>From 1 January 2022, we have been funded by the Queensland Government to establish and co-ordinate the Queensland Disability Advocacy Network (QDAN), which includes operating the Disability Advocacy Pathways Hotline, a centralized phone support for all people with disability in Queensland providing information and referral. We have also been funded to provide advocacy for young people with disability as part of the QDAN network</w:t>
      </w:r>
      <w:r w:rsidRPr="0073422C">
        <w:rPr>
          <w:rFonts w:ascii="Calibri" w:eastAsia="Times New Roman" w:hAnsi="Calibri" w:cs="Calibri"/>
          <w:szCs w:val="22"/>
          <w:lang w:val="en-US" w:eastAsia="en-AU"/>
        </w:rPr>
        <w:t xml:space="preserve">, which we provide in addition to our non-legal education advocacy for Queensland students with disability. </w:t>
      </w:r>
      <w:r w:rsidRPr="0073422C">
        <w:rPr>
          <w:rFonts w:ascii="Calibri" w:eastAsia="Times New Roman" w:hAnsi="Calibri" w:cs="Calibri"/>
          <w:color w:val="000000"/>
          <w:szCs w:val="22"/>
          <w:lang w:eastAsia="en-AU"/>
        </w:rPr>
        <w:t>Our individual advocacy experience informs our understanding and prioritisation of systemic advocacy issues. </w:t>
      </w:r>
      <w:r w:rsidRPr="00151EB8">
        <w:rPr>
          <w:rFonts w:ascii="Calibri" w:eastAsia="Times New Roman" w:hAnsi="Calibri" w:cs="Calibri"/>
          <w:color w:val="000000"/>
          <w:szCs w:val="22"/>
          <w:lang w:eastAsia="en-AU"/>
        </w:rPr>
        <w:t> </w:t>
      </w:r>
    </w:p>
    <w:p w14:paraId="053E74BB" w14:textId="77777777" w:rsidR="002A15AD" w:rsidRPr="00735296" w:rsidRDefault="002A15AD" w:rsidP="00151EB8">
      <w:pPr>
        <w:tabs>
          <w:tab w:val="clear" w:pos="288"/>
        </w:tabs>
        <w:textAlignment w:val="baseline"/>
        <w:rPr>
          <w:rFonts w:ascii="Calibri" w:eastAsia="Times New Roman" w:hAnsi="Calibri" w:cs="Calibri"/>
          <w:color w:val="000000"/>
          <w:szCs w:val="22"/>
          <w:lang w:eastAsia="en-AU"/>
        </w:rPr>
      </w:pPr>
    </w:p>
    <w:p w14:paraId="14C2E0D0" w14:textId="77777777" w:rsidR="00174FAD" w:rsidRPr="003E3932" w:rsidRDefault="00174FAD" w:rsidP="005768DB">
      <w:pPr>
        <w:pStyle w:val="Heading1"/>
        <w:spacing w:before="240" w:after="120" w:line="240" w:lineRule="auto"/>
        <w:rPr>
          <w:color w:val="404040" w:themeColor="text1" w:themeTint="BF"/>
        </w:rPr>
      </w:pPr>
      <w:r w:rsidRPr="00132774">
        <w:rPr>
          <w:color w:val="404040" w:themeColor="text1" w:themeTint="BF"/>
        </w:rPr>
        <w:t>About Aboriginal &amp; Torres Strait Islander Legal Service (Qld) Ltd</w:t>
      </w:r>
      <w:r w:rsidRPr="003E3932">
        <w:rPr>
          <w:color w:val="404040" w:themeColor="text1" w:themeTint="BF"/>
        </w:rPr>
        <w:t xml:space="preserve"> </w:t>
      </w:r>
    </w:p>
    <w:p w14:paraId="39E4D6B3" w14:textId="77777777" w:rsidR="00132774" w:rsidRDefault="00132774" w:rsidP="00132774">
      <w:pPr>
        <w:spacing w:before="240" w:line="276" w:lineRule="auto"/>
        <w:rPr>
          <w:rFonts w:eastAsiaTheme="minorHAnsi"/>
          <w:szCs w:val="22"/>
          <w:lang w:eastAsia="en-AU"/>
        </w:rPr>
      </w:pPr>
      <w:r>
        <w:t>The</w:t>
      </w:r>
      <w:r>
        <w:rPr>
          <w:spacing w:val="-6"/>
        </w:rPr>
        <w:t xml:space="preserve"> </w:t>
      </w:r>
      <w:r>
        <w:t>Aboriginal</w:t>
      </w:r>
      <w:r>
        <w:rPr>
          <w:spacing w:val="-5"/>
        </w:rPr>
        <w:t xml:space="preserve"> </w:t>
      </w:r>
      <w:r>
        <w:t>and</w:t>
      </w:r>
      <w:r>
        <w:rPr>
          <w:spacing w:val="-5"/>
        </w:rPr>
        <w:t xml:space="preserve"> </w:t>
      </w:r>
      <w:r>
        <w:t>Torres</w:t>
      </w:r>
      <w:r>
        <w:rPr>
          <w:spacing w:val="-3"/>
        </w:rPr>
        <w:t xml:space="preserve"> </w:t>
      </w:r>
      <w:r>
        <w:t>Strait</w:t>
      </w:r>
      <w:r>
        <w:rPr>
          <w:spacing w:val="-4"/>
        </w:rPr>
        <w:t xml:space="preserve"> </w:t>
      </w:r>
      <w:r>
        <w:t>Islander</w:t>
      </w:r>
      <w:r>
        <w:rPr>
          <w:spacing w:val="-5"/>
        </w:rPr>
        <w:t xml:space="preserve"> </w:t>
      </w:r>
      <w:r>
        <w:t>Legal</w:t>
      </w:r>
      <w:r>
        <w:rPr>
          <w:spacing w:val="-5"/>
        </w:rPr>
        <w:t xml:space="preserve"> </w:t>
      </w:r>
      <w:r>
        <w:t>Service</w:t>
      </w:r>
      <w:r>
        <w:rPr>
          <w:spacing w:val="-3"/>
        </w:rPr>
        <w:t xml:space="preserve"> </w:t>
      </w:r>
      <w:r>
        <w:t>(Qld)</w:t>
      </w:r>
      <w:r>
        <w:rPr>
          <w:spacing w:val="-4"/>
        </w:rPr>
        <w:t xml:space="preserve"> </w:t>
      </w:r>
      <w:r>
        <w:t>Limited</w:t>
      </w:r>
      <w:r>
        <w:rPr>
          <w:spacing w:val="2"/>
        </w:rPr>
        <w:t xml:space="preserve"> </w:t>
      </w:r>
      <w:r>
        <w:t>(</w:t>
      </w:r>
      <w:r w:rsidRPr="00BC6CF7">
        <w:rPr>
          <w:b/>
          <w:bCs/>
        </w:rPr>
        <w:t>ATSILS</w:t>
      </w:r>
      <w:r>
        <w:t>),</w:t>
      </w:r>
      <w:r>
        <w:rPr>
          <w:spacing w:val="-4"/>
        </w:rPr>
        <w:t xml:space="preserve"> </w:t>
      </w:r>
      <w:r>
        <w:t>is</w:t>
      </w:r>
      <w:r>
        <w:rPr>
          <w:spacing w:val="-3"/>
        </w:rPr>
        <w:t xml:space="preserve"> </w:t>
      </w:r>
      <w:r>
        <w:t>a</w:t>
      </w:r>
      <w:r>
        <w:rPr>
          <w:spacing w:val="-5"/>
        </w:rPr>
        <w:t xml:space="preserve"> </w:t>
      </w:r>
      <w:r>
        <w:t>community-based public benevolent organisation, established to provide professional and culturally competent legal services for Aboriginal and Torres Strait Islander peoples across Queensland. The founding organisation was established in 1973. We now have 24 offices strategically located across the State. Our Vision is to be the leader of innovative and professional legal services.</w:t>
      </w:r>
      <w:r>
        <w:rPr>
          <w:spacing w:val="-15"/>
        </w:rPr>
        <w:t xml:space="preserve"> </w:t>
      </w:r>
      <w:r>
        <w:t>Our</w:t>
      </w:r>
      <w:r>
        <w:rPr>
          <w:spacing w:val="-14"/>
        </w:rPr>
        <w:t xml:space="preserve"> </w:t>
      </w:r>
      <w:r>
        <w:t>Mission</w:t>
      </w:r>
      <w:r>
        <w:rPr>
          <w:spacing w:val="-14"/>
        </w:rPr>
        <w:t xml:space="preserve"> </w:t>
      </w:r>
      <w:r>
        <w:t>is</w:t>
      </w:r>
      <w:r>
        <w:rPr>
          <w:spacing w:val="-14"/>
        </w:rPr>
        <w:t xml:space="preserve"> </w:t>
      </w:r>
      <w:r>
        <w:t>to</w:t>
      </w:r>
      <w:r>
        <w:rPr>
          <w:spacing w:val="-14"/>
        </w:rPr>
        <w:t xml:space="preserve"> </w:t>
      </w:r>
      <w:r>
        <w:t>deliver</w:t>
      </w:r>
      <w:r>
        <w:rPr>
          <w:spacing w:val="-15"/>
        </w:rPr>
        <w:t xml:space="preserve"> </w:t>
      </w:r>
      <w:r>
        <w:t>quality</w:t>
      </w:r>
      <w:r>
        <w:rPr>
          <w:spacing w:val="-15"/>
        </w:rPr>
        <w:t xml:space="preserve"> </w:t>
      </w:r>
      <w:r>
        <w:t>legal</w:t>
      </w:r>
      <w:r>
        <w:rPr>
          <w:spacing w:val="-14"/>
        </w:rPr>
        <w:t xml:space="preserve"> </w:t>
      </w:r>
      <w:r>
        <w:t>assistance</w:t>
      </w:r>
      <w:r>
        <w:rPr>
          <w:spacing w:val="-14"/>
        </w:rPr>
        <w:t xml:space="preserve"> </w:t>
      </w:r>
      <w:r>
        <w:t>services,</w:t>
      </w:r>
      <w:r>
        <w:rPr>
          <w:spacing w:val="-13"/>
        </w:rPr>
        <w:t xml:space="preserve"> </w:t>
      </w:r>
      <w:r>
        <w:t>community</w:t>
      </w:r>
      <w:r>
        <w:rPr>
          <w:spacing w:val="-15"/>
        </w:rPr>
        <w:t xml:space="preserve"> </w:t>
      </w:r>
      <w:r>
        <w:t>legal</w:t>
      </w:r>
      <w:r>
        <w:rPr>
          <w:spacing w:val="-14"/>
        </w:rPr>
        <w:t xml:space="preserve"> </w:t>
      </w:r>
      <w:r>
        <w:t>education, and early intervention and prevention initiatives which uphold and advance the legal and human rights of Aboriginal and Torres Strait Islander</w:t>
      </w:r>
      <w:r>
        <w:rPr>
          <w:spacing w:val="-3"/>
        </w:rPr>
        <w:t xml:space="preserve"> </w:t>
      </w:r>
      <w:r>
        <w:t>peoples.</w:t>
      </w:r>
    </w:p>
    <w:p w14:paraId="1B0D634D" w14:textId="77777777" w:rsidR="00132774" w:rsidRDefault="00132774" w:rsidP="00132774"/>
    <w:p w14:paraId="6BA74561" w14:textId="77777777" w:rsidR="00132774" w:rsidRDefault="00132774" w:rsidP="00132774">
      <w:pPr>
        <w:spacing w:line="276" w:lineRule="auto"/>
      </w:pPr>
      <w:r>
        <w:t>ATSILS</w:t>
      </w:r>
      <w:r>
        <w:rPr>
          <w:spacing w:val="-5"/>
        </w:rPr>
        <w:t xml:space="preserve"> </w:t>
      </w:r>
      <w:r>
        <w:t>provides</w:t>
      </w:r>
      <w:r>
        <w:rPr>
          <w:spacing w:val="-4"/>
        </w:rPr>
        <w:t xml:space="preserve"> </w:t>
      </w:r>
      <w:r>
        <w:t>legal</w:t>
      </w:r>
      <w:r>
        <w:rPr>
          <w:spacing w:val="-4"/>
        </w:rPr>
        <w:t xml:space="preserve"> </w:t>
      </w:r>
      <w:r>
        <w:t>services</w:t>
      </w:r>
      <w:r>
        <w:rPr>
          <w:spacing w:val="-3"/>
        </w:rPr>
        <w:t xml:space="preserve"> </w:t>
      </w:r>
      <w:r>
        <w:t>to</w:t>
      </w:r>
      <w:r>
        <w:rPr>
          <w:spacing w:val="-4"/>
        </w:rPr>
        <w:t xml:space="preserve"> </w:t>
      </w:r>
      <w:r>
        <w:t>Aboriginal</w:t>
      </w:r>
      <w:r>
        <w:rPr>
          <w:spacing w:val="-5"/>
        </w:rPr>
        <w:t xml:space="preserve"> </w:t>
      </w:r>
      <w:r>
        <w:t>and</w:t>
      </w:r>
      <w:r>
        <w:rPr>
          <w:spacing w:val="-4"/>
        </w:rPr>
        <w:t xml:space="preserve"> </w:t>
      </w:r>
      <w:r>
        <w:t>Torres</w:t>
      </w:r>
      <w:r>
        <w:rPr>
          <w:spacing w:val="-4"/>
        </w:rPr>
        <w:t xml:space="preserve"> </w:t>
      </w:r>
      <w:r>
        <w:t>Strait</w:t>
      </w:r>
      <w:r>
        <w:rPr>
          <w:spacing w:val="-4"/>
        </w:rPr>
        <w:t xml:space="preserve"> </w:t>
      </w:r>
      <w:r>
        <w:t>Islander</w:t>
      </w:r>
      <w:r>
        <w:rPr>
          <w:spacing w:val="-4"/>
        </w:rPr>
        <w:t xml:space="preserve"> </w:t>
      </w:r>
      <w:r>
        <w:t>peoples</w:t>
      </w:r>
      <w:r>
        <w:rPr>
          <w:spacing w:val="-3"/>
        </w:rPr>
        <w:t xml:space="preserve"> </w:t>
      </w:r>
      <w:r>
        <w:t>throughout</w:t>
      </w:r>
      <w:r>
        <w:rPr>
          <w:spacing w:val="-4"/>
        </w:rPr>
        <w:t xml:space="preserve"> </w:t>
      </w:r>
      <w:r>
        <w:t xml:space="preserve">Queensland. Whilst our primary role is to provide criminal, </w:t>
      </w:r>
      <w:proofErr w:type="gramStart"/>
      <w:r>
        <w:t>civil</w:t>
      </w:r>
      <w:proofErr w:type="gramEnd"/>
      <w:r>
        <w:t xml:space="preserve"> and family law representation,</w:t>
      </w:r>
      <w:r>
        <w:rPr>
          <w:spacing w:val="-12"/>
        </w:rPr>
        <w:t xml:space="preserve"> </w:t>
      </w:r>
      <w:r>
        <w:t>we</w:t>
      </w:r>
      <w:r>
        <w:rPr>
          <w:spacing w:val="-11"/>
        </w:rPr>
        <w:t xml:space="preserve"> </w:t>
      </w:r>
      <w:r>
        <w:t>are</w:t>
      </w:r>
      <w:r>
        <w:rPr>
          <w:spacing w:val="-10"/>
        </w:rPr>
        <w:t xml:space="preserve"> </w:t>
      </w:r>
      <w:r>
        <w:t>also</w:t>
      </w:r>
      <w:r>
        <w:rPr>
          <w:spacing w:val="-8"/>
        </w:rPr>
        <w:t xml:space="preserve"> </w:t>
      </w:r>
      <w:r>
        <w:t>funded</w:t>
      </w:r>
      <w:r>
        <w:rPr>
          <w:spacing w:val="-10"/>
        </w:rPr>
        <w:t xml:space="preserve"> </w:t>
      </w:r>
      <w:r>
        <w:t>by</w:t>
      </w:r>
      <w:r>
        <w:rPr>
          <w:spacing w:val="-12"/>
        </w:rPr>
        <w:t xml:space="preserve"> </w:t>
      </w:r>
      <w:r>
        <w:t>the</w:t>
      </w:r>
      <w:r>
        <w:rPr>
          <w:spacing w:val="-11"/>
        </w:rPr>
        <w:t xml:space="preserve"> </w:t>
      </w:r>
      <w:r>
        <w:t>Commonwealth</w:t>
      </w:r>
      <w:r>
        <w:rPr>
          <w:spacing w:val="-10"/>
        </w:rPr>
        <w:t xml:space="preserve"> </w:t>
      </w:r>
      <w:r>
        <w:t>to</w:t>
      </w:r>
      <w:r>
        <w:rPr>
          <w:spacing w:val="-11"/>
        </w:rPr>
        <w:t xml:space="preserve"> </w:t>
      </w:r>
      <w:r>
        <w:t>perform</w:t>
      </w:r>
      <w:r>
        <w:rPr>
          <w:spacing w:val="-11"/>
        </w:rPr>
        <w:t xml:space="preserve"> </w:t>
      </w:r>
      <w:r>
        <w:t>a</w:t>
      </w:r>
      <w:r>
        <w:rPr>
          <w:spacing w:val="-11"/>
        </w:rPr>
        <w:t xml:space="preserve"> </w:t>
      </w:r>
      <w:r>
        <w:t>State-wide</w:t>
      </w:r>
      <w:r>
        <w:rPr>
          <w:spacing w:val="-12"/>
        </w:rPr>
        <w:t xml:space="preserve"> </w:t>
      </w:r>
      <w:r>
        <w:t>role</w:t>
      </w:r>
      <w:r>
        <w:rPr>
          <w:spacing w:val="-8"/>
        </w:rPr>
        <w:t xml:space="preserve"> </w:t>
      </w:r>
      <w:r>
        <w:t>in</w:t>
      </w:r>
      <w:r>
        <w:rPr>
          <w:spacing w:val="-10"/>
        </w:rPr>
        <w:t xml:space="preserve"> </w:t>
      </w:r>
      <w:r>
        <w:t>the key</w:t>
      </w:r>
      <w:r>
        <w:rPr>
          <w:spacing w:val="24"/>
        </w:rPr>
        <w:t xml:space="preserve"> </w:t>
      </w:r>
      <w:r>
        <w:t>areas</w:t>
      </w:r>
      <w:r>
        <w:rPr>
          <w:spacing w:val="21"/>
        </w:rPr>
        <w:t xml:space="preserve"> </w:t>
      </w:r>
      <w:r>
        <w:t>of</w:t>
      </w:r>
      <w:r>
        <w:rPr>
          <w:spacing w:val="23"/>
        </w:rPr>
        <w:t xml:space="preserve"> </w:t>
      </w:r>
      <w:r>
        <w:t>Community</w:t>
      </w:r>
      <w:r>
        <w:rPr>
          <w:spacing w:val="21"/>
        </w:rPr>
        <w:t xml:space="preserve"> </w:t>
      </w:r>
      <w:r>
        <w:t>Legal</w:t>
      </w:r>
      <w:r>
        <w:rPr>
          <w:spacing w:val="22"/>
        </w:rPr>
        <w:t xml:space="preserve"> </w:t>
      </w:r>
      <w:r>
        <w:t>Education,</w:t>
      </w:r>
      <w:r>
        <w:rPr>
          <w:spacing w:val="21"/>
        </w:rPr>
        <w:t xml:space="preserve"> </w:t>
      </w:r>
      <w:r>
        <w:t>and</w:t>
      </w:r>
      <w:r>
        <w:rPr>
          <w:spacing w:val="23"/>
        </w:rPr>
        <w:t xml:space="preserve"> </w:t>
      </w:r>
      <w:r>
        <w:t>Early</w:t>
      </w:r>
      <w:r>
        <w:rPr>
          <w:spacing w:val="23"/>
        </w:rPr>
        <w:t xml:space="preserve"> </w:t>
      </w:r>
      <w:r>
        <w:t>Intervention</w:t>
      </w:r>
      <w:r>
        <w:rPr>
          <w:spacing w:val="22"/>
        </w:rPr>
        <w:t xml:space="preserve"> </w:t>
      </w:r>
      <w:r>
        <w:t>and</w:t>
      </w:r>
      <w:r>
        <w:rPr>
          <w:spacing w:val="20"/>
        </w:rPr>
        <w:t xml:space="preserve"> </w:t>
      </w:r>
      <w:r>
        <w:t>Prevention</w:t>
      </w:r>
      <w:r>
        <w:rPr>
          <w:spacing w:val="22"/>
        </w:rPr>
        <w:t xml:space="preserve"> </w:t>
      </w:r>
      <w:r>
        <w:t>initiatives (which include related law reform activities and monitoring Indigenous Australian deaths in custody). Our submissions are informed by nearly five decades of legal practice at the coalface of the justice arena and we therefore believe we are well placed to provide meaningful</w:t>
      </w:r>
      <w:r>
        <w:rPr>
          <w:spacing w:val="-10"/>
        </w:rPr>
        <w:t xml:space="preserve"> </w:t>
      </w:r>
      <w:r>
        <w:t>comment,</w:t>
      </w:r>
      <w:r>
        <w:rPr>
          <w:spacing w:val="-9"/>
        </w:rPr>
        <w:t xml:space="preserve"> </w:t>
      </w:r>
      <w:r>
        <w:t>not</w:t>
      </w:r>
      <w:r>
        <w:rPr>
          <w:spacing w:val="-8"/>
        </w:rPr>
        <w:t xml:space="preserve"> </w:t>
      </w:r>
      <w:r>
        <w:t>from</w:t>
      </w:r>
      <w:r>
        <w:rPr>
          <w:spacing w:val="-8"/>
        </w:rPr>
        <w:t xml:space="preserve"> </w:t>
      </w:r>
      <w:r>
        <w:t>a</w:t>
      </w:r>
      <w:r>
        <w:rPr>
          <w:spacing w:val="-11"/>
        </w:rPr>
        <w:t xml:space="preserve"> </w:t>
      </w:r>
      <w:r>
        <w:t>theoretical</w:t>
      </w:r>
      <w:r>
        <w:rPr>
          <w:spacing w:val="-10"/>
        </w:rPr>
        <w:t xml:space="preserve"> </w:t>
      </w:r>
      <w:r>
        <w:t>or</w:t>
      </w:r>
      <w:r>
        <w:rPr>
          <w:spacing w:val="-8"/>
        </w:rPr>
        <w:t xml:space="preserve"> </w:t>
      </w:r>
      <w:r>
        <w:t>purely</w:t>
      </w:r>
      <w:r>
        <w:rPr>
          <w:spacing w:val="-10"/>
        </w:rPr>
        <w:t xml:space="preserve"> </w:t>
      </w:r>
      <w:r>
        <w:t>academic</w:t>
      </w:r>
      <w:r>
        <w:rPr>
          <w:spacing w:val="-11"/>
        </w:rPr>
        <w:t xml:space="preserve"> </w:t>
      </w:r>
      <w:r>
        <w:t>perspective,</w:t>
      </w:r>
      <w:r>
        <w:rPr>
          <w:spacing w:val="-9"/>
        </w:rPr>
        <w:t xml:space="preserve"> </w:t>
      </w:r>
      <w:r>
        <w:t>but</w:t>
      </w:r>
      <w:r>
        <w:rPr>
          <w:spacing w:val="-9"/>
        </w:rPr>
        <w:t xml:space="preserve"> </w:t>
      </w:r>
      <w:r>
        <w:t>rather</w:t>
      </w:r>
      <w:r>
        <w:rPr>
          <w:spacing w:val="-11"/>
        </w:rPr>
        <w:t xml:space="preserve"> </w:t>
      </w:r>
      <w:r>
        <w:t>from a platform based upon actual</w:t>
      </w:r>
      <w:r>
        <w:rPr>
          <w:spacing w:val="-3"/>
        </w:rPr>
        <w:t xml:space="preserve"> </w:t>
      </w:r>
      <w:r>
        <w:t>experiences.</w:t>
      </w:r>
    </w:p>
    <w:p w14:paraId="788C8110" w14:textId="77777777" w:rsidR="00A8276E" w:rsidRDefault="00A8276E" w:rsidP="00A43805">
      <w:pPr>
        <w:rPr>
          <w:lang w:eastAsia="en-US"/>
        </w:rPr>
      </w:pPr>
    </w:p>
    <w:p w14:paraId="2741A7BC" w14:textId="7F64C4E1" w:rsidR="005768DB" w:rsidRPr="00DC168D" w:rsidRDefault="005768DB" w:rsidP="005768DB">
      <w:pPr>
        <w:pStyle w:val="Heading1"/>
        <w:spacing w:before="240" w:after="120" w:line="240" w:lineRule="auto"/>
        <w:rPr>
          <w:rFonts w:cstheme="minorHAnsi"/>
          <w:color w:val="404040" w:themeColor="text1" w:themeTint="BF"/>
        </w:rPr>
      </w:pPr>
      <w:r w:rsidRPr="00DC168D">
        <w:rPr>
          <w:rFonts w:cstheme="minorHAnsi"/>
          <w:color w:val="404040" w:themeColor="text1" w:themeTint="BF"/>
        </w:rPr>
        <w:lastRenderedPageBreak/>
        <w:t>Contents</w:t>
      </w:r>
    </w:p>
    <w:p w14:paraId="7FBFBEFF" w14:textId="77777777" w:rsidR="003B0F82" w:rsidRDefault="003B0F82" w:rsidP="00BC6CF7">
      <w:pPr>
        <w:spacing w:line="276" w:lineRule="auto"/>
        <w:rPr>
          <w:lang w:eastAsia="en-US"/>
        </w:rPr>
      </w:pPr>
    </w:p>
    <w:p w14:paraId="64BBA7EE" w14:textId="77777777" w:rsidR="00DC0666" w:rsidRDefault="00DC0666" w:rsidP="00696B3C">
      <w:pPr>
        <w:spacing w:line="276" w:lineRule="auto"/>
        <w:ind w:firstLine="426"/>
        <w:rPr>
          <w:lang w:eastAsia="en-US"/>
        </w:rPr>
      </w:pPr>
    </w:p>
    <w:p w14:paraId="1CCCAB5E" w14:textId="0D110544" w:rsidR="005768DB" w:rsidRPr="00E174E8" w:rsidRDefault="005768DB" w:rsidP="00696B3C">
      <w:pPr>
        <w:spacing w:line="276" w:lineRule="auto"/>
        <w:ind w:firstLine="426"/>
        <w:rPr>
          <w:lang w:eastAsia="en-US"/>
        </w:rPr>
      </w:pPr>
      <w:r w:rsidRPr="00E174E8">
        <w:rPr>
          <w:lang w:eastAsia="en-US"/>
        </w:rPr>
        <w:t>Why do we need an inquiry?</w:t>
      </w:r>
      <w:r w:rsidR="00F31A39">
        <w:rPr>
          <w:lang w:eastAsia="en-US"/>
        </w:rPr>
        <w:tab/>
      </w:r>
      <w:r w:rsidR="00F31A39">
        <w:rPr>
          <w:lang w:eastAsia="en-US"/>
        </w:rPr>
        <w:tab/>
      </w:r>
      <w:r w:rsidR="00F31A39">
        <w:rPr>
          <w:lang w:eastAsia="en-US"/>
        </w:rPr>
        <w:tab/>
      </w:r>
      <w:r w:rsidR="00F31A39">
        <w:rPr>
          <w:lang w:eastAsia="en-US"/>
        </w:rPr>
        <w:tab/>
      </w:r>
      <w:r w:rsidR="00F31A39">
        <w:rPr>
          <w:lang w:eastAsia="en-US"/>
        </w:rPr>
        <w:tab/>
      </w:r>
      <w:r w:rsidR="00F31A39">
        <w:rPr>
          <w:lang w:eastAsia="en-US"/>
        </w:rPr>
        <w:tab/>
        <w:t>Page</w:t>
      </w:r>
      <w:r w:rsidR="006C5DAC">
        <w:rPr>
          <w:lang w:eastAsia="en-US"/>
        </w:rPr>
        <w:tab/>
        <w:t>4</w:t>
      </w:r>
      <w:r w:rsidR="00F31A39">
        <w:rPr>
          <w:lang w:eastAsia="en-US"/>
        </w:rPr>
        <w:t xml:space="preserve"> </w:t>
      </w:r>
    </w:p>
    <w:p w14:paraId="72D70758" w14:textId="34B307CA" w:rsidR="005768DB" w:rsidRDefault="005768DB" w:rsidP="001D43FA">
      <w:pPr>
        <w:spacing w:line="276" w:lineRule="auto"/>
        <w:ind w:firstLine="426"/>
        <w:rPr>
          <w:lang w:eastAsia="en-US"/>
        </w:rPr>
      </w:pPr>
    </w:p>
    <w:p w14:paraId="23E785DB" w14:textId="68360144" w:rsidR="0080653A" w:rsidRDefault="0080653A" w:rsidP="001D43FA">
      <w:pPr>
        <w:spacing w:line="276" w:lineRule="auto"/>
        <w:ind w:firstLine="426"/>
        <w:rPr>
          <w:lang w:eastAsia="en-US"/>
        </w:rPr>
      </w:pPr>
      <w:r>
        <w:rPr>
          <w:lang w:eastAsia="en-US"/>
        </w:rPr>
        <w:t>The Human Rights Act 2019 (Qld)</w:t>
      </w:r>
      <w:r>
        <w:rPr>
          <w:lang w:eastAsia="en-US"/>
        </w:rPr>
        <w:tab/>
      </w:r>
      <w:r>
        <w:rPr>
          <w:lang w:eastAsia="en-US"/>
        </w:rPr>
        <w:tab/>
      </w:r>
      <w:r>
        <w:rPr>
          <w:lang w:eastAsia="en-US"/>
        </w:rPr>
        <w:tab/>
      </w:r>
      <w:r>
        <w:rPr>
          <w:lang w:eastAsia="en-US"/>
        </w:rPr>
        <w:tab/>
      </w:r>
      <w:r>
        <w:rPr>
          <w:lang w:eastAsia="en-US"/>
        </w:rPr>
        <w:tab/>
      </w:r>
      <w:r>
        <w:rPr>
          <w:lang w:eastAsia="en-US"/>
        </w:rPr>
        <w:tab/>
        <w:t>Page</w:t>
      </w:r>
      <w:r w:rsidR="006C5DAC">
        <w:rPr>
          <w:lang w:eastAsia="en-US"/>
        </w:rPr>
        <w:tab/>
        <w:t>7</w:t>
      </w:r>
    </w:p>
    <w:p w14:paraId="6F314C56" w14:textId="77777777" w:rsidR="00696B3C" w:rsidRPr="00E174E8" w:rsidRDefault="00696B3C" w:rsidP="001D43FA">
      <w:pPr>
        <w:spacing w:line="276" w:lineRule="auto"/>
        <w:ind w:firstLine="426"/>
        <w:rPr>
          <w:lang w:eastAsia="en-US"/>
        </w:rPr>
      </w:pPr>
    </w:p>
    <w:p w14:paraId="3E419EC6" w14:textId="51AF482C" w:rsidR="005768DB" w:rsidRPr="00E174E8" w:rsidRDefault="005768DB" w:rsidP="001D43FA">
      <w:pPr>
        <w:spacing w:line="276" w:lineRule="auto"/>
        <w:ind w:firstLine="426"/>
        <w:rPr>
          <w:lang w:eastAsia="en-US"/>
        </w:rPr>
      </w:pPr>
      <w:r w:rsidRPr="00E174E8">
        <w:rPr>
          <w:lang w:eastAsia="en-US"/>
        </w:rPr>
        <w:t>Right to Information request</w:t>
      </w:r>
      <w:r w:rsidR="00F31A39">
        <w:rPr>
          <w:lang w:eastAsia="en-US"/>
        </w:rPr>
        <w:tab/>
      </w:r>
      <w:r w:rsidR="00F31A39">
        <w:rPr>
          <w:lang w:eastAsia="en-US"/>
        </w:rPr>
        <w:tab/>
      </w:r>
      <w:r w:rsidR="00F31A39">
        <w:rPr>
          <w:lang w:eastAsia="en-US"/>
        </w:rPr>
        <w:tab/>
      </w:r>
      <w:r w:rsidR="00F31A39">
        <w:rPr>
          <w:lang w:eastAsia="en-US"/>
        </w:rPr>
        <w:tab/>
      </w:r>
      <w:r w:rsidR="00F31A39">
        <w:rPr>
          <w:lang w:eastAsia="en-US"/>
        </w:rPr>
        <w:tab/>
      </w:r>
      <w:r w:rsidR="00F31A39">
        <w:rPr>
          <w:lang w:eastAsia="en-US"/>
        </w:rPr>
        <w:tab/>
        <w:t xml:space="preserve">Page </w:t>
      </w:r>
      <w:r w:rsidR="006C5DAC">
        <w:rPr>
          <w:lang w:eastAsia="en-US"/>
        </w:rPr>
        <w:tab/>
        <w:t>8</w:t>
      </w:r>
    </w:p>
    <w:p w14:paraId="7674E9AB" w14:textId="77777777" w:rsidR="005768DB" w:rsidRPr="00E174E8" w:rsidRDefault="005768DB" w:rsidP="001D43FA">
      <w:pPr>
        <w:spacing w:line="276" w:lineRule="auto"/>
        <w:ind w:firstLine="426"/>
        <w:rPr>
          <w:lang w:eastAsia="en-US"/>
        </w:rPr>
      </w:pPr>
    </w:p>
    <w:p w14:paraId="7FC09B43" w14:textId="166E0977" w:rsidR="0080653A" w:rsidRDefault="0080653A" w:rsidP="001D43FA">
      <w:pPr>
        <w:spacing w:line="276" w:lineRule="auto"/>
        <w:ind w:firstLine="426"/>
        <w:rPr>
          <w:lang w:eastAsia="en-US"/>
        </w:rPr>
      </w:pPr>
      <w:r>
        <w:rPr>
          <w:lang w:eastAsia="en-US"/>
        </w:rPr>
        <w:t>Students with disability</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Page</w:t>
      </w:r>
      <w:r w:rsidR="006C5DAC">
        <w:rPr>
          <w:lang w:eastAsia="en-US"/>
        </w:rPr>
        <w:tab/>
        <w:t>9</w:t>
      </w:r>
    </w:p>
    <w:p w14:paraId="005AC137" w14:textId="77777777" w:rsidR="0080653A" w:rsidRDefault="0080653A" w:rsidP="001D43FA">
      <w:pPr>
        <w:spacing w:line="276" w:lineRule="auto"/>
        <w:ind w:firstLine="426"/>
        <w:rPr>
          <w:lang w:eastAsia="en-US"/>
        </w:rPr>
      </w:pPr>
    </w:p>
    <w:p w14:paraId="47353AF6" w14:textId="2F6D4FF4" w:rsidR="00D96B3C" w:rsidRDefault="00682FDB" w:rsidP="001D43FA">
      <w:pPr>
        <w:spacing w:line="276" w:lineRule="auto"/>
        <w:ind w:firstLine="426"/>
        <w:rPr>
          <w:lang w:eastAsia="en-US"/>
        </w:rPr>
      </w:pPr>
      <w:r>
        <w:rPr>
          <w:lang w:eastAsia="en-US"/>
        </w:rPr>
        <w:t>Aboriginal and Torres Strait Islander Students</w:t>
      </w:r>
      <w:r w:rsidR="00D96B3C">
        <w:rPr>
          <w:lang w:eastAsia="en-US"/>
        </w:rPr>
        <w:tab/>
      </w:r>
      <w:r w:rsidR="00D96B3C">
        <w:rPr>
          <w:lang w:eastAsia="en-US"/>
        </w:rPr>
        <w:tab/>
      </w:r>
      <w:r w:rsidR="00D96B3C">
        <w:rPr>
          <w:lang w:eastAsia="en-US"/>
        </w:rPr>
        <w:tab/>
      </w:r>
      <w:r w:rsidR="00D96B3C">
        <w:rPr>
          <w:lang w:eastAsia="en-US"/>
        </w:rPr>
        <w:tab/>
        <w:t>Page</w:t>
      </w:r>
      <w:r w:rsidR="006C5DAC">
        <w:rPr>
          <w:lang w:eastAsia="en-US"/>
        </w:rPr>
        <w:tab/>
        <w:t>1</w:t>
      </w:r>
      <w:r w:rsidR="00B857AD">
        <w:rPr>
          <w:lang w:eastAsia="en-US"/>
        </w:rPr>
        <w:t>1</w:t>
      </w:r>
    </w:p>
    <w:p w14:paraId="5A51EC40" w14:textId="77777777" w:rsidR="00D96B3C" w:rsidRDefault="00D96B3C" w:rsidP="001D43FA">
      <w:pPr>
        <w:spacing w:line="276" w:lineRule="auto"/>
        <w:ind w:firstLine="426"/>
        <w:rPr>
          <w:lang w:eastAsia="en-US"/>
        </w:rPr>
      </w:pPr>
    </w:p>
    <w:p w14:paraId="25B77FA3" w14:textId="31350AEB" w:rsidR="00FF28D3" w:rsidRDefault="00FF28D3" w:rsidP="001D43FA">
      <w:pPr>
        <w:spacing w:line="276" w:lineRule="auto"/>
        <w:ind w:firstLine="426"/>
        <w:rPr>
          <w:lang w:eastAsia="en-US"/>
        </w:rPr>
      </w:pPr>
      <w:r w:rsidRPr="00E174E8">
        <w:rPr>
          <w:lang w:eastAsia="en-US"/>
        </w:rPr>
        <w:t>Appeals and review processes</w:t>
      </w:r>
      <w:r>
        <w:rPr>
          <w:lang w:eastAsia="en-US"/>
        </w:rPr>
        <w:tab/>
      </w:r>
      <w:r>
        <w:rPr>
          <w:lang w:eastAsia="en-US"/>
        </w:rPr>
        <w:tab/>
      </w:r>
      <w:r>
        <w:rPr>
          <w:lang w:eastAsia="en-US"/>
        </w:rPr>
        <w:tab/>
      </w:r>
      <w:r>
        <w:rPr>
          <w:lang w:eastAsia="en-US"/>
        </w:rPr>
        <w:tab/>
      </w:r>
      <w:r>
        <w:rPr>
          <w:lang w:eastAsia="en-US"/>
        </w:rPr>
        <w:tab/>
      </w:r>
      <w:r>
        <w:rPr>
          <w:lang w:eastAsia="en-US"/>
        </w:rPr>
        <w:tab/>
        <w:t>Page</w:t>
      </w:r>
      <w:r w:rsidR="006C5DAC">
        <w:rPr>
          <w:lang w:eastAsia="en-US"/>
        </w:rPr>
        <w:tab/>
        <w:t>12</w:t>
      </w:r>
    </w:p>
    <w:p w14:paraId="54CEA5B7" w14:textId="3C7A6879" w:rsidR="00FF28D3" w:rsidRDefault="00FF28D3" w:rsidP="0080653A">
      <w:pPr>
        <w:spacing w:line="276" w:lineRule="auto"/>
        <w:rPr>
          <w:lang w:eastAsia="en-US"/>
        </w:rPr>
      </w:pPr>
    </w:p>
    <w:p w14:paraId="732645A9" w14:textId="69F439EB" w:rsidR="00C214D7" w:rsidRDefault="00C214D7" w:rsidP="00C214D7">
      <w:pPr>
        <w:spacing w:line="276" w:lineRule="auto"/>
        <w:ind w:firstLine="426"/>
        <w:rPr>
          <w:lang w:eastAsia="en-US"/>
        </w:rPr>
      </w:pPr>
      <w:r w:rsidRPr="00E174E8">
        <w:rPr>
          <w:lang w:eastAsia="en-US"/>
        </w:rPr>
        <w:t>Leg</w:t>
      </w:r>
      <w:r>
        <w:rPr>
          <w:lang w:eastAsia="en-US"/>
        </w:rPr>
        <w:t>islative and policy context</w:t>
      </w:r>
      <w:r>
        <w:rPr>
          <w:lang w:eastAsia="en-US"/>
        </w:rPr>
        <w:tab/>
      </w:r>
      <w:r>
        <w:rPr>
          <w:lang w:eastAsia="en-US"/>
        </w:rPr>
        <w:tab/>
      </w:r>
      <w:r>
        <w:rPr>
          <w:lang w:eastAsia="en-US"/>
        </w:rPr>
        <w:tab/>
      </w:r>
      <w:r>
        <w:rPr>
          <w:lang w:eastAsia="en-US"/>
        </w:rPr>
        <w:tab/>
      </w:r>
      <w:r>
        <w:rPr>
          <w:lang w:eastAsia="en-US"/>
        </w:rPr>
        <w:tab/>
      </w:r>
      <w:r>
        <w:rPr>
          <w:lang w:eastAsia="en-US"/>
        </w:rPr>
        <w:tab/>
        <w:t>Page</w:t>
      </w:r>
      <w:r w:rsidR="006C5DAC">
        <w:rPr>
          <w:lang w:eastAsia="en-US"/>
        </w:rPr>
        <w:tab/>
        <w:t>13</w:t>
      </w:r>
    </w:p>
    <w:p w14:paraId="1E3BD16C" w14:textId="77777777" w:rsidR="008B11B9" w:rsidRDefault="008B11B9" w:rsidP="001D43FA">
      <w:pPr>
        <w:spacing w:line="276" w:lineRule="auto"/>
        <w:ind w:firstLine="426"/>
        <w:rPr>
          <w:lang w:eastAsia="en-US"/>
        </w:rPr>
      </w:pPr>
    </w:p>
    <w:p w14:paraId="5BA08B56" w14:textId="2424CA63" w:rsidR="00ED5A19" w:rsidRDefault="005768DB" w:rsidP="006C5DAC">
      <w:pPr>
        <w:spacing w:line="276" w:lineRule="auto"/>
        <w:ind w:firstLine="426"/>
        <w:rPr>
          <w:lang w:eastAsia="en-US"/>
        </w:rPr>
      </w:pPr>
      <w:r w:rsidRPr="00E174E8">
        <w:rPr>
          <w:lang w:eastAsia="en-US"/>
        </w:rPr>
        <w:t>What about other states and territories?</w:t>
      </w:r>
      <w:r w:rsidR="004978C1">
        <w:rPr>
          <w:lang w:eastAsia="en-US"/>
        </w:rPr>
        <w:tab/>
      </w:r>
      <w:r w:rsidR="004978C1">
        <w:rPr>
          <w:lang w:eastAsia="en-US"/>
        </w:rPr>
        <w:tab/>
      </w:r>
      <w:r w:rsidR="004978C1">
        <w:rPr>
          <w:lang w:eastAsia="en-US"/>
        </w:rPr>
        <w:tab/>
      </w:r>
      <w:r w:rsidR="004978C1">
        <w:rPr>
          <w:lang w:eastAsia="en-US"/>
        </w:rPr>
        <w:tab/>
      </w:r>
      <w:r w:rsidR="004978C1">
        <w:rPr>
          <w:lang w:eastAsia="en-US"/>
        </w:rPr>
        <w:tab/>
        <w:t xml:space="preserve">Page </w:t>
      </w:r>
      <w:r w:rsidR="006C5DAC">
        <w:rPr>
          <w:lang w:eastAsia="en-US"/>
        </w:rPr>
        <w:tab/>
        <w:t>15</w:t>
      </w:r>
    </w:p>
    <w:p w14:paraId="035738E2" w14:textId="77777777" w:rsidR="001A02CF" w:rsidRDefault="001A02CF" w:rsidP="001D43FA">
      <w:pPr>
        <w:spacing w:line="276" w:lineRule="auto"/>
        <w:ind w:firstLine="426"/>
        <w:rPr>
          <w:lang w:eastAsia="en-US"/>
        </w:rPr>
      </w:pPr>
    </w:p>
    <w:p w14:paraId="689328B4" w14:textId="0362C2DE" w:rsidR="00E174E8" w:rsidRDefault="005768DB" w:rsidP="001D43FA">
      <w:pPr>
        <w:spacing w:line="276" w:lineRule="auto"/>
        <w:ind w:firstLine="426"/>
        <w:rPr>
          <w:lang w:eastAsia="en-US"/>
        </w:rPr>
      </w:pPr>
      <w:r w:rsidRPr="00E174E8">
        <w:rPr>
          <w:lang w:eastAsia="en-US"/>
        </w:rPr>
        <w:t>What needs to happen</w:t>
      </w:r>
      <w:r w:rsidR="004978C1">
        <w:rPr>
          <w:lang w:eastAsia="en-US"/>
        </w:rPr>
        <w:tab/>
      </w:r>
      <w:r w:rsidR="004978C1">
        <w:rPr>
          <w:lang w:eastAsia="en-US"/>
        </w:rPr>
        <w:tab/>
      </w:r>
      <w:r w:rsidR="004978C1">
        <w:rPr>
          <w:lang w:eastAsia="en-US"/>
        </w:rPr>
        <w:tab/>
      </w:r>
      <w:r w:rsidR="004978C1">
        <w:rPr>
          <w:lang w:eastAsia="en-US"/>
        </w:rPr>
        <w:tab/>
      </w:r>
      <w:r w:rsidR="004978C1">
        <w:rPr>
          <w:lang w:eastAsia="en-US"/>
        </w:rPr>
        <w:tab/>
      </w:r>
      <w:r w:rsidR="004978C1">
        <w:rPr>
          <w:lang w:eastAsia="en-US"/>
        </w:rPr>
        <w:tab/>
      </w:r>
      <w:r w:rsidR="004978C1">
        <w:rPr>
          <w:lang w:eastAsia="en-US"/>
        </w:rPr>
        <w:tab/>
        <w:t>Page</w:t>
      </w:r>
      <w:r w:rsidR="006C5DAC">
        <w:rPr>
          <w:lang w:eastAsia="en-US"/>
        </w:rPr>
        <w:tab/>
        <w:t>17</w:t>
      </w:r>
    </w:p>
    <w:p w14:paraId="1ACAE701" w14:textId="77777777" w:rsidR="000A1261" w:rsidRDefault="000A1261" w:rsidP="001D43FA">
      <w:pPr>
        <w:spacing w:line="276" w:lineRule="auto"/>
        <w:ind w:firstLine="426"/>
        <w:rPr>
          <w:lang w:eastAsia="en-US"/>
        </w:rPr>
      </w:pPr>
    </w:p>
    <w:p w14:paraId="0763ACB6" w14:textId="61A82D48" w:rsidR="000A1261" w:rsidRPr="00E174E8" w:rsidRDefault="000A1261" w:rsidP="001D43FA">
      <w:pPr>
        <w:spacing w:line="276" w:lineRule="auto"/>
        <w:ind w:firstLine="426"/>
        <w:rPr>
          <w:lang w:eastAsia="en-US"/>
        </w:rPr>
      </w:pPr>
      <w:r>
        <w:rPr>
          <w:lang w:eastAsia="en-US"/>
        </w:rPr>
        <w:t>Suggested focus of an inquiry</w:t>
      </w:r>
      <w:r>
        <w:rPr>
          <w:lang w:eastAsia="en-US"/>
        </w:rPr>
        <w:tab/>
      </w:r>
      <w:r>
        <w:rPr>
          <w:lang w:eastAsia="en-US"/>
        </w:rPr>
        <w:tab/>
      </w:r>
      <w:r>
        <w:rPr>
          <w:lang w:eastAsia="en-US"/>
        </w:rPr>
        <w:tab/>
      </w:r>
      <w:r>
        <w:rPr>
          <w:lang w:eastAsia="en-US"/>
        </w:rPr>
        <w:tab/>
      </w:r>
      <w:r>
        <w:rPr>
          <w:lang w:eastAsia="en-US"/>
        </w:rPr>
        <w:tab/>
      </w:r>
      <w:r>
        <w:rPr>
          <w:lang w:eastAsia="en-US"/>
        </w:rPr>
        <w:tab/>
        <w:t>Page</w:t>
      </w:r>
      <w:r w:rsidR="006C5DAC">
        <w:rPr>
          <w:lang w:eastAsia="en-US"/>
        </w:rPr>
        <w:tab/>
        <w:t>18</w:t>
      </w:r>
    </w:p>
    <w:p w14:paraId="708D79CC" w14:textId="77777777" w:rsidR="005768DB" w:rsidRPr="00E174E8" w:rsidRDefault="005768DB" w:rsidP="001D43FA">
      <w:pPr>
        <w:spacing w:line="276" w:lineRule="auto"/>
        <w:ind w:firstLine="426"/>
        <w:rPr>
          <w:lang w:eastAsia="en-US"/>
        </w:rPr>
      </w:pPr>
    </w:p>
    <w:p w14:paraId="7E868356" w14:textId="053000E4" w:rsidR="005768DB" w:rsidRDefault="005768DB" w:rsidP="001D43FA">
      <w:pPr>
        <w:spacing w:line="276" w:lineRule="auto"/>
        <w:ind w:firstLine="426"/>
        <w:rPr>
          <w:lang w:eastAsia="en-US"/>
        </w:rPr>
      </w:pPr>
      <w:r w:rsidRPr="00E174E8">
        <w:rPr>
          <w:lang w:eastAsia="en-US"/>
        </w:rPr>
        <w:t>Conclusion</w:t>
      </w:r>
      <w:r w:rsidR="004978C1">
        <w:rPr>
          <w:lang w:eastAsia="en-US"/>
        </w:rPr>
        <w:tab/>
      </w:r>
      <w:r w:rsidR="004978C1">
        <w:rPr>
          <w:lang w:eastAsia="en-US"/>
        </w:rPr>
        <w:tab/>
      </w:r>
      <w:r w:rsidR="004978C1">
        <w:rPr>
          <w:lang w:eastAsia="en-US"/>
        </w:rPr>
        <w:tab/>
      </w:r>
      <w:r w:rsidR="004978C1">
        <w:rPr>
          <w:lang w:eastAsia="en-US"/>
        </w:rPr>
        <w:tab/>
      </w:r>
      <w:r w:rsidR="004978C1">
        <w:rPr>
          <w:lang w:eastAsia="en-US"/>
        </w:rPr>
        <w:tab/>
      </w:r>
      <w:r w:rsidR="004978C1">
        <w:rPr>
          <w:lang w:eastAsia="en-US"/>
        </w:rPr>
        <w:tab/>
      </w:r>
      <w:r w:rsidR="004978C1">
        <w:rPr>
          <w:lang w:eastAsia="en-US"/>
        </w:rPr>
        <w:tab/>
      </w:r>
      <w:r w:rsidR="004978C1">
        <w:rPr>
          <w:lang w:eastAsia="en-US"/>
        </w:rPr>
        <w:tab/>
      </w:r>
      <w:r w:rsidR="004978C1">
        <w:rPr>
          <w:lang w:eastAsia="en-US"/>
        </w:rPr>
        <w:tab/>
        <w:t>Page</w:t>
      </w:r>
      <w:r w:rsidR="006C5DAC">
        <w:rPr>
          <w:lang w:eastAsia="en-US"/>
        </w:rPr>
        <w:tab/>
        <w:t>19</w:t>
      </w:r>
    </w:p>
    <w:p w14:paraId="53A43479" w14:textId="77777777" w:rsidR="00FC23B0" w:rsidRDefault="00FC23B0" w:rsidP="001D43FA">
      <w:pPr>
        <w:spacing w:line="276" w:lineRule="auto"/>
        <w:ind w:firstLine="426"/>
        <w:rPr>
          <w:lang w:eastAsia="en-US"/>
        </w:rPr>
      </w:pPr>
    </w:p>
    <w:p w14:paraId="3FC33502" w14:textId="3061510D" w:rsidR="00FC23B0" w:rsidRDefault="00FC23B0" w:rsidP="001D43FA">
      <w:pPr>
        <w:spacing w:line="276" w:lineRule="auto"/>
        <w:ind w:firstLine="426"/>
        <w:rPr>
          <w:lang w:eastAsia="en-US"/>
        </w:rPr>
      </w:pPr>
      <w:r>
        <w:rPr>
          <w:lang w:eastAsia="en-US"/>
        </w:rPr>
        <w:t>Endorsements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Page</w:t>
      </w:r>
      <w:r w:rsidR="006C5DAC">
        <w:rPr>
          <w:lang w:eastAsia="en-US"/>
        </w:rPr>
        <w:tab/>
        <w:t>19</w:t>
      </w:r>
    </w:p>
    <w:p w14:paraId="2BA365B1" w14:textId="77777777" w:rsidR="007E1F04" w:rsidRDefault="007E1F04" w:rsidP="001D43FA">
      <w:pPr>
        <w:spacing w:line="276" w:lineRule="auto"/>
        <w:ind w:firstLine="426"/>
        <w:rPr>
          <w:lang w:eastAsia="en-US"/>
        </w:rPr>
      </w:pPr>
    </w:p>
    <w:p w14:paraId="289830AD" w14:textId="02095277" w:rsidR="007E1F04" w:rsidRDefault="007E1F04" w:rsidP="001D43FA">
      <w:pPr>
        <w:spacing w:line="276" w:lineRule="auto"/>
        <w:ind w:firstLine="426"/>
        <w:rPr>
          <w:lang w:eastAsia="en-US"/>
        </w:rPr>
      </w:pPr>
      <w:r>
        <w:rPr>
          <w:lang w:eastAsia="en-US"/>
        </w:rPr>
        <w:t>References</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Page</w:t>
      </w:r>
      <w:r w:rsidR="006C5DAC">
        <w:rPr>
          <w:lang w:eastAsia="en-US"/>
        </w:rPr>
        <w:tab/>
        <w:t>20</w:t>
      </w:r>
    </w:p>
    <w:p w14:paraId="51688B95" w14:textId="77777777" w:rsidR="002016E4" w:rsidRPr="00E174E8" w:rsidRDefault="002016E4" w:rsidP="005768DB">
      <w:pPr>
        <w:ind w:firstLine="426"/>
        <w:rPr>
          <w:lang w:eastAsia="en-US"/>
        </w:rPr>
      </w:pPr>
    </w:p>
    <w:p w14:paraId="56FD5381" w14:textId="4F794E82" w:rsidR="002A15AD" w:rsidRDefault="002A15AD" w:rsidP="002A15AD">
      <w:pPr>
        <w:rPr>
          <w:lang w:eastAsia="en-US"/>
        </w:rPr>
      </w:pPr>
    </w:p>
    <w:p w14:paraId="151C4987" w14:textId="105D7CD9" w:rsidR="001D43FA" w:rsidRDefault="001D43FA" w:rsidP="00F85013">
      <w:pPr>
        <w:pStyle w:val="Heading1"/>
        <w:rPr>
          <w:color w:val="FF0000"/>
        </w:rPr>
      </w:pPr>
    </w:p>
    <w:p w14:paraId="70AEAF19" w14:textId="77777777" w:rsidR="006055A5" w:rsidRDefault="006055A5" w:rsidP="006055A5">
      <w:pPr>
        <w:rPr>
          <w:lang w:eastAsia="en-US"/>
        </w:rPr>
      </w:pPr>
    </w:p>
    <w:p w14:paraId="69E51A1A" w14:textId="77777777" w:rsidR="006055A5" w:rsidRDefault="006055A5" w:rsidP="006055A5">
      <w:pPr>
        <w:rPr>
          <w:lang w:eastAsia="en-US"/>
        </w:rPr>
      </w:pPr>
    </w:p>
    <w:p w14:paraId="3CB14701" w14:textId="77777777" w:rsidR="006055A5" w:rsidRDefault="006055A5" w:rsidP="006055A5">
      <w:pPr>
        <w:rPr>
          <w:lang w:eastAsia="en-US"/>
        </w:rPr>
      </w:pPr>
    </w:p>
    <w:p w14:paraId="5D04EB99" w14:textId="77777777" w:rsidR="006055A5" w:rsidRDefault="006055A5" w:rsidP="006055A5">
      <w:pPr>
        <w:rPr>
          <w:lang w:eastAsia="en-US"/>
        </w:rPr>
      </w:pPr>
    </w:p>
    <w:p w14:paraId="47CDBA37" w14:textId="77777777" w:rsidR="006055A5" w:rsidRDefault="006055A5" w:rsidP="006055A5">
      <w:pPr>
        <w:rPr>
          <w:lang w:eastAsia="en-US"/>
        </w:rPr>
      </w:pPr>
    </w:p>
    <w:p w14:paraId="1AF37C28" w14:textId="77777777" w:rsidR="006055A5" w:rsidRDefault="006055A5" w:rsidP="006055A5">
      <w:pPr>
        <w:rPr>
          <w:lang w:eastAsia="en-US"/>
        </w:rPr>
      </w:pPr>
    </w:p>
    <w:p w14:paraId="26ABA805" w14:textId="77777777" w:rsidR="006055A5" w:rsidRPr="006055A5" w:rsidRDefault="006055A5" w:rsidP="006055A5">
      <w:pPr>
        <w:rPr>
          <w:lang w:eastAsia="en-US"/>
        </w:rPr>
      </w:pPr>
    </w:p>
    <w:p w14:paraId="6D8B5038" w14:textId="5BB11E74" w:rsidR="001D43FA" w:rsidRDefault="001D43FA" w:rsidP="001D43FA">
      <w:pPr>
        <w:rPr>
          <w:lang w:eastAsia="en-US"/>
        </w:rPr>
      </w:pPr>
    </w:p>
    <w:p w14:paraId="34EA2A5F" w14:textId="16685D60" w:rsidR="00A43805" w:rsidRDefault="00A43805" w:rsidP="001D43FA">
      <w:pPr>
        <w:rPr>
          <w:lang w:eastAsia="en-US"/>
        </w:rPr>
      </w:pPr>
    </w:p>
    <w:p w14:paraId="3CD2DDB4" w14:textId="00901437" w:rsidR="00A43805" w:rsidRDefault="00A43805" w:rsidP="001D43FA">
      <w:pPr>
        <w:rPr>
          <w:lang w:eastAsia="en-US"/>
        </w:rPr>
      </w:pPr>
    </w:p>
    <w:p w14:paraId="326442F2" w14:textId="4B6903E6" w:rsidR="00A43805" w:rsidRDefault="00A43805" w:rsidP="001D43FA">
      <w:pPr>
        <w:rPr>
          <w:lang w:eastAsia="en-US"/>
        </w:rPr>
      </w:pPr>
    </w:p>
    <w:p w14:paraId="16C76690" w14:textId="7AB64F91" w:rsidR="00A43805" w:rsidRDefault="00A43805" w:rsidP="001D43FA">
      <w:pPr>
        <w:rPr>
          <w:lang w:eastAsia="en-US"/>
        </w:rPr>
      </w:pPr>
    </w:p>
    <w:p w14:paraId="47EFE25C" w14:textId="4F533700" w:rsidR="008C19D8" w:rsidRPr="00072671" w:rsidRDefault="00132774" w:rsidP="001D43FA">
      <w:pPr>
        <w:pStyle w:val="Heading1"/>
        <w:spacing w:before="0" w:after="120"/>
        <w:rPr>
          <w:rFonts w:cstheme="minorHAnsi"/>
          <w:color w:val="404040" w:themeColor="text1" w:themeTint="BF"/>
        </w:rPr>
      </w:pPr>
      <w:r>
        <w:rPr>
          <w:rFonts w:cstheme="minorHAnsi"/>
          <w:color w:val="404040" w:themeColor="text1" w:themeTint="BF"/>
        </w:rPr>
        <w:lastRenderedPageBreak/>
        <w:t>W</w:t>
      </w:r>
      <w:r w:rsidR="005457EB" w:rsidRPr="00072671">
        <w:rPr>
          <w:rFonts w:cstheme="minorHAnsi"/>
          <w:color w:val="404040" w:themeColor="text1" w:themeTint="BF"/>
        </w:rPr>
        <w:t xml:space="preserve">hy do we need an </w:t>
      </w:r>
      <w:bookmarkStart w:id="0" w:name="_Hlk95308422"/>
      <w:r w:rsidR="005457EB" w:rsidRPr="00072671">
        <w:rPr>
          <w:rFonts w:cstheme="minorHAnsi"/>
          <w:color w:val="404040" w:themeColor="text1" w:themeTint="BF"/>
        </w:rPr>
        <w:t>inquiry?</w:t>
      </w:r>
      <w:bookmarkEnd w:id="0"/>
    </w:p>
    <w:p w14:paraId="7264E026" w14:textId="45E4321B" w:rsidR="00860879" w:rsidRDefault="002E54FB" w:rsidP="001D43FA">
      <w:pPr>
        <w:spacing w:line="276" w:lineRule="auto"/>
      </w:pPr>
      <w:r>
        <w:t>QAI</w:t>
      </w:r>
      <w:r w:rsidR="0090393F">
        <w:t xml:space="preserve"> and</w:t>
      </w:r>
      <w:r w:rsidR="00F766A8">
        <w:t xml:space="preserve"> ATSILS </w:t>
      </w:r>
      <w:r w:rsidR="00583845">
        <w:t>are</w:t>
      </w:r>
      <w:r w:rsidR="00277F86">
        <w:t xml:space="preserve"> deeply</w:t>
      </w:r>
      <w:r w:rsidR="0063473D" w:rsidRPr="0063473D">
        <w:t xml:space="preserve"> concern</w:t>
      </w:r>
      <w:r w:rsidR="00277F86">
        <w:t>ed about</w:t>
      </w:r>
      <w:r w:rsidR="0063473D" w:rsidRPr="0063473D">
        <w:t xml:space="preserve"> the extent to which </w:t>
      </w:r>
      <w:r w:rsidR="00ED1385">
        <w:t xml:space="preserve">some </w:t>
      </w:r>
      <w:r w:rsidR="0063473D" w:rsidRPr="0063473D">
        <w:t>students, including students with disability</w:t>
      </w:r>
      <w:r w:rsidR="00275719">
        <w:t xml:space="preserve"> and Aboriginal and Torres Strait Islander students</w:t>
      </w:r>
      <w:r w:rsidR="0063473D" w:rsidRPr="0063473D">
        <w:t xml:space="preserve">, are receiving </w:t>
      </w:r>
      <w:r w:rsidR="00B62381">
        <w:t xml:space="preserve">formal </w:t>
      </w:r>
      <w:r w:rsidR="0063473D" w:rsidRPr="0063473D">
        <w:t xml:space="preserve">School Disciplinary Absences (SDAs) in Queensland state schools. SDAs include suspension, exclusion and the cancellation of enrolment following instances of behaviour that a school deems to be unacceptable in accordance with their </w:t>
      </w:r>
      <w:r w:rsidR="0063473D" w:rsidRPr="0063473D">
        <w:rPr>
          <w:i/>
          <w:iCs/>
        </w:rPr>
        <w:t>Responsible Behaviour Plan for Students</w:t>
      </w:r>
      <w:r w:rsidR="0063473D" w:rsidRPr="0063473D">
        <w:t xml:space="preserve">. </w:t>
      </w:r>
    </w:p>
    <w:p w14:paraId="601B6F1F" w14:textId="77777777" w:rsidR="008E4D4D" w:rsidRDefault="008E4D4D" w:rsidP="001D43FA">
      <w:pPr>
        <w:spacing w:line="276" w:lineRule="auto"/>
      </w:pPr>
    </w:p>
    <w:p w14:paraId="0F648DDA" w14:textId="60BB8C80" w:rsidR="0063473D" w:rsidRDefault="0063473D" w:rsidP="001D43FA">
      <w:pPr>
        <w:spacing w:line="276" w:lineRule="auto"/>
      </w:pPr>
      <w:r w:rsidRPr="0063473D">
        <w:t>Despite exclusions and suspensions purportedly being ‘a last resort’ measure</w:t>
      </w:r>
      <w:r w:rsidRPr="0063473D">
        <w:rPr>
          <w:vertAlign w:val="superscript"/>
        </w:rPr>
        <w:footnoteReference w:id="2"/>
      </w:r>
      <w:r w:rsidRPr="0063473D">
        <w:t xml:space="preserve"> and the growing body of evidence supporting the use of effective behaviour management strategies to address challenging behaviour, </w:t>
      </w:r>
      <w:r w:rsidR="00C74760">
        <w:t>QAI and ATSILS understand t</w:t>
      </w:r>
      <w:r w:rsidRPr="0063473D">
        <w:t>he following:</w:t>
      </w:r>
    </w:p>
    <w:p w14:paraId="53291024" w14:textId="77777777" w:rsidR="0063473D" w:rsidRPr="0063473D" w:rsidRDefault="0063473D" w:rsidP="001D43FA">
      <w:pPr>
        <w:spacing w:line="276" w:lineRule="auto"/>
      </w:pPr>
    </w:p>
    <w:p w14:paraId="1FA2AAB5" w14:textId="5EF4E861" w:rsidR="0063473D" w:rsidRPr="0063473D" w:rsidRDefault="001C455B" w:rsidP="001D43FA">
      <w:pPr>
        <w:numPr>
          <w:ilvl w:val="0"/>
          <w:numId w:val="2"/>
        </w:numPr>
        <w:spacing w:line="276" w:lineRule="auto"/>
      </w:pPr>
      <w:r>
        <w:t>S</w:t>
      </w:r>
      <w:r w:rsidR="0063473D" w:rsidRPr="0063473D">
        <w:t xml:space="preserve">ince 2011, the total use of SDAs in Queensland </w:t>
      </w:r>
      <w:r w:rsidR="002E4CA5">
        <w:t>ha</w:t>
      </w:r>
      <w:r w:rsidR="00BF410F">
        <w:t>s</w:t>
      </w:r>
      <w:r w:rsidR="002E4CA5">
        <w:t xml:space="preserve"> </w:t>
      </w:r>
      <w:r w:rsidR="0063473D" w:rsidRPr="0063473D">
        <w:t>increased;</w:t>
      </w:r>
      <w:r w:rsidR="0063473D" w:rsidRPr="0063473D">
        <w:rPr>
          <w:vertAlign w:val="superscript"/>
        </w:rPr>
        <w:footnoteReference w:id="3"/>
      </w:r>
    </w:p>
    <w:p w14:paraId="3E7B924F" w14:textId="0B1EA8C1" w:rsidR="0063473D" w:rsidRPr="0063473D" w:rsidRDefault="0063473D" w:rsidP="001D43FA">
      <w:pPr>
        <w:numPr>
          <w:ilvl w:val="0"/>
          <w:numId w:val="2"/>
        </w:numPr>
        <w:spacing w:line="276" w:lineRule="auto"/>
      </w:pPr>
      <w:r w:rsidRPr="0063473D">
        <w:t>Between 2015-2018, the total number of short-term suspensions, long-term suspensions, and exclusions in Queensland state schools increased with each year. Despite the number of school enrolments also increasing, the rise in SDAs does not necessarily corre</w:t>
      </w:r>
      <w:r w:rsidR="00D22C72">
        <w:t>spond</w:t>
      </w:r>
      <w:r w:rsidR="004525EC">
        <w:t xml:space="preserve"> with</w:t>
      </w:r>
      <w:r w:rsidRPr="0063473D">
        <w:t xml:space="preserve"> the increase in school enrolments. As the Department states, ‘the number of SDAs is not the number of students who received an SDA’</w:t>
      </w:r>
      <w:r w:rsidR="00C65019">
        <w:t>;</w:t>
      </w:r>
      <w:r w:rsidRPr="0063473D">
        <w:rPr>
          <w:vertAlign w:val="superscript"/>
        </w:rPr>
        <w:footnoteReference w:id="4"/>
      </w:r>
      <w:r w:rsidRPr="0063473D">
        <w:t xml:space="preserve"> </w:t>
      </w:r>
    </w:p>
    <w:p w14:paraId="25A8AF27" w14:textId="77777777" w:rsidR="0063473D" w:rsidRPr="0063473D" w:rsidRDefault="0063473D" w:rsidP="001D43FA">
      <w:pPr>
        <w:numPr>
          <w:ilvl w:val="0"/>
          <w:numId w:val="2"/>
        </w:numPr>
        <w:spacing w:line="276" w:lineRule="auto"/>
      </w:pPr>
      <w:r w:rsidRPr="0063473D">
        <w:t>There is considerable variability in the use of SDAs. Whilst some schools report zero or very few SDAs, some schools have very high numbers of SDAs. Some schools with consistent enrolment numbers have also seen an increase in the use of SDAs;</w:t>
      </w:r>
      <w:r w:rsidRPr="0063473D">
        <w:rPr>
          <w:vertAlign w:val="superscript"/>
        </w:rPr>
        <w:footnoteReference w:id="5"/>
      </w:r>
      <w:r w:rsidRPr="0063473D">
        <w:t xml:space="preserve"> </w:t>
      </w:r>
    </w:p>
    <w:p w14:paraId="53542576" w14:textId="5C4EA643" w:rsidR="0063473D" w:rsidRPr="0063473D" w:rsidRDefault="0063473D" w:rsidP="001D43FA">
      <w:pPr>
        <w:numPr>
          <w:ilvl w:val="0"/>
          <w:numId w:val="2"/>
        </w:numPr>
        <w:spacing w:line="276" w:lineRule="auto"/>
      </w:pPr>
      <w:r w:rsidRPr="0063473D">
        <w:t xml:space="preserve">Available data does not report the </w:t>
      </w:r>
      <w:r w:rsidR="007D0AFF">
        <w:t>escalated</w:t>
      </w:r>
      <w:r w:rsidRPr="0063473D">
        <w:t xml:space="preserve"> use of short-term suspensions (which means that the use of repeated, or rolling, short-term suspensions is not captured or transparent);</w:t>
      </w:r>
    </w:p>
    <w:p w14:paraId="5E2E05D8" w14:textId="77777777" w:rsidR="0063473D" w:rsidRPr="0063473D" w:rsidRDefault="0063473D" w:rsidP="001D43FA">
      <w:pPr>
        <w:numPr>
          <w:ilvl w:val="0"/>
          <w:numId w:val="2"/>
        </w:numPr>
        <w:spacing w:line="276" w:lineRule="auto"/>
      </w:pPr>
      <w:r w:rsidRPr="0063473D">
        <w:t>Children residing in out-of-home care are four times more likely to experience SDAs than children not residing in out-of-home care;</w:t>
      </w:r>
      <w:r w:rsidRPr="0063473D">
        <w:rPr>
          <w:vertAlign w:val="superscript"/>
        </w:rPr>
        <w:footnoteReference w:id="6"/>
      </w:r>
    </w:p>
    <w:p w14:paraId="26A3117A" w14:textId="77777777" w:rsidR="0063473D" w:rsidRPr="0063473D" w:rsidRDefault="0063473D" w:rsidP="001D43FA">
      <w:pPr>
        <w:numPr>
          <w:ilvl w:val="0"/>
          <w:numId w:val="2"/>
        </w:numPr>
        <w:spacing w:line="276" w:lineRule="auto"/>
      </w:pPr>
      <w:r w:rsidRPr="0063473D">
        <w:t>Between 2015-2019, students identifying as Indigenous received approximately one quarter of all recorded SDAs,</w:t>
      </w:r>
      <w:r w:rsidRPr="0063473D">
        <w:rPr>
          <w:vertAlign w:val="superscript"/>
        </w:rPr>
        <w:footnoteReference w:id="7"/>
      </w:r>
      <w:r w:rsidRPr="0063473D">
        <w:t xml:space="preserve"> despite only representing 10.6% of all Queensland full-time state school enrolments in August 2020;</w:t>
      </w:r>
      <w:r w:rsidRPr="0063473D">
        <w:rPr>
          <w:vertAlign w:val="superscript"/>
        </w:rPr>
        <w:footnoteReference w:id="8"/>
      </w:r>
      <w:r w:rsidRPr="0063473D">
        <w:t xml:space="preserve"> </w:t>
      </w:r>
    </w:p>
    <w:p w14:paraId="58E23F46" w14:textId="77777777" w:rsidR="0063473D" w:rsidRPr="0063473D" w:rsidRDefault="0063473D" w:rsidP="001D43FA">
      <w:pPr>
        <w:numPr>
          <w:ilvl w:val="0"/>
          <w:numId w:val="2"/>
        </w:numPr>
        <w:spacing w:line="276" w:lineRule="auto"/>
      </w:pPr>
      <w:r w:rsidRPr="0063473D">
        <w:t>The use of SDAs is much higher in secondary schools and is consistently higher for students with an EAP (Education Adjustment Program) recognised disability;</w:t>
      </w:r>
      <w:r w:rsidRPr="0063473D">
        <w:rPr>
          <w:vertAlign w:val="superscript"/>
        </w:rPr>
        <w:footnoteReference w:id="9"/>
      </w:r>
      <w:r w:rsidRPr="0063473D">
        <w:t xml:space="preserve"> </w:t>
      </w:r>
    </w:p>
    <w:p w14:paraId="53123C40" w14:textId="26FBB5A9" w:rsidR="00CB74F7" w:rsidRDefault="0063473D" w:rsidP="001D43FA">
      <w:pPr>
        <w:numPr>
          <w:ilvl w:val="0"/>
          <w:numId w:val="2"/>
        </w:numPr>
        <w:spacing w:line="276" w:lineRule="auto"/>
      </w:pPr>
      <w:r w:rsidRPr="0063473D">
        <w:t>The average use of SDAs among students with disability in Queensland has been consistently growing since 2011;</w:t>
      </w:r>
      <w:r w:rsidRPr="0063473D">
        <w:rPr>
          <w:vertAlign w:val="superscript"/>
        </w:rPr>
        <w:footnoteReference w:id="10"/>
      </w:r>
      <w:r w:rsidRPr="0063473D">
        <w:t xml:space="preserve"> </w:t>
      </w:r>
    </w:p>
    <w:p w14:paraId="11157063" w14:textId="783E2DBE" w:rsidR="009F6B82" w:rsidRDefault="00EA69ED" w:rsidP="00EA69ED">
      <w:pPr>
        <w:tabs>
          <w:tab w:val="clear" w:pos="288"/>
        </w:tabs>
        <w:spacing w:before="240" w:after="240" w:line="276" w:lineRule="auto"/>
        <w:rPr>
          <w:rFonts w:cs="Arial"/>
        </w:rPr>
      </w:pPr>
      <w:r>
        <w:rPr>
          <w:rFonts w:cs="Arial"/>
        </w:rPr>
        <w:lastRenderedPageBreak/>
        <w:t xml:space="preserve">We know that </w:t>
      </w:r>
      <w:r w:rsidR="00CB0277">
        <w:rPr>
          <w:rFonts w:cs="Arial"/>
        </w:rPr>
        <w:t>i</w:t>
      </w:r>
      <w:r w:rsidR="00CB0277">
        <w:t>nformal</w:t>
      </w:r>
      <w:r w:rsidR="009F6B82">
        <w:t xml:space="preserve"> exclusions can progress to longer, more formal absences. An informal exclusion may occur when a teacher phones a student’s parent and requests that they take their child home. As removing a child from school fails to address the underlying issue resulting in the behaviour of concern, these informal exclusions tend to happen again. Before long, the student receives a suspension, perhaps initially short-term and then long-term, and subsequently experiences more severe suspensions and exclusions over time.</w:t>
      </w:r>
      <w:r w:rsidR="009F6B82">
        <w:rPr>
          <w:rStyle w:val="FootnoteReference"/>
        </w:rPr>
        <w:footnoteReference w:id="11"/>
      </w:r>
      <w:r w:rsidR="009F6B82">
        <w:t xml:space="preserve"> </w:t>
      </w:r>
    </w:p>
    <w:p w14:paraId="0A2F5D16" w14:textId="56D079E2" w:rsidR="00EE5013" w:rsidRDefault="0072632E" w:rsidP="0071662C">
      <w:pPr>
        <w:tabs>
          <w:tab w:val="clear" w:pos="288"/>
        </w:tabs>
        <w:spacing w:before="240" w:after="240" w:line="276" w:lineRule="auto"/>
        <w:rPr>
          <w:rFonts w:cs="Arial"/>
        </w:rPr>
      </w:pPr>
      <w:r>
        <w:rPr>
          <w:rFonts w:cs="Arial"/>
        </w:rPr>
        <w:t xml:space="preserve">These figures, along with statistics obtained via a </w:t>
      </w:r>
      <w:r w:rsidRPr="00FD1F87">
        <w:rPr>
          <w:rFonts w:cs="Arial"/>
          <w:i/>
          <w:iCs/>
        </w:rPr>
        <w:t>Right to Information</w:t>
      </w:r>
      <w:r>
        <w:rPr>
          <w:rFonts w:cs="Arial"/>
        </w:rPr>
        <w:t xml:space="preserve"> request</w:t>
      </w:r>
      <w:r w:rsidR="00FD1F87">
        <w:rPr>
          <w:rFonts w:cs="Arial"/>
        </w:rPr>
        <w:t xml:space="preserve"> outlined below</w:t>
      </w:r>
      <w:r>
        <w:rPr>
          <w:rFonts w:cs="Arial"/>
        </w:rPr>
        <w:t>,</w:t>
      </w:r>
      <w:r w:rsidR="00F10705">
        <w:rPr>
          <w:rFonts w:cs="Arial"/>
        </w:rPr>
        <w:t xml:space="preserve"> show </w:t>
      </w:r>
      <w:r w:rsidR="00485379">
        <w:rPr>
          <w:rFonts w:cs="Arial"/>
        </w:rPr>
        <w:t>an</w:t>
      </w:r>
      <w:r w:rsidR="00F10705">
        <w:rPr>
          <w:rFonts w:cs="Arial"/>
        </w:rPr>
        <w:t xml:space="preserve"> unjustifiable use of SDAs beyond their intended purpose as an option of last resort</w:t>
      </w:r>
      <w:r w:rsidR="00CC7500">
        <w:rPr>
          <w:rFonts w:cs="Arial"/>
        </w:rPr>
        <w:t>, with the disproportionate rates of SDAs among students with disability and Aboriginal and Torres Strait Islander</w:t>
      </w:r>
      <w:r w:rsidR="00740B1D">
        <w:rPr>
          <w:rFonts w:cs="Arial"/>
        </w:rPr>
        <w:t xml:space="preserve"> students </w:t>
      </w:r>
      <w:r w:rsidR="007A57E5">
        <w:rPr>
          <w:rFonts w:cs="Arial"/>
        </w:rPr>
        <w:t>a</w:t>
      </w:r>
      <w:r w:rsidR="00740B1D">
        <w:rPr>
          <w:rFonts w:cs="Arial"/>
        </w:rPr>
        <w:t xml:space="preserve"> particular </w:t>
      </w:r>
      <w:r w:rsidR="00BD3CEB">
        <w:rPr>
          <w:rFonts w:cs="Arial"/>
        </w:rPr>
        <w:t xml:space="preserve">cause for </w:t>
      </w:r>
      <w:r w:rsidR="00740B1D">
        <w:rPr>
          <w:rFonts w:cs="Arial"/>
        </w:rPr>
        <w:t>concern.</w:t>
      </w:r>
      <w:r w:rsidR="001949CC" w:rsidRPr="001949CC">
        <w:rPr>
          <w:rFonts w:cs="Arial"/>
        </w:rPr>
        <w:t> </w:t>
      </w:r>
      <w:r w:rsidR="008B1751">
        <w:rPr>
          <w:rFonts w:cs="Arial"/>
        </w:rPr>
        <w:t>T</w:t>
      </w:r>
      <w:r w:rsidR="001949CC" w:rsidRPr="001949CC">
        <w:rPr>
          <w:rFonts w:cs="Arial"/>
        </w:rPr>
        <w:t xml:space="preserve">he overuse of SDAs carries </w:t>
      </w:r>
      <w:r w:rsidR="008470A9">
        <w:rPr>
          <w:rFonts w:cs="Arial"/>
        </w:rPr>
        <w:t xml:space="preserve">both </w:t>
      </w:r>
      <w:r w:rsidR="001949CC" w:rsidRPr="001949CC">
        <w:rPr>
          <w:rFonts w:cs="Arial"/>
        </w:rPr>
        <w:t>short and long</w:t>
      </w:r>
      <w:r w:rsidR="00F173E9">
        <w:rPr>
          <w:rFonts w:cs="Arial"/>
        </w:rPr>
        <w:t>-</w:t>
      </w:r>
      <w:r w:rsidR="001949CC" w:rsidRPr="001949CC">
        <w:rPr>
          <w:rFonts w:cs="Arial"/>
        </w:rPr>
        <w:t xml:space="preserve">term </w:t>
      </w:r>
      <w:r w:rsidR="00DD252D">
        <w:rPr>
          <w:rFonts w:cs="Arial"/>
        </w:rPr>
        <w:t>implication</w:t>
      </w:r>
      <w:r w:rsidR="003C7362">
        <w:rPr>
          <w:rFonts w:cs="Arial"/>
        </w:rPr>
        <w:t>s</w:t>
      </w:r>
      <w:r w:rsidR="001949CC" w:rsidRPr="001949CC">
        <w:rPr>
          <w:rFonts w:cs="Arial"/>
        </w:rPr>
        <w:t xml:space="preserve"> </w:t>
      </w:r>
      <w:r w:rsidR="00F173E9">
        <w:rPr>
          <w:rFonts w:cs="Arial"/>
        </w:rPr>
        <w:t>for</w:t>
      </w:r>
      <w:r w:rsidR="001949CC" w:rsidRPr="001949CC">
        <w:rPr>
          <w:rFonts w:cs="Arial"/>
        </w:rPr>
        <w:t xml:space="preserve"> students and their families and raise</w:t>
      </w:r>
      <w:r w:rsidR="00C40BA7">
        <w:rPr>
          <w:rFonts w:cs="Arial"/>
        </w:rPr>
        <w:t>s</w:t>
      </w:r>
      <w:r w:rsidR="001949CC" w:rsidRPr="001949CC">
        <w:rPr>
          <w:rFonts w:cs="Arial"/>
        </w:rPr>
        <w:t xml:space="preserve"> significant human rights </w:t>
      </w:r>
      <w:r w:rsidR="00635285">
        <w:rPr>
          <w:rFonts w:cs="Arial"/>
        </w:rPr>
        <w:t>question</w:t>
      </w:r>
      <w:r w:rsidR="001949CC" w:rsidRPr="001949CC">
        <w:rPr>
          <w:rFonts w:cs="Arial"/>
        </w:rPr>
        <w:t>s.  </w:t>
      </w:r>
    </w:p>
    <w:p w14:paraId="6A55F724" w14:textId="36D25048" w:rsidR="00155BC9" w:rsidRDefault="00155BC9" w:rsidP="00155BC9">
      <w:pPr>
        <w:tabs>
          <w:tab w:val="clear" w:pos="288"/>
        </w:tabs>
        <w:spacing w:before="240" w:after="240" w:line="276" w:lineRule="auto"/>
        <w:rPr>
          <w:rFonts w:cs="Arial"/>
        </w:rPr>
      </w:pPr>
      <w:r>
        <w:rPr>
          <w:rFonts w:cs="Arial"/>
        </w:rPr>
        <w:t xml:space="preserve">Under the </w:t>
      </w:r>
      <w:r w:rsidRPr="00543E3F">
        <w:rPr>
          <w:rFonts w:cs="Arial"/>
          <w:i/>
          <w:iCs/>
        </w:rPr>
        <w:t>Human Rights Act 2019</w:t>
      </w:r>
      <w:r>
        <w:rPr>
          <w:rFonts w:cs="Arial"/>
        </w:rPr>
        <w:t xml:space="preserve"> (Qld), </w:t>
      </w:r>
      <w:r w:rsidRPr="4649439E">
        <w:t>the Department</w:t>
      </w:r>
      <w:r>
        <w:t xml:space="preserve"> of Education</w:t>
      </w:r>
      <w:r w:rsidRPr="4649439E">
        <w:t xml:space="preserve"> </w:t>
      </w:r>
      <w:r w:rsidR="002558B1">
        <w:t xml:space="preserve">(the Department) </w:t>
      </w:r>
      <w:r w:rsidRPr="4649439E">
        <w:t>has a legal obligation to uphold every child’s right to access a primary and secondary education appropriate to their needs.</w:t>
      </w:r>
      <w:r w:rsidRPr="4649439E">
        <w:rPr>
          <w:rStyle w:val="FootnoteReference"/>
        </w:rPr>
        <w:footnoteReference w:id="12"/>
      </w:r>
      <w:r>
        <w:t xml:space="preserve"> However, the figures suggest limitation</w:t>
      </w:r>
      <w:r w:rsidR="00181FF3">
        <w:t>s</w:t>
      </w:r>
      <w:r>
        <w:t xml:space="preserve"> on </w:t>
      </w:r>
      <w:r w:rsidR="004A0581">
        <w:t>this right</w:t>
      </w:r>
      <w:r>
        <w:t xml:space="preserve"> that </w:t>
      </w:r>
      <w:r w:rsidR="00181FF3">
        <w:t>are</w:t>
      </w:r>
      <w:r>
        <w:t xml:space="preserve"> neither reasonable nor demonstrably justifiable. </w:t>
      </w:r>
      <w:proofErr w:type="gramStart"/>
      <w:r w:rsidR="00A23E99">
        <w:t>Indeed</w:t>
      </w:r>
      <w:proofErr w:type="gramEnd"/>
      <w:r w:rsidR="00A23E99">
        <w:t xml:space="preserve"> </w:t>
      </w:r>
      <w:r w:rsidR="00262B4E">
        <w:t>i</w:t>
      </w:r>
      <w:r>
        <w:t xml:space="preserve">n some instances, </w:t>
      </w:r>
      <w:r w:rsidR="00F31A48">
        <w:t>they indicate</w:t>
      </w:r>
      <w:r w:rsidR="005A22AA">
        <w:t xml:space="preserve"> </w:t>
      </w:r>
      <w:r>
        <w:t xml:space="preserve">an outright denial of this </w:t>
      </w:r>
      <w:r w:rsidR="003C37C9">
        <w:t xml:space="preserve">critical human </w:t>
      </w:r>
      <w:r>
        <w:t xml:space="preserve">right.  </w:t>
      </w:r>
    </w:p>
    <w:p w14:paraId="30449C83" w14:textId="14A2F102" w:rsidR="0076352F" w:rsidRDefault="00CC49CF" w:rsidP="00C41BFB">
      <w:pPr>
        <w:spacing w:after="240" w:line="276" w:lineRule="auto"/>
        <w:rPr>
          <w:rFonts w:cs="Arial"/>
        </w:rPr>
      </w:pPr>
      <w:r>
        <w:rPr>
          <w:rFonts w:cs="Arial"/>
        </w:rPr>
        <w:t xml:space="preserve">While SDAs may be appropriate in very limited circumstances, they are </w:t>
      </w:r>
      <w:r w:rsidR="00A67141">
        <w:rPr>
          <w:rFonts w:cs="Arial"/>
        </w:rPr>
        <w:t>being</w:t>
      </w:r>
      <w:r w:rsidR="0080443D">
        <w:rPr>
          <w:rFonts w:cs="Arial"/>
        </w:rPr>
        <w:t xml:space="preserve"> </w:t>
      </w:r>
      <w:r>
        <w:rPr>
          <w:rFonts w:cs="Arial"/>
        </w:rPr>
        <w:t>used more frequently than is required.</w:t>
      </w:r>
      <w:r>
        <w:rPr>
          <w:rStyle w:val="FootnoteReference"/>
          <w:rFonts w:cs="Arial"/>
        </w:rPr>
        <w:footnoteReference w:id="13"/>
      </w:r>
      <w:r>
        <w:rPr>
          <w:rFonts w:cs="Arial"/>
        </w:rPr>
        <w:t xml:space="preserve"> It might be assumed that the number of SDAs reflects the prevalence of challenging behaviour within a school, however there are numerous reasons why SDAs are used, many of which do not directly correlate to the behaviour of the student concerned.</w:t>
      </w:r>
      <w:r>
        <w:rPr>
          <w:rStyle w:val="FootnoteReference"/>
          <w:rFonts w:cs="Arial"/>
        </w:rPr>
        <w:footnoteReference w:id="14"/>
      </w:r>
      <w:r>
        <w:rPr>
          <w:rFonts w:cs="Arial"/>
        </w:rPr>
        <w:t xml:space="preserve"> For example, SDAs may be used as a ‘warning’ to other students or used as a way of removing non-compliant students during inspections by accreditation authorities.</w:t>
      </w:r>
      <w:r>
        <w:rPr>
          <w:rStyle w:val="FootnoteReference"/>
          <w:rFonts w:cs="Arial"/>
        </w:rPr>
        <w:footnoteReference w:id="15"/>
      </w:r>
      <w:r>
        <w:rPr>
          <w:rFonts w:cs="Arial"/>
        </w:rPr>
        <w:t xml:space="preserve"> </w:t>
      </w:r>
      <w:r w:rsidR="007130F9">
        <w:rPr>
          <w:rFonts w:cs="Arial"/>
        </w:rPr>
        <w:t>In these situations, th</w:t>
      </w:r>
      <w:r w:rsidR="00522002">
        <w:rPr>
          <w:rFonts w:cs="Arial"/>
        </w:rPr>
        <w:t>e limitation on a child’s right to education is</w:t>
      </w:r>
      <w:r w:rsidR="007130F9">
        <w:rPr>
          <w:rFonts w:cs="Arial"/>
        </w:rPr>
        <w:t xml:space="preserve"> neither</w:t>
      </w:r>
      <w:r w:rsidR="00CB0277">
        <w:rPr>
          <w:rFonts w:cs="Arial"/>
        </w:rPr>
        <w:t xml:space="preserve"> </w:t>
      </w:r>
      <w:r w:rsidR="007130F9">
        <w:rPr>
          <w:rFonts w:cs="Arial"/>
        </w:rPr>
        <w:t>necessary nor proportionate</w:t>
      </w:r>
      <w:r w:rsidR="00C009B3">
        <w:rPr>
          <w:rFonts w:cs="Arial"/>
        </w:rPr>
        <w:t>.</w:t>
      </w:r>
    </w:p>
    <w:p w14:paraId="3D645385" w14:textId="2A9F7637" w:rsidR="00C41BFB" w:rsidRDefault="00C41BFB" w:rsidP="00C41BFB">
      <w:pPr>
        <w:spacing w:after="240" w:line="276" w:lineRule="auto"/>
      </w:pPr>
      <w:r>
        <w:t>The figures are not simply a reflection of student behaviour. They reflect a range of systemic issues that culminate in high numbers of school disciplinary absences, such as the inability to seek a review of a suspension of up to ten school days, and the difficulties that some students with disability experience trying to get reasonable adjustments at school.</w:t>
      </w:r>
    </w:p>
    <w:p w14:paraId="0091C56D" w14:textId="168CBD3D" w:rsidR="00670CE4" w:rsidRDefault="002F41CA" w:rsidP="00B23C98">
      <w:pPr>
        <w:tabs>
          <w:tab w:val="clear" w:pos="288"/>
        </w:tabs>
        <w:spacing w:after="240" w:line="276" w:lineRule="auto"/>
        <w:rPr>
          <w:rFonts w:cs="Arial"/>
        </w:rPr>
      </w:pPr>
      <w:r w:rsidRPr="28BFB73C">
        <w:rPr>
          <w:rFonts w:cs="Arial"/>
        </w:rPr>
        <w:t>The consequences of inappropriate and excessive recourse to SDAs are profound. Students removed from educational settings through SDAs are denied access to fundamental educational materials, learning opportunities and critical chances for relationship building and skill development. Students do not always receive work to complete at home or appropriate support to continue their education.</w:t>
      </w:r>
      <w:r w:rsidR="0000388D">
        <w:rPr>
          <w:rStyle w:val="FootnoteReference"/>
          <w:rFonts w:cs="Arial"/>
        </w:rPr>
        <w:footnoteReference w:id="16"/>
      </w:r>
      <w:r w:rsidRPr="28BFB73C">
        <w:rPr>
          <w:rFonts w:cs="Arial"/>
        </w:rPr>
        <w:t xml:space="preserve"> </w:t>
      </w:r>
      <w:r w:rsidR="005A03ED">
        <w:rPr>
          <w:rFonts w:cs="Arial"/>
        </w:rPr>
        <w:t>They</w:t>
      </w:r>
      <w:r w:rsidRPr="28BFB73C">
        <w:rPr>
          <w:rFonts w:cs="Arial"/>
        </w:rPr>
        <w:t xml:space="preserve"> report feeling anxious, </w:t>
      </w:r>
      <w:r w:rsidR="009B56AD" w:rsidRPr="28BFB73C">
        <w:rPr>
          <w:rFonts w:cs="Arial"/>
        </w:rPr>
        <w:t>humiliated,</w:t>
      </w:r>
      <w:r w:rsidRPr="28BFB73C">
        <w:rPr>
          <w:rFonts w:cs="Arial"/>
        </w:rPr>
        <w:t xml:space="preserve"> and isolated from their peers, all of which then impacts their ability to successfully reintegrate back into school following their absence. Sometimes students are prevented from re-enrolling at a school following an exclusion. Attempts to enrol in other educational institutions can be futile due gatekeeping practices of some school principals, leaving the student faced with either Special Education or </w:t>
      </w:r>
      <w:r w:rsidRPr="28BFB73C">
        <w:rPr>
          <w:rFonts w:cs="Arial"/>
        </w:rPr>
        <w:lastRenderedPageBreak/>
        <w:t xml:space="preserve">home schooling and thus reinforcing the segregated model that inclusive education policies are seeking to overcome. </w:t>
      </w:r>
      <w:r w:rsidR="00872EBF">
        <w:rPr>
          <w:rFonts w:cs="Arial"/>
        </w:rPr>
        <w:t xml:space="preserve">This is particularly </w:t>
      </w:r>
      <w:r w:rsidR="005611F4">
        <w:rPr>
          <w:rFonts w:cs="Arial"/>
        </w:rPr>
        <w:t>problematic</w:t>
      </w:r>
      <w:r w:rsidR="00872EBF">
        <w:rPr>
          <w:rFonts w:cs="Arial"/>
        </w:rPr>
        <w:t xml:space="preserve"> for students in rural or remote parts of Queensland</w:t>
      </w:r>
      <w:r w:rsidR="009A068F">
        <w:rPr>
          <w:rFonts w:cs="Arial"/>
        </w:rPr>
        <w:t>,</w:t>
      </w:r>
      <w:r w:rsidR="00872EBF">
        <w:rPr>
          <w:rFonts w:cs="Arial"/>
        </w:rPr>
        <w:t xml:space="preserve"> where there </w:t>
      </w:r>
      <w:r w:rsidR="004E20E4">
        <w:rPr>
          <w:rFonts w:cs="Arial"/>
        </w:rPr>
        <w:t>are</w:t>
      </w:r>
      <w:r w:rsidR="005611F4">
        <w:rPr>
          <w:rFonts w:cs="Arial"/>
        </w:rPr>
        <w:t xml:space="preserve"> </w:t>
      </w:r>
      <w:r w:rsidR="00872EBF">
        <w:rPr>
          <w:rFonts w:cs="Arial"/>
        </w:rPr>
        <w:t xml:space="preserve">limited </w:t>
      </w:r>
      <w:r w:rsidR="005611F4">
        <w:rPr>
          <w:rFonts w:cs="Arial"/>
        </w:rPr>
        <w:t>o</w:t>
      </w:r>
      <w:r w:rsidR="002744E3">
        <w:rPr>
          <w:rFonts w:cs="Arial"/>
        </w:rPr>
        <w:t>r</w:t>
      </w:r>
      <w:r w:rsidR="005611F4">
        <w:rPr>
          <w:rFonts w:cs="Arial"/>
        </w:rPr>
        <w:t xml:space="preserve"> no </w:t>
      </w:r>
      <w:r w:rsidR="008C367E">
        <w:rPr>
          <w:rFonts w:cs="Arial"/>
        </w:rPr>
        <w:t xml:space="preserve">other </w:t>
      </w:r>
      <w:r w:rsidR="002744E3">
        <w:rPr>
          <w:rFonts w:cs="Arial"/>
        </w:rPr>
        <w:t>schools in which to enrol.</w:t>
      </w:r>
    </w:p>
    <w:p w14:paraId="1552088C" w14:textId="77777777" w:rsidR="00CC14A3" w:rsidRDefault="00CC14A3" w:rsidP="00CC14A3">
      <w:pPr>
        <w:tabs>
          <w:tab w:val="clear" w:pos="288"/>
        </w:tabs>
        <w:spacing w:after="240" w:line="276" w:lineRule="auto"/>
        <w:rPr>
          <w:rFonts w:cs="Arial"/>
        </w:rPr>
      </w:pPr>
      <w:r>
        <w:rPr>
          <w:rFonts w:cs="Arial"/>
        </w:rPr>
        <w:t>Immediate c</w:t>
      </w:r>
      <w:r w:rsidRPr="28BFB73C">
        <w:rPr>
          <w:rFonts w:cs="Arial"/>
        </w:rPr>
        <w:t xml:space="preserve">onsequences for parents can </w:t>
      </w:r>
      <w:r>
        <w:rPr>
          <w:rFonts w:cs="Arial"/>
        </w:rPr>
        <w:t xml:space="preserve">also </w:t>
      </w:r>
      <w:r w:rsidRPr="28BFB73C">
        <w:rPr>
          <w:rFonts w:cs="Arial"/>
        </w:rPr>
        <w:t>be significant, with many reporting elevated levels of psychological distress as well as financial hardship and risks to the sustainability of their employment</w:t>
      </w:r>
      <w:r>
        <w:rPr>
          <w:rFonts w:cs="Arial"/>
        </w:rPr>
        <w:t>. This occurs</w:t>
      </w:r>
      <w:r w:rsidRPr="28BFB73C">
        <w:rPr>
          <w:rFonts w:cs="Arial"/>
        </w:rPr>
        <w:t xml:space="preserve"> due to being unable to attend work and/or being forced to take leave whilst tending to their children unexpectedly. These risks are especially high for low-income or single-parent families with limited supports.</w:t>
      </w:r>
    </w:p>
    <w:p w14:paraId="09D18E10" w14:textId="72D1844A" w:rsidR="00CC14A3" w:rsidRDefault="004F2FD4" w:rsidP="00747647">
      <w:pPr>
        <w:tabs>
          <w:tab w:val="clear" w:pos="288"/>
        </w:tabs>
        <w:spacing w:after="240" w:line="276" w:lineRule="auto"/>
        <w:rPr>
          <w:rFonts w:cstheme="minorHAnsi"/>
          <w:color w:val="000000"/>
          <w:szCs w:val="22"/>
        </w:rPr>
      </w:pPr>
      <w:r w:rsidRPr="00F375C2">
        <w:rPr>
          <w:rFonts w:cstheme="minorHAnsi"/>
          <w:color w:val="000000"/>
          <w:szCs w:val="22"/>
        </w:rPr>
        <w:t xml:space="preserve">Anecdotally, there are instances where families are forced to uproot and move to a different regional centre to find better schooling for a child who is repeatedly treated unfairly and whose education is highly disrupted by the misuse of SDAs. This can have a significant impact on a single parent who </w:t>
      </w:r>
      <w:proofErr w:type="gramStart"/>
      <w:r w:rsidRPr="00F375C2">
        <w:rPr>
          <w:rFonts w:cstheme="minorHAnsi"/>
          <w:color w:val="000000"/>
          <w:szCs w:val="22"/>
        </w:rPr>
        <w:t>has to</w:t>
      </w:r>
      <w:proofErr w:type="gramEnd"/>
      <w:r w:rsidRPr="00F375C2">
        <w:rPr>
          <w:rFonts w:cstheme="minorHAnsi"/>
          <w:color w:val="000000"/>
          <w:szCs w:val="22"/>
        </w:rPr>
        <w:t xml:space="preserve"> find alternative employment and housing in a new location in order to move the child to another school. This also impacts the siblings of the affected child who must also leave their established schooling to move to the new location and new school</w:t>
      </w:r>
      <w:r w:rsidR="00CC14A3">
        <w:rPr>
          <w:rFonts w:cstheme="minorHAnsi"/>
          <w:color w:val="000000"/>
          <w:szCs w:val="22"/>
        </w:rPr>
        <w:t>.</w:t>
      </w:r>
    </w:p>
    <w:p w14:paraId="7857B5D0" w14:textId="44D497A6" w:rsidR="00516FE7" w:rsidRDefault="004C7EC5" w:rsidP="001D43FA">
      <w:pPr>
        <w:tabs>
          <w:tab w:val="clear" w:pos="288"/>
        </w:tabs>
        <w:spacing w:after="240" w:line="276" w:lineRule="auto"/>
        <w:rPr>
          <w:rFonts w:cs="Arial"/>
        </w:rPr>
      </w:pPr>
      <w:r>
        <w:rPr>
          <w:rFonts w:cs="Arial"/>
        </w:rPr>
        <w:t xml:space="preserve">The inappropriate use of SDAs has </w:t>
      </w:r>
      <w:r w:rsidR="000D163C">
        <w:rPr>
          <w:rFonts w:cs="Arial"/>
        </w:rPr>
        <w:t>widespread</w:t>
      </w:r>
      <w:r>
        <w:rPr>
          <w:rFonts w:cs="Arial"/>
        </w:rPr>
        <w:t xml:space="preserve"> consequences and </w:t>
      </w:r>
      <w:r w:rsidR="00430A85">
        <w:rPr>
          <w:rFonts w:cs="Arial"/>
        </w:rPr>
        <w:t xml:space="preserve">can result in a loss of more positive measures. </w:t>
      </w:r>
      <w:r w:rsidR="00A9613A">
        <w:rPr>
          <w:rFonts w:cs="Arial"/>
        </w:rPr>
        <w:t>For example, o</w:t>
      </w:r>
      <w:r w:rsidR="00430A85">
        <w:rPr>
          <w:rFonts w:cs="Arial"/>
        </w:rPr>
        <w:t>ther students</w:t>
      </w:r>
      <w:r w:rsidRPr="28BFB73C">
        <w:rPr>
          <w:rFonts w:cs="Arial"/>
        </w:rPr>
        <w:t xml:space="preserve"> are taught to segregate themselves from peers who exhibit challenging behaviour, rather than show understanding, empathy, and compassion for </w:t>
      </w:r>
      <w:r>
        <w:rPr>
          <w:rFonts w:cs="Arial"/>
        </w:rPr>
        <w:t>people</w:t>
      </w:r>
      <w:r w:rsidRPr="28BFB73C">
        <w:rPr>
          <w:rFonts w:cs="Arial"/>
        </w:rPr>
        <w:t xml:space="preserve"> whose behaviour is likely trying to communicate an unmet need.</w:t>
      </w:r>
      <w:r w:rsidR="00430A85">
        <w:rPr>
          <w:rFonts w:cs="Arial"/>
        </w:rPr>
        <w:t xml:space="preserve"> </w:t>
      </w:r>
      <w:r w:rsidR="00144217">
        <w:rPr>
          <w:rFonts w:cs="Arial"/>
        </w:rPr>
        <w:t>The long-term impacts of</w:t>
      </w:r>
      <w:r w:rsidR="00E20B0B">
        <w:rPr>
          <w:rFonts w:cs="Arial"/>
        </w:rPr>
        <w:t xml:space="preserve"> SDAs</w:t>
      </w:r>
      <w:r w:rsidR="00A960EF">
        <w:rPr>
          <w:rFonts w:cs="Arial"/>
        </w:rPr>
        <w:t xml:space="preserve"> can</w:t>
      </w:r>
      <w:r w:rsidR="00E20B0B">
        <w:rPr>
          <w:rFonts w:cs="Arial"/>
        </w:rPr>
        <w:t xml:space="preserve"> also</w:t>
      </w:r>
      <w:r w:rsidR="00A960EF">
        <w:rPr>
          <w:rFonts w:cs="Arial"/>
        </w:rPr>
        <w:t xml:space="preserve"> be</w:t>
      </w:r>
      <w:r w:rsidR="00E20B0B">
        <w:rPr>
          <w:rFonts w:cs="Arial"/>
        </w:rPr>
        <w:t xml:space="preserve"> </w:t>
      </w:r>
      <w:r w:rsidR="006B3AC3">
        <w:rPr>
          <w:rFonts w:cs="Arial"/>
        </w:rPr>
        <w:t>severe</w:t>
      </w:r>
      <w:r w:rsidR="00E20B0B">
        <w:rPr>
          <w:rFonts w:cs="Arial"/>
        </w:rPr>
        <w:t xml:space="preserve">. </w:t>
      </w:r>
      <w:r w:rsidR="00DB1AE7">
        <w:rPr>
          <w:rFonts w:cs="Arial"/>
        </w:rPr>
        <w:t xml:space="preserve">Research has </w:t>
      </w:r>
      <w:r w:rsidR="00E41C32">
        <w:rPr>
          <w:rFonts w:cs="Arial"/>
        </w:rPr>
        <w:t>demonstrated th</w:t>
      </w:r>
      <w:r w:rsidR="007128EF">
        <w:rPr>
          <w:rFonts w:cs="Arial"/>
        </w:rPr>
        <w:t>at students who</w:t>
      </w:r>
      <w:r w:rsidR="00A960EF">
        <w:rPr>
          <w:rFonts w:cs="Arial"/>
        </w:rPr>
        <w:t xml:space="preserve"> have received SDAs can go on to experience poorer </w:t>
      </w:r>
      <w:r w:rsidR="00E41C32">
        <w:rPr>
          <w:rFonts w:cs="Arial"/>
        </w:rPr>
        <w:t xml:space="preserve">mental health, </w:t>
      </w:r>
      <w:r w:rsidR="00337D0A">
        <w:rPr>
          <w:rFonts w:cs="Arial"/>
        </w:rPr>
        <w:t>prolong</w:t>
      </w:r>
      <w:r w:rsidR="00A960EF">
        <w:rPr>
          <w:rFonts w:cs="Arial"/>
        </w:rPr>
        <w:t>ed</w:t>
      </w:r>
      <w:r w:rsidR="00337D0A">
        <w:rPr>
          <w:rFonts w:cs="Arial"/>
        </w:rPr>
        <w:t xml:space="preserve"> unemployment, </w:t>
      </w:r>
      <w:r w:rsidR="00AE4668">
        <w:rPr>
          <w:rFonts w:cs="Arial"/>
        </w:rPr>
        <w:t>increase</w:t>
      </w:r>
      <w:r w:rsidR="00A960EF">
        <w:rPr>
          <w:rFonts w:cs="Arial"/>
        </w:rPr>
        <w:t>d</w:t>
      </w:r>
      <w:r w:rsidR="00AE4668">
        <w:rPr>
          <w:rFonts w:cs="Arial"/>
        </w:rPr>
        <w:t xml:space="preserve"> stigma and feelings of </w:t>
      </w:r>
      <w:r w:rsidR="009E0140">
        <w:rPr>
          <w:rFonts w:cs="Arial"/>
        </w:rPr>
        <w:t>rejection,</w:t>
      </w:r>
      <w:r w:rsidR="00AE4668">
        <w:rPr>
          <w:rFonts w:cs="Arial"/>
        </w:rPr>
        <w:t xml:space="preserve"> </w:t>
      </w:r>
      <w:r w:rsidR="00131C24">
        <w:rPr>
          <w:rFonts w:cs="Arial"/>
        </w:rPr>
        <w:t>increase</w:t>
      </w:r>
      <w:r w:rsidR="00EF163D">
        <w:rPr>
          <w:rFonts w:cs="Arial"/>
        </w:rPr>
        <w:t>d</w:t>
      </w:r>
      <w:r w:rsidR="00131C24">
        <w:rPr>
          <w:rFonts w:cs="Arial"/>
        </w:rPr>
        <w:t xml:space="preserve"> likelihood of</w:t>
      </w:r>
      <w:r w:rsidR="00A41139">
        <w:rPr>
          <w:rFonts w:cs="Arial"/>
        </w:rPr>
        <w:t xml:space="preserve"> becoming involved in</w:t>
      </w:r>
      <w:r w:rsidR="00AE4668">
        <w:rPr>
          <w:rFonts w:cs="Arial"/>
        </w:rPr>
        <w:t xml:space="preserve"> crime and</w:t>
      </w:r>
      <w:r w:rsidR="00EF163D">
        <w:rPr>
          <w:rFonts w:cs="Arial"/>
        </w:rPr>
        <w:t xml:space="preserve"> an</w:t>
      </w:r>
      <w:r w:rsidR="00AE4668">
        <w:rPr>
          <w:rFonts w:cs="Arial"/>
        </w:rPr>
        <w:t xml:space="preserve"> </w:t>
      </w:r>
      <w:r w:rsidR="00DA1BCD">
        <w:rPr>
          <w:rFonts w:cs="Arial"/>
        </w:rPr>
        <w:t>increase</w:t>
      </w:r>
      <w:r w:rsidR="00EF163D">
        <w:rPr>
          <w:rFonts w:cs="Arial"/>
        </w:rPr>
        <w:t>d</w:t>
      </w:r>
      <w:r w:rsidR="00DA1BCD">
        <w:rPr>
          <w:rFonts w:cs="Arial"/>
        </w:rPr>
        <w:t xml:space="preserve"> </w:t>
      </w:r>
      <w:r w:rsidR="00AE4668">
        <w:rPr>
          <w:rFonts w:cs="Arial"/>
        </w:rPr>
        <w:t>risk of homelessness.</w:t>
      </w:r>
      <w:r w:rsidR="00DA1BCD">
        <w:rPr>
          <w:rStyle w:val="FootnoteReference"/>
          <w:rFonts w:cs="Arial"/>
        </w:rPr>
        <w:footnoteReference w:id="17"/>
      </w:r>
      <w:r w:rsidR="00443F91">
        <w:rPr>
          <w:rFonts w:cs="Arial"/>
        </w:rPr>
        <w:t xml:space="preserve"> </w:t>
      </w:r>
    </w:p>
    <w:p w14:paraId="4C23BECF" w14:textId="4F1AC166" w:rsidR="007A640A" w:rsidRDefault="00A70A05" w:rsidP="001D43FA">
      <w:pPr>
        <w:spacing w:line="276" w:lineRule="auto"/>
        <w:rPr>
          <w:rFonts w:cs="Arial"/>
        </w:rPr>
      </w:pPr>
      <w:r>
        <w:rPr>
          <w:rFonts w:eastAsia="Arial" w:cs="Arial"/>
        </w:rPr>
        <w:t xml:space="preserve">QAI and ATSILS </w:t>
      </w:r>
      <w:r w:rsidR="001C015A">
        <w:rPr>
          <w:rFonts w:eastAsia="Arial" w:cs="Arial"/>
        </w:rPr>
        <w:t>note</w:t>
      </w:r>
      <w:r w:rsidR="007A640A" w:rsidRPr="00291194">
        <w:rPr>
          <w:rFonts w:eastAsia="Arial" w:cs="Arial"/>
        </w:rPr>
        <w:t xml:space="preserve"> the lack of </w:t>
      </w:r>
      <w:r w:rsidR="001C015A">
        <w:rPr>
          <w:rFonts w:eastAsia="Arial" w:cs="Arial"/>
        </w:rPr>
        <w:t>publicly availab</w:t>
      </w:r>
      <w:r w:rsidR="00EE762D">
        <w:rPr>
          <w:rFonts w:eastAsia="Arial" w:cs="Arial"/>
        </w:rPr>
        <w:t xml:space="preserve">le </w:t>
      </w:r>
      <w:r w:rsidR="00580FCE">
        <w:rPr>
          <w:rFonts w:eastAsia="Arial" w:cs="Arial"/>
        </w:rPr>
        <w:t>data</w:t>
      </w:r>
      <w:r w:rsidR="007A640A" w:rsidRPr="00291194">
        <w:rPr>
          <w:rFonts w:eastAsia="Arial" w:cs="Arial"/>
        </w:rPr>
        <w:t xml:space="preserve"> on</w:t>
      </w:r>
      <w:r w:rsidR="00EE762D">
        <w:rPr>
          <w:rFonts w:eastAsia="Arial" w:cs="Arial"/>
        </w:rPr>
        <w:t xml:space="preserve"> SDA rates for students with </w:t>
      </w:r>
      <w:r w:rsidR="007A640A" w:rsidRPr="00291194">
        <w:rPr>
          <w:rFonts w:eastAsia="Arial" w:cs="Arial"/>
        </w:rPr>
        <w:t xml:space="preserve">disability </w:t>
      </w:r>
      <w:r w:rsidR="008C6008">
        <w:rPr>
          <w:rFonts w:eastAsia="Arial" w:cs="Arial"/>
        </w:rPr>
        <w:t>and</w:t>
      </w:r>
      <w:r w:rsidR="007A640A" w:rsidRPr="00291194">
        <w:rPr>
          <w:rFonts w:eastAsia="Arial" w:cs="Arial"/>
        </w:rPr>
        <w:t xml:space="preserve"> Aboriginal and Torres Strait Islander students with disability.  </w:t>
      </w:r>
      <w:r w:rsidR="007A640A" w:rsidRPr="00291194">
        <w:rPr>
          <w:rFonts w:cs="Arial"/>
        </w:rPr>
        <w:t>Despite a recommendation that the Department collate disaggregated data on the use of SDAs for students with and without disability</w:t>
      </w:r>
      <w:r w:rsidR="007A640A" w:rsidRPr="00291194">
        <w:rPr>
          <w:rStyle w:val="FootnoteReference"/>
          <w:rFonts w:cs="Arial"/>
        </w:rPr>
        <w:footnoteReference w:id="18"/>
      </w:r>
      <w:r w:rsidR="007A640A" w:rsidRPr="00291194">
        <w:rPr>
          <w:rFonts w:cs="Arial"/>
        </w:rPr>
        <w:t xml:space="preserve">, this data is not </w:t>
      </w:r>
      <w:proofErr w:type="gramStart"/>
      <w:r w:rsidR="007A640A" w:rsidRPr="00291194">
        <w:rPr>
          <w:rFonts w:cs="Arial"/>
        </w:rPr>
        <w:t>published</w:t>
      </w:r>
      <w:proofErr w:type="gramEnd"/>
      <w:r w:rsidR="007A640A" w:rsidRPr="00291194">
        <w:rPr>
          <w:rFonts w:cs="Arial"/>
        </w:rPr>
        <w:t xml:space="preserve"> and </w:t>
      </w:r>
      <w:r>
        <w:rPr>
          <w:rFonts w:cs="Arial"/>
        </w:rPr>
        <w:t>we</w:t>
      </w:r>
      <w:r w:rsidR="00DA0402">
        <w:rPr>
          <w:rFonts w:cs="Arial"/>
        </w:rPr>
        <w:t xml:space="preserve"> are</w:t>
      </w:r>
      <w:r w:rsidR="007A640A" w:rsidRPr="00291194">
        <w:rPr>
          <w:rFonts w:cs="Arial"/>
        </w:rPr>
        <w:t xml:space="preserve"> concerned </w:t>
      </w:r>
      <w:r w:rsidR="00007C6E">
        <w:rPr>
          <w:rFonts w:cs="Arial"/>
        </w:rPr>
        <w:t xml:space="preserve">that </w:t>
      </w:r>
      <w:r w:rsidR="007A640A" w:rsidRPr="00291194">
        <w:rPr>
          <w:rFonts w:cs="Arial"/>
        </w:rPr>
        <w:t xml:space="preserve">such nuances are failing to be captured by the Department </w:t>
      </w:r>
      <w:r w:rsidR="00007C6E">
        <w:rPr>
          <w:rFonts w:cs="Arial"/>
        </w:rPr>
        <w:t>in</w:t>
      </w:r>
      <w:r w:rsidR="007A640A" w:rsidRPr="00291194">
        <w:rPr>
          <w:rFonts w:cs="Arial"/>
        </w:rPr>
        <w:t xml:space="preserve"> their regular reporting processes. </w:t>
      </w:r>
    </w:p>
    <w:p w14:paraId="125BF00E" w14:textId="08882018" w:rsidR="007A640A" w:rsidRDefault="004F295F" w:rsidP="000A10D6">
      <w:pPr>
        <w:spacing w:before="240" w:after="240" w:line="276" w:lineRule="auto"/>
        <w:rPr>
          <w:rFonts w:cs="Arial"/>
        </w:rPr>
      </w:pPr>
      <w:r>
        <w:rPr>
          <w:rFonts w:eastAsia="Arial" w:cs="Arial"/>
        </w:rPr>
        <w:t xml:space="preserve">The lack of transparency and oversight of SDA decision-making </w:t>
      </w:r>
      <w:r w:rsidR="007A6793">
        <w:rPr>
          <w:rFonts w:eastAsia="Arial" w:cs="Arial"/>
        </w:rPr>
        <w:t xml:space="preserve">and </w:t>
      </w:r>
      <w:r w:rsidR="002113EA">
        <w:rPr>
          <w:rFonts w:eastAsia="Arial" w:cs="Arial"/>
        </w:rPr>
        <w:t>in</w:t>
      </w:r>
      <w:r>
        <w:rPr>
          <w:rFonts w:eastAsia="Arial" w:cs="Arial"/>
        </w:rPr>
        <w:t>adequate r</w:t>
      </w:r>
      <w:r>
        <w:rPr>
          <w:rFonts w:cs="Arial"/>
        </w:rPr>
        <w:t xml:space="preserve">eview and appeals processes give further cause for </w:t>
      </w:r>
      <w:r w:rsidR="002113EA">
        <w:rPr>
          <w:rFonts w:cs="Arial"/>
        </w:rPr>
        <w:t>concern</w:t>
      </w:r>
      <w:r>
        <w:rPr>
          <w:rFonts w:cs="Arial"/>
        </w:rPr>
        <w:t>.</w:t>
      </w:r>
      <w:r w:rsidR="007A6793">
        <w:rPr>
          <w:rFonts w:cs="Arial"/>
        </w:rPr>
        <w:t xml:space="preserve"> </w:t>
      </w:r>
      <w:r>
        <w:rPr>
          <w:rFonts w:cs="Arial"/>
        </w:rPr>
        <w:t xml:space="preserve">Indeed, the </w:t>
      </w:r>
      <w:proofErr w:type="gramStart"/>
      <w:r>
        <w:rPr>
          <w:rFonts w:cs="Arial"/>
        </w:rPr>
        <w:t>manner in which</w:t>
      </w:r>
      <w:proofErr w:type="gramEnd"/>
      <w:r>
        <w:rPr>
          <w:rFonts w:cs="Arial"/>
        </w:rPr>
        <w:t xml:space="preserve"> SDAs are imposed without input from a student fails to take into account the best interests of the child and </w:t>
      </w:r>
      <w:r w:rsidR="002113EA">
        <w:rPr>
          <w:rFonts w:cs="Arial"/>
        </w:rPr>
        <w:t xml:space="preserve">thus </w:t>
      </w:r>
      <w:r>
        <w:rPr>
          <w:rFonts w:cs="Arial"/>
        </w:rPr>
        <w:t xml:space="preserve">fails to afford basic procedural fairness as </w:t>
      </w:r>
      <w:r w:rsidR="002113EA">
        <w:rPr>
          <w:rFonts w:cs="Arial"/>
        </w:rPr>
        <w:t xml:space="preserve">is </w:t>
      </w:r>
      <w:r>
        <w:rPr>
          <w:rFonts w:cs="Arial"/>
        </w:rPr>
        <w:t>required by the Convention on the Rights of the Child</w:t>
      </w:r>
      <w:r w:rsidR="007A6793">
        <w:rPr>
          <w:rFonts w:cs="Arial"/>
        </w:rPr>
        <w:t xml:space="preserve"> (CRC). The CRC</w:t>
      </w:r>
      <w:r>
        <w:rPr>
          <w:rFonts w:cs="Arial"/>
        </w:rPr>
        <w:t xml:space="preserve"> states that in all actions concerning children undertaken by administrative authorities, “the best interests of the child shall be a primary consideration.”</w:t>
      </w:r>
      <w:r w:rsidR="000F0691">
        <w:rPr>
          <w:rStyle w:val="FootnoteReference"/>
          <w:rFonts w:cs="Arial"/>
        </w:rPr>
        <w:footnoteReference w:id="19"/>
      </w:r>
      <w:r>
        <w:rPr>
          <w:rFonts w:cs="Arial"/>
        </w:rPr>
        <w:t xml:space="preserve"> </w:t>
      </w:r>
      <w:r w:rsidR="00041064">
        <w:rPr>
          <w:rFonts w:cs="Arial"/>
        </w:rPr>
        <w:t>T</w:t>
      </w:r>
      <w:r>
        <w:rPr>
          <w:rFonts w:cs="Arial"/>
        </w:rPr>
        <w:t>his standard has been adopted by the international community because children differ from adults in their physical and psychological development, and in their emotional and educational needs</w:t>
      </w:r>
      <w:r w:rsidR="00041064">
        <w:rPr>
          <w:rFonts w:cs="Arial"/>
        </w:rPr>
        <w:t>.</w:t>
      </w:r>
    </w:p>
    <w:p w14:paraId="6C150F4B" w14:textId="5A27294C" w:rsidR="007A640A" w:rsidRDefault="007A640A" w:rsidP="00B876B9">
      <w:pPr>
        <w:spacing w:after="240" w:line="276" w:lineRule="auto"/>
        <w:rPr>
          <w:rFonts w:cs="Arial"/>
        </w:rPr>
      </w:pPr>
      <w:r>
        <w:rPr>
          <w:rFonts w:cs="Arial"/>
        </w:rPr>
        <w:t>Without sophisticated data that accurately captures key demographic information</w:t>
      </w:r>
      <w:r w:rsidR="00DD4E81">
        <w:rPr>
          <w:rFonts w:cs="Arial"/>
        </w:rPr>
        <w:t>,</w:t>
      </w:r>
      <w:r>
        <w:rPr>
          <w:rFonts w:cs="Arial"/>
        </w:rPr>
        <w:t xml:space="preserve"> effective policies that successfully reduce the prevalence of SDAs will remain elusive. Whilst recent investment in Positive Behavioural Intervention Supports (PBIS) by the Department is welcome and may result in a decrease in </w:t>
      </w:r>
      <w:r w:rsidRPr="00D4137A">
        <w:rPr>
          <w:rFonts w:cs="Arial"/>
        </w:rPr>
        <w:t>overall</w:t>
      </w:r>
      <w:r>
        <w:rPr>
          <w:rFonts w:cs="Arial"/>
        </w:rPr>
        <w:t xml:space="preserve"> numbers of SDAs in Queensland state schools, it alone will not address the overrepresentation of </w:t>
      </w:r>
      <w:r>
        <w:rPr>
          <w:rFonts w:cs="Arial"/>
        </w:rPr>
        <w:lastRenderedPageBreak/>
        <w:t>students with a background of disadvantage in those statistics.</w:t>
      </w:r>
      <w:r w:rsidR="00610BC6">
        <w:rPr>
          <w:rStyle w:val="FootnoteReference"/>
          <w:rFonts w:cs="Arial"/>
        </w:rPr>
        <w:footnoteReference w:id="20"/>
      </w:r>
      <w:r>
        <w:rPr>
          <w:rFonts w:cs="Arial"/>
        </w:rPr>
        <w:t xml:space="preserve"> That is, the disproportionate rate at which some students, including students with disability</w:t>
      </w:r>
      <w:r w:rsidR="00BA229C">
        <w:rPr>
          <w:rFonts w:cs="Arial"/>
        </w:rPr>
        <w:t xml:space="preserve"> and</w:t>
      </w:r>
      <w:r>
        <w:rPr>
          <w:rFonts w:cs="Arial"/>
        </w:rPr>
        <w:t xml:space="preserve"> Aboriginal and Torres Strait Islander students, are receiving school disciplinary absences compared to their peers. </w:t>
      </w:r>
    </w:p>
    <w:p w14:paraId="43AB9D23" w14:textId="4AC0B55B" w:rsidR="00F175F2" w:rsidRPr="00F175F2" w:rsidRDefault="00F175F2" w:rsidP="00F175F2">
      <w:pPr>
        <w:spacing w:after="240" w:line="276" w:lineRule="auto"/>
        <w:rPr>
          <w:lang w:val="en-US"/>
        </w:rPr>
      </w:pPr>
      <w:r w:rsidRPr="00F175F2">
        <w:rPr>
          <w:lang w:val="en-US"/>
        </w:rPr>
        <w:t xml:space="preserve">We need alternative, evidenced-based solutions to discipline that will successfully reduce behaviours of concern, whilst keeping students safe and engaged at school. We know that when school disciplinary absences are used sparingly alongside supportive interventions, there are better outcomes for students, </w:t>
      </w:r>
      <w:r w:rsidR="00ED61DE" w:rsidRPr="00F175F2">
        <w:rPr>
          <w:lang w:val="en-US"/>
        </w:rPr>
        <w:t>families,</w:t>
      </w:r>
      <w:r w:rsidRPr="00F175F2">
        <w:rPr>
          <w:lang w:val="en-US"/>
        </w:rPr>
        <w:t xml:space="preserve"> and teachers.</w:t>
      </w:r>
    </w:p>
    <w:p w14:paraId="753A5E6C" w14:textId="3408FACF" w:rsidR="006C5DAC" w:rsidRPr="001C100E" w:rsidRDefault="002D37A8" w:rsidP="001C100E">
      <w:pPr>
        <w:spacing w:after="240" w:line="276" w:lineRule="auto"/>
      </w:pPr>
      <w:r>
        <w:t xml:space="preserve">QAI and ATSILS therefore call upon the Queensland Human Rights Commissioner to conduct an inquiry into </w:t>
      </w:r>
      <w:r w:rsidR="00C42C38">
        <w:t xml:space="preserve">the use of SDAs in Queensland state schools and </w:t>
      </w:r>
      <w:r w:rsidR="00894659">
        <w:t xml:space="preserve">to consider </w:t>
      </w:r>
      <w:r>
        <w:t xml:space="preserve">the disproportionate rates of </w:t>
      </w:r>
      <w:r w:rsidR="0082159E">
        <w:t>SDAs</w:t>
      </w:r>
      <w:r w:rsidR="00894659">
        <w:t xml:space="preserve"> given to</w:t>
      </w:r>
      <w:r>
        <w:t xml:space="preserve"> students with disability and Aboriginal and Torres Strait Islander students.</w:t>
      </w:r>
    </w:p>
    <w:p w14:paraId="2019B4A4" w14:textId="6688FED9" w:rsidR="006B29CF" w:rsidRDefault="00447195" w:rsidP="006B29CF">
      <w:pPr>
        <w:pStyle w:val="Heading1"/>
        <w:spacing w:after="240"/>
        <w:rPr>
          <w:color w:val="404040" w:themeColor="text1" w:themeTint="BF"/>
        </w:rPr>
      </w:pPr>
      <w:r w:rsidRPr="00447195">
        <w:rPr>
          <w:i/>
          <w:iCs/>
          <w:color w:val="404040" w:themeColor="text1" w:themeTint="BF"/>
        </w:rPr>
        <w:t xml:space="preserve">The </w:t>
      </w:r>
      <w:r w:rsidR="0079031F" w:rsidRPr="00447195">
        <w:rPr>
          <w:i/>
          <w:iCs/>
          <w:color w:val="404040" w:themeColor="text1" w:themeTint="BF"/>
        </w:rPr>
        <w:t>Human Rights</w:t>
      </w:r>
      <w:r w:rsidRPr="00447195">
        <w:rPr>
          <w:i/>
          <w:iCs/>
          <w:color w:val="404040" w:themeColor="text1" w:themeTint="BF"/>
        </w:rPr>
        <w:t xml:space="preserve"> Act 2019</w:t>
      </w:r>
      <w:r>
        <w:rPr>
          <w:color w:val="404040" w:themeColor="text1" w:themeTint="BF"/>
        </w:rPr>
        <w:t xml:space="preserve"> (Qld)</w:t>
      </w:r>
    </w:p>
    <w:p w14:paraId="1D4CC5C2" w14:textId="1B8CE135" w:rsidR="007D3CF5" w:rsidRDefault="006A7EB9" w:rsidP="00180403">
      <w:pPr>
        <w:spacing w:after="240" w:line="276" w:lineRule="auto"/>
      </w:pPr>
      <w:r>
        <w:rPr>
          <w:szCs w:val="22"/>
        </w:rPr>
        <w:t>Decisions to s</w:t>
      </w:r>
      <w:r w:rsidR="00BA7B3D" w:rsidRPr="00C1320C">
        <w:rPr>
          <w:szCs w:val="22"/>
        </w:rPr>
        <w:t>uspen</w:t>
      </w:r>
      <w:r>
        <w:rPr>
          <w:szCs w:val="22"/>
        </w:rPr>
        <w:t>d</w:t>
      </w:r>
      <w:r w:rsidR="00BA7B3D" w:rsidRPr="00C1320C">
        <w:rPr>
          <w:szCs w:val="22"/>
        </w:rPr>
        <w:t>, exclu</w:t>
      </w:r>
      <w:r>
        <w:rPr>
          <w:szCs w:val="22"/>
        </w:rPr>
        <w:t>de</w:t>
      </w:r>
      <w:r w:rsidR="00BA7B3D" w:rsidRPr="00C1320C">
        <w:rPr>
          <w:szCs w:val="22"/>
        </w:rPr>
        <w:t xml:space="preserve"> and </w:t>
      </w:r>
      <w:r>
        <w:rPr>
          <w:szCs w:val="22"/>
        </w:rPr>
        <w:t>cancel the</w:t>
      </w:r>
      <w:r w:rsidR="00BA7B3D" w:rsidRPr="00C1320C">
        <w:rPr>
          <w:szCs w:val="22"/>
        </w:rPr>
        <w:t xml:space="preserve"> enrolment</w:t>
      </w:r>
      <w:r w:rsidR="00E85CEB">
        <w:rPr>
          <w:szCs w:val="22"/>
        </w:rPr>
        <w:t xml:space="preserve"> of students are made by schools </w:t>
      </w:r>
      <w:r w:rsidR="007506FE">
        <w:rPr>
          <w:szCs w:val="22"/>
        </w:rPr>
        <w:t>u</w:t>
      </w:r>
      <w:r w:rsidR="00460BD2">
        <w:rPr>
          <w:szCs w:val="22"/>
        </w:rPr>
        <w:t>sing</w:t>
      </w:r>
      <w:r w:rsidR="00BA7B3D">
        <w:rPr>
          <w:szCs w:val="22"/>
        </w:rPr>
        <w:t xml:space="preserve"> powers contained in the </w:t>
      </w:r>
      <w:r w:rsidR="00BA7B3D" w:rsidRPr="009A62AB">
        <w:rPr>
          <w:i/>
          <w:iCs/>
          <w:szCs w:val="22"/>
        </w:rPr>
        <w:t>Education (General Provisions) Act 2006</w:t>
      </w:r>
      <w:r w:rsidR="00BA7B3D">
        <w:rPr>
          <w:szCs w:val="22"/>
        </w:rPr>
        <w:t xml:space="preserve"> (Qld).  </w:t>
      </w:r>
      <w:r w:rsidR="00033A5F" w:rsidRPr="4649439E">
        <w:t xml:space="preserve">Under the </w:t>
      </w:r>
      <w:r w:rsidR="00033A5F" w:rsidRPr="4D3E2CA3">
        <w:rPr>
          <w:i/>
          <w:iCs/>
        </w:rPr>
        <w:t>Human Rights Act 2019 (</w:t>
      </w:r>
      <w:r w:rsidR="00033A5F" w:rsidRPr="4649439E">
        <w:t>Qld)</w:t>
      </w:r>
      <w:r w:rsidR="00367C83">
        <w:t xml:space="preserve"> </w:t>
      </w:r>
      <w:r w:rsidR="00367C83">
        <w:rPr>
          <w:rFonts w:cs="Arial"/>
        </w:rPr>
        <w:t>(HRA)</w:t>
      </w:r>
      <w:r w:rsidR="00460BD2">
        <w:rPr>
          <w:rFonts w:cs="Arial"/>
        </w:rPr>
        <w:t xml:space="preserve"> however</w:t>
      </w:r>
      <w:r w:rsidR="00033A5F" w:rsidRPr="4649439E">
        <w:t xml:space="preserve">, the Department </w:t>
      </w:r>
      <w:r w:rsidR="00195C80">
        <w:t>ha</w:t>
      </w:r>
      <w:r w:rsidR="006940CD">
        <w:t>s an</w:t>
      </w:r>
      <w:r w:rsidR="00195C80">
        <w:t xml:space="preserve"> obligation as</w:t>
      </w:r>
      <w:r w:rsidR="006940CD">
        <w:t xml:space="preserve"> a</w:t>
      </w:r>
      <w:r w:rsidR="00195C80">
        <w:t xml:space="preserve"> public entit</w:t>
      </w:r>
      <w:r w:rsidR="006940CD">
        <w:t>y to</w:t>
      </w:r>
      <w:r w:rsidR="00033A5F" w:rsidRPr="4649439E">
        <w:t xml:space="preserve"> uphold every child’s right to access a primary and secondary education appropriate to their needs.</w:t>
      </w:r>
      <w:r w:rsidR="00033A5F" w:rsidRPr="4649439E">
        <w:rPr>
          <w:rStyle w:val="FootnoteReference"/>
        </w:rPr>
        <w:footnoteReference w:id="21"/>
      </w:r>
      <w:r w:rsidR="00033A5F" w:rsidRPr="001267BD">
        <w:rPr>
          <w:szCs w:val="22"/>
        </w:rPr>
        <w:t xml:space="preserve"> </w:t>
      </w:r>
      <w:r w:rsidR="007D3CF5" w:rsidRPr="4649439E">
        <w:t xml:space="preserve">This is in addition to the obligation to protect other human rights also engaged through the use of SDAs, such as the </w:t>
      </w:r>
      <w:r w:rsidR="007D3CF5">
        <w:t>right to equality and recognition before the law</w:t>
      </w:r>
      <w:r w:rsidR="007D3CF5" w:rsidRPr="28BFB73C">
        <w:rPr>
          <w:rStyle w:val="FootnoteReference"/>
        </w:rPr>
        <w:footnoteReference w:id="22"/>
      </w:r>
      <w:r w:rsidR="007D3CF5">
        <w:t xml:space="preserve"> and the </w:t>
      </w:r>
      <w:r w:rsidR="007D3CF5" w:rsidRPr="4649439E">
        <w:t>right to protection from torture and cruel, inhuman or degrading treatment.</w:t>
      </w:r>
      <w:r w:rsidR="007D3CF5" w:rsidRPr="4649439E">
        <w:rPr>
          <w:rStyle w:val="FootnoteReference"/>
        </w:rPr>
        <w:footnoteReference w:id="23"/>
      </w:r>
    </w:p>
    <w:p w14:paraId="0B4FE5F7" w14:textId="64C645A3" w:rsidR="00662201" w:rsidRDefault="000529E1" w:rsidP="00180403">
      <w:pPr>
        <w:spacing w:after="240" w:line="276" w:lineRule="auto"/>
        <w:rPr>
          <w:szCs w:val="22"/>
        </w:rPr>
      </w:pPr>
      <w:r>
        <w:rPr>
          <w:szCs w:val="22"/>
        </w:rPr>
        <w:t>P</w:t>
      </w:r>
      <w:r w:rsidR="00662201">
        <w:rPr>
          <w:szCs w:val="22"/>
        </w:rPr>
        <w:t>ublic entities m</w:t>
      </w:r>
      <w:r w:rsidR="00A12778">
        <w:rPr>
          <w:szCs w:val="22"/>
        </w:rPr>
        <w:t xml:space="preserve">ust not act or </w:t>
      </w:r>
      <w:proofErr w:type="gramStart"/>
      <w:r w:rsidR="00A12778">
        <w:rPr>
          <w:szCs w:val="22"/>
        </w:rPr>
        <w:t>make a decision</w:t>
      </w:r>
      <w:proofErr w:type="gramEnd"/>
      <w:r w:rsidR="00A12778">
        <w:rPr>
          <w:szCs w:val="22"/>
        </w:rPr>
        <w:t xml:space="preserve"> in a way that is not compatible with human rights</w:t>
      </w:r>
      <w:r w:rsidR="00A764B7">
        <w:rPr>
          <w:rStyle w:val="FootnoteReference"/>
          <w:szCs w:val="22"/>
        </w:rPr>
        <w:footnoteReference w:id="24"/>
      </w:r>
      <w:r w:rsidR="00A12778">
        <w:rPr>
          <w:szCs w:val="22"/>
        </w:rPr>
        <w:t>, or in making a decision, fail to give proper consideration to a human right relevant to the decision</w:t>
      </w:r>
      <w:r w:rsidR="00A764B7">
        <w:rPr>
          <w:szCs w:val="22"/>
        </w:rPr>
        <w:t>.</w:t>
      </w:r>
      <w:r w:rsidR="00AD5733">
        <w:rPr>
          <w:rStyle w:val="FootnoteReference"/>
          <w:szCs w:val="22"/>
        </w:rPr>
        <w:footnoteReference w:id="25"/>
      </w:r>
      <w:r w:rsidR="00A764B7">
        <w:rPr>
          <w:szCs w:val="22"/>
        </w:rPr>
        <w:t xml:space="preserve"> To do so, except for in limited circumstances, renders the act or decision unlawful.</w:t>
      </w:r>
      <w:r w:rsidR="00035379">
        <w:rPr>
          <w:szCs w:val="22"/>
        </w:rPr>
        <w:t xml:space="preserve"> To </w:t>
      </w:r>
      <w:proofErr w:type="gramStart"/>
      <w:r w:rsidR="00035379">
        <w:rPr>
          <w:szCs w:val="22"/>
        </w:rPr>
        <w:t>give proper consideration to</w:t>
      </w:r>
      <w:proofErr w:type="gramEnd"/>
      <w:r w:rsidR="00035379">
        <w:rPr>
          <w:szCs w:val="22"/>
        </w:rPr>
        <w:t xml:space="preserve"> a human right </w:t>
      </w:r>
      <w:r w:rsidR="00D05578">
        <w:rPr>
          <w:szCs w:val="22"/>
        </w:rPr>
        <w:t>when</w:t>
      </w:r>
      <w:r w:rsidR="007B7F06">
        <w:rPr>
          <w:szCs w:val="22"/>
        </w:rPr>
        <w:t xml:space="preserve"> making</w:t>
      </w:r>
      <w:r w:rsidR="00035379">
        <w:rPr>
          <w:szCs w:val="22"/>
        </w:rPr>
        <w:t xml:space="preserve"> a decision</w:t>
      </w:r>
      <w:r w:rsidR="003F0127">
        <w:rPr>
          <w:szCs w:val="22"/>
        </w:rPr>
        <w:t xml:space="preserve">, this includes </w:t>
      </w:r>
      <w:r w:rsidR="00E906F5">
        <w:rPr>
          <w:szCs w:val="22"/>
        </w:rPr>
        <w:t>(</w:t>
      </w:r>
      <w:r w:rsidR="003F0127">
        <w:rPr>
          <w:szCs w:val="22"/>
        </w:rPr>
        <w:t>but is not limited to</w:t>
      </w:r>
      <w:r w:rsidR="00E906F5">
        <w:rPr>
          <w:szCs w:val="22"/>
        </w:rPr>
        <w:t>)</w:t>
      </w:r>
      <w:r w:rsidR="003F0127">
        <w:rPr>
          <w:szCs w:val="22"/>
        </w:rPr>
        <w:t xml:space="preserve"> identifying the human r</w:t>
      </w:r>
      <w:r w:rsidR="00390133">
        <w:rPr>
          <w:szCs w:val="22"/>
        </w:rPr>
        <w:t>ights that may be affected by the decision</w:t>
      </w:r>
      <w:r w:rsidR="0035710B">
        <w:rPr>
          <w:rStyle w:val="FootnoteReference"/>
          <w:szCs w:val="22"/>
        </w:rPr>
        <w:footnoteReference w:id="26"/>
      </w:r>
      <w:r w:rsidR="00390133">
        <w:rPr>
          <w:szCs w:val="22"/>
        </w:rPr>
        <w:t xml:space="preserve"> and considering whether the decision would be compatible with human rights.</w:t>
      </w:r>
      <w:r w:rsidR="00DE1FCF">
        <w:rPr>
          <w:rStyle w:val="FootnoteReference"/>
          <w:szCs w:val="22"/>
        </w:rPr>
        <w:footnoteReference w:id="27"/>
      </w:r>
    </w:p>
    <w:p w14:paraId="300C04BB" w14:textId="4D538557" w:rsidR="00B25755" w:rsidRDefault="004144D0" w:rsidP="00180403">
      <w:pPr>
        <w:spacing w:after="240" w:line="276" w:lineRule="auto"/>
        <w:rPr>
          <w:szCs w:val="22"/>
        </w:rPr>
      </w:pPr>
      <w:r>
        <w:rPr>
          <w:szCs w:val="22"/>
        </w:rPr>
        <w:t xml:space="preserve">Further, section 12 </w:t>
      </w:r>
      <w:r w:rsidR="00E01A37">
        <w:rPr>
          <w:szCs w:val="22"/>
        </w:rPr>
        <w:t xml:space="preserve">of the HRA </w:t>
      </w:r>
      <w:r>
        <w:rPr>
          <w:szCs w:val="22"/>
        </w:rPr>
        <w:t>clarifies that</w:t>
      </w:r>
      <w:r w:rsidR="00BA18E1">
        <w:rPr>
          <w:szCs w:val="22"/>
        </w:rPr>
        <w:t xml:space="preserve"> these rights are in addition to rights and freedoms included in other laws, including common law,</w:t>
      </w:r>
      <w:r w:rsidR="005E540C">
        <w:rPr>
          <w:szCs w:val="22"/>
        </w:rPr>
        <w:t xml:space="preserve"> Commonwealth law</w:t>
      </w:r>
      <w:r w:rsidR="00140807">
        <w:rPr>
          <w:szCs w:val="22"/>
        </w:rPr>
        <w:t>s</w:t>
      </w:r>
      <w:r w:rsidR="00AD15C8">
        <w:rPr>
          <w:szCs w:val="22"/>
        </w:rPr>
        <w:t xml:space="preserve"> and international law</w:t>
      </w:r>
      <w:r w:rsidR="00140807">
        <w:rPr>
          <w:szCs w:val="22"/>
        </w:rPr>
        <w:t>s and treaties</w:t>
      </w:r>
      <w:r w:rsidR="00487F6F">
        <w:rPr>
          <w:szCs w:val="22"/>
        </w:rPr>
        <w:t>.</w:t>
      </w:r>
      <w:r w:rsidR="00B25755">
        <w:rPr>
          <w:szCs w:val="22"/>
        </w:rPr>
        <w:t xml:space="preserve"> </w:t>
      </w:r>
      <w:r w:rsidR="00D843EE">
        <w:rPr>
          <w:szCs w:val="22"/>
        </w:rPr>
        <w:t>For example,</w:t>
      </w:r>
      <w:r w:rsidR="00F8179E">
        <w:rPr>
          <w:szCs w:val="22"/>
        </w:rPr>
        <w:t xml:space="preserve"> the Convention on the Rights of the Child</w:t>
      </w:r>
      <w:r w:rsidR="00474045">
        <w:rPr>
          <w:szCs w:val="22"/>
        </w:rPr>
        <w:t xml:space="preserve"> (CRC)</w:t>
      </w:r>
      <w:r w:rsidR="000D2D29">
        <w:rPr>
          <w:szCs w:val="22"/>
        </w:rPr>
        <w:t xml:space="preserve"> </w:t>
      </w:r>
      <w:r w:rsidR="00D843EE">
        <w:rPr>
          <w:szCs w:val="22"/>
        </w:rPr>
        <w:t>and</w:t>
      </w:r>
      <w:r w:rsidR="00474045">
        <w:rPr>
          <w:szCs w:val="22"/>
        </w:rPr>
        <w:t xml:space="preserve"> the Convention on the Rights of Persons with Disabilities (CRPD)</w:t>
      </w:r>
      <w:r w:rsidR="00D843EE">
        <w:rPr>
          <w:szCs w:val="22"/>
        </w:rPr>
        <w:t xml:space="preserve"> which are </w:t>
      </w:r>
      <w:r w:rsidR="00653245">
        <w:rPr>
          <w:szCs w:val="22"/>
        </w:rPr>
        <w:t>both</w:t>
      </w:r>
      <w:r w:rsidR="00D843EE">
        <w:rPr>
          <w:szCs w:val="22"/>
        </w:rPr>
        <w:t xml:space="preserve"> relevant to</w:t>
      </w:r>
      <w:r w:rsidR="00751DF2">
        <w:rPr>
          <w:szCs w:val="22"/>
        </w:rPr>
        <w:t xml:space="preserve"> the Department’s obligations under the HRA and</w:t>
      </w:r>
      <w:r w:rsidR="00D70BDB">
        <w:rPr>
          <w:szCs w:val="22"/>
        </w:rPr>
        <w:t xml:space="preserve"> therefore</w:t>
      </w:r>
      <w:r w:rsidR="00751DF2">
        <w:rPr>
          <w:szCs w:val="22"/>
        </w:rPr>
        <w:t xml:space="preserve"> </w:t>
      </w:r>
      <w:r w:rsidR="006B02F1">
        <w:rPr>
          <w:szCs w:val="22"/>
        </w:rPr>
        <w:t xml:space="preserve">its </w:t>
      </w:r>
      <w:r w:rsidR="00751DF2">
        <w:rPr>
          <w:szCs w:val="22"/>
        </w:rPr>
        <w:t>decision-making</w:t>
      </w:r>
      <w:r w:rsidR="00775126">
        <w:rPr>
          <w:szCs w:val="22"/>
        </w:rPr>
        <w:t xml:space="preserve"> regarding the use of SDAs</w:t>
      </w:r>
      <w:r w:rsidR="00474045">
        <w:rPr>
          <w:szCs w:val="22"/>
        </w:rPr>
        <w:t>.</w:t>
      </w:r>
    </w:p>
    <w:p w14:paraId="1DA00F4F" w14:textId="14A3E518" w:rsidR="009914AE" w:rsidRDefault="00B25755" w:rsidP="009914AE">
      <w:pPr>
        <w:spacing w:after="240" w:line="276" w:lineRule="auto"/>
        <w:rPr>
          <w:rFonts w:cstheme="minorHAnsi"/>
          <w:color w:val="000000"/>
          <w:szCs w:val="22"/>
        </w:rPr>
      </w:pPr>
      <w:r>
        <w:rPr>
          <w:szCs w:val="22"/>
        </w:rPr>
        <w:t>QAI and ATSILS consider that the inequitable utilisation of SDAs for students with disability and Aboriginal and Torres Strait Islander students</w:t>
      </w:r>
      <w:r w:rsidR="0003208D" w:rsidRPr="0003208D">
        <w:t xml:space="preserve"> </w:t>
      </w:r>
      <w:r w:rsidR="0003208D" w:rsidRPr="4649439E">
        <w:t>constitutes a</w:t>
      </w:r>
      <w:r w:rsidR="0003208D" w:rsidRPr="001267BD">
        <w:rPr>
          <w:szCs w:val="22"/>
        </w:rPr>
        <w:t xml:space="preserve"> </w:t>
      </w:r>
      <w:r w:rsidR="0003208D" w:rsidRPr="4649439E">
        <w:t xml:space="preserve">breach of the Department’s varying legal obligations and considerations under state, </w:t>
      </w:r>
      <w:proofErr w:type="gramStart"/>
      <w:r w:rsidR="0003208D">
        <w:t>C</w:t>
      </w:r>
      <w:r w:rsidR="0003208D" w:rsidRPr="4649439E">
        <w:t>ommonwealth</w:t>
      </w:r>
      <w:proofErr w:type="gramEnd"/>
      <w:r w:rsidR="0003208D" w:rsidRPr="4649439E">
        <w:t xml:space="preserve"> and international law</w:t>
      </w:r>
      <w:r w:rsidR="0003208D">
        <w:t>. For example, i</w:t>
      </w:r>
      <w:r w:rsidR="00033A5F" w:rsidRPr="4649439E">
        <w:t xml:space="preserve">nappropriate recourse to </w:t>
      </w:r>
      <w:r w:rsidR="00033A5F" w:rsidRPr="4649439E">
        <w:lastRenderedPageBreak/>
        <w:t>SDAs in situations where alternative, less restrictive and more effective behaviour management strategies are available</w:t>
      </w:r>
      <w:r w:rsidR="00AF6BBD">
        <w:t xml:space="preserve"> is</w:t>
      </w:r>
      <w:r w:rsidR="00033A5F" w:rsidRPr="4649439E">
        <w:t xml:space="preserve"> arguably</w:t>
      </w:r>
      <w:r w:rsidR="0003208D">
        <w:t xml:space="preserve"> </w:t>
      </w:r>
      <w:r w:rsidR="00AF6BBD">
        <w:t xml:space="preserve">in </w:t>
      </w:r>
      <w:r w:rsidR="0003208D">
        <w:t>breach</w:t>
      </w:r>
      <w:r w:rsidR="00AF6BBD">
        <w:t xml:space="preserve"> of</w:t>
      </w:r>
      <w:r w:rsidR="00965D13">
        <w:t xml:space="preserve"> </w:t>
      </w:r>
      <w:r w:rsidR="00033A5F" w:rsidRPr="4649439E">
        <w:t xml:space="preserve">the </w:t>
      </w:r>
      <w:r w:rsidR="00033A5F" w:rsidRPr="4D3E2CA3">
        <w:rPr>
          <w:i/>
          <w:iCs/>
        </w:rPr>
        <w:t>Anti-Discrimination Act 1991</w:t>
      </w:r>
      <w:r w:rsidR="00033A5F">
        <w:t xml:space="preserve"> (Qld) </w:t>
      </w:r>
      <w:r w:rsidR="0003208D">
        <w:t xml:space="preserve">which </w:t>
      </w:r>
      <w:r w:rsidR="00033A5F" w:rsidRPr="4649439E">
        <w:t xml:space="preserve">makes it </w:t>
      </w:r>
      <w:r w:rsidR="00033A5F">
        <w:t xml:space="preserve">unlawful </w:t>
      </w:r>
      <w:r w:rsidR="00033A5F" w:rsidRPr="4649439E">
        <w:t xml:space="preserve">to discriminate against a person because of behaviour that is a characteristic of their </w:t>
      </w:r>
      <w:r w:rsidR="00033A5F">
        <w:t>impairment</w:t>
      </w:r>
      <w:r w:rsidR="00033A5F" w:rsidRPr="4649439E">
        <w:t>.</w:t>
      </w:r>
      <w:r w:rsidR="00033A5F" w:rsidRPr="4649439E">
        <w:rPr>
          <w:rStyle w:val="FootnoteReference"/>
        </w:rPr>
        <w:footnoteReference w:id="28"/>
      </w:r>
      <w:r w:rsidR="00033A5F" w:rsidRPr="001267BD">
        <w:rPr>
          <w:szCs w:val="22"/>
        </w:rPr>
        <w:t xml:space="preserve"> </w:t>
      </w:r>
      <w:r w:rsidR="00033A5F" w:rsidRPr="4649439E">
        <w:t>Similarly, such practices</w:t>
      </w:r>
      <w:r w:rsidR="008642BD">
        <w:t xml:space="preserve"> </w:t>
      </w:r>
      <w:r w:rsidR="00033A5F" w:rsidRPr="4649439E">
        <w:t>contravene</w:t>
      </w:r>
      <w:r w:rsidR="0014357E">
        <w:t xml:space="preserve"> the</w:t>
      </w:r>
      <w:r w:rsidR="00033A5F" w:rsidRPr="4649439E">
        <w:t xml:space="preserve"> CRPD and its commitment to upholding the inherent dignity and fundamental worth of all persons with disabilities</w:t>
      </w:r>
      <w:r w:rsidR="0079031F">
        <w:t>.</w:t>
      </w:r>
      <w:r w:rsidR="00954134" w:rsidRPr="00F375C2">
        <w:rPr>
          <w:rFonts w:cstheme="minorHAnsi"/>
          <w:color w:val="000000"/>
          <w:szCs w:val="22"/>
        </w:rPr>
        <w:t> </w:t>
      </w:r>
    </w:p>
    <w:p w14:paraId="1DDBC1DE" w14:textId="5C0A6553" w:rsidR="005B17BE" w:rsidRPr="005B1C2D" w:rsidRDefault="005B17BE" w:rsidP="009914AE">
      <w:pPr>
        <w:spacing w:after="240" w:line="276" w:lineRule="auto"/>
        <w:rPr>
          <w:lang w:eastAsia="en-US"/>
        </w:rPr>
      </w:pPr>
      <w:r>
        <w:rPr>
          <w:rFonts w:cstheme="minorHAnsi"/>
          <w:color w:val="000000"/>
          <w:szCs w:val="22"/>
        </w:rPr>
        <w:t xml:space="preserve">Despite </w:t>
      </w:r>
      <w:r w:rsidR="003C1A05">
        <w:rPr>
          <w:rFonts w:cstheme="minorHAnsi"/>
          <w:color w:val="000000"/>
          <w:szCs w:val="22"/>
        </w:rPr>
        <w:t>discretion</w:t>
      </w:r>
      <w:r w:rsidR="00BA01D2">
        <w:rPr>
          <w:rFonts w:cstheme="minorHAnsi"/>
          <w:color w:val="000000"/>
          <w:szCs w:val="22"/>
        </w:rPr>
        <w:t>ary powers</w:t>
      </w:r>
      <w:r w:rsidR="00C065AD">
        <w:rPr>
          <w:rFonts w:cstheme="minorHAnsi"/>
          <w:color w:val="000000"/>
          <w:szCs w:val="22"/>
        </w:rPr>
        <w:t xml:space="preserve"> for</w:t>
      </w:r>
      <w:r w:rsidR="003C1A05">
        <w:rPr>
          <w:rFonts w:cstheme="minorHAnsi"/>
          <w:color w:val="000000"/>
          <w:szCs w:val="22"/>
        </w:rPr>
        <w:t xml:space="preserve"> school principals </w:t>
      </w:r>
      <w:r w:rsidR="00C6149C">
        <w:rPr>
          <w:rFonts w:cstheme="minorHAnsi"/>
          <w:color w:val="000000"/>
          <w:szCs w:val="22"/>
        </w:rPr>
        <w:t>to issue SDAs u</w:t>
      </w:r>
      <w:r w:rsidR="00FB1BD7">
        <w:rPr>
          <w:rFonts w:cstheme="minorHAnsi"/>
          <w:color w:val="000000"/>
          <w:szCs w:val="22"/>
        </w:rPr>
        <w:t xml:space="preserve">nder the </w:t>
      </w:r>
      <w:r w:rsidR="00FB1BD7" w:rsidRPr="009A62AB">
        <w:rPr>
          <w:i/>
          <w:iCs/>
          <w:szCs w:val="22"/>
        </w:rPr>
        <w:t>Education (General Provisions) Act 2006</w:t>
      </w:r>
      <w:r w:rsidR="00FB1BD7">
        <w:rPr>
          <w:szCs w:val="22"/>
        </w:rPr>
        <w:t xml:space="preserve"> (Qld), the Department retains an obligation</w:t>
      </w:r>
      <w:r w:rsidR="0096112C">
        <w:rPr>
          <w:szCs w:val="22"/>
        </w:rPr>
        <w:t xml:space="preserve"> to ensure the exercise of this discretion does not </w:t>
      </w:r>
      <w:r w:rsidR="00C6149C">
        <w:rPr>
          <w:szCs w:val="22"/>
        </w:rPr>
        <w:t>occur in a way that unlawfully breaches human rights</w:t>
      </w:r>
      <w:r w:rsidR="00CB2D46">
        <w:rPr>
          <w:szCs w:val="22"/>
        </w:rPr>
        <w:t xml:space="preserve">. </w:t>
      </w:r>
      <w:r w:rsidR="00FF1A38">
        <w:rPr>
          <w:szCs w:val="22"/>
        </w:rPr>
        <w:t>E</w:t>
      </w:r>
      <w:r w:rsidR="00DC15AF">
        <w:rPr>
          <w:szCs w:val="22"/>
        </w:rPr>
        <w:t>ffectively m</w:t>
      </w:r>
      <w:r w:rsidR="00E76334">
        <w:rPr>
          <w:szCs w:val="22"/>
        </w:rPr>
        <w:t>onitoring the</w:t>
      </w:r>
      <w:r w:rsidR="00EA6A0F">
        <w:rPr>
          <w:szCs w:val="22"/>
        </w:rPr>
        <w:t xml:space="preserve"> use of SDAs </w:t>
      </w:r>
      <w:r w:rsidR="004912DD">
        <w:rPr>
          <w:szCs w:val="22"/>
        </w:rPr>
        <w:t>among</w:t>
      </w:r>
      <w:r w:rsidR="002A287C">
        <w:rPr>
          <w:szCs w:val="22"/>
        </w:rPr>
        <w:t xml:space="preserve"> </w:t>
      </w:r>
      <w:r w:rsidR="00693595">
        <w:rPr>
          <w:szCs w:val="22"/>
        </w:rPr>
        <w:t>vulnerable</w:t>
      </w:r>
      <w:r w:rsidR="002A287C">
        <w:rPr>
          <w:szCs w:val="22"/>
        </w:rPr>
        <w:t xml:space="preserve"> students </w:t>
      </w:r>
      <w:r w:rsidR="00EA6A0F">
        <w:rPr>
          <w:szCs w:val="22"/>
        </w:rPr>
        <w:t xml:space="preserve">and addressing the </w:t>
      </w:r>
      <w:r w:rsidR="004912DD">
        <w:rPr>
          <w:szCs w:val="22"/>
        </w:rPr>
        <w:t xml:space="preserve">myriad </w:t>
      </w:r>
      <w:r w:rsidR="00EA6A0F">
        <w:rPr>
          <w:szCs w:val="22"/>
        </w:rPr>
        <w:t xml:space="preserve">consequences </w:t>
      </w:r>
      <w:r w:rsidR="00C065AD">
        <w:rPr>
          <w:szCs w:val="22"/>
        </w:rPr>
        <w:t xml:space="preserve">that result </w:t>
      </w:r>
      <w:r w:rsidR="008215D8">
        <w:rPr>
          <w:szCs w:val="22"/>
        </w:rPr>
        <w:t xml:space="preserve">from their use </w:t>
      </w:r>
      <w:r w:rsidR="00F21B32">
        <w:rPr>
          <w:szCs w:val="22"/>
        </w:rPr>
        <w:t xml:space="preserve">undeniably </w:t>
      </w:r>
      <w:r w:rsidR="00DC15AF">
        <w:rPr>
          <w:szCs w:val="22"/>
        </w:rPr>
        <w:t xml:space="preserve">falls within </w:t>
      </w:r>
      <w:r w:rsidR="00FF1A38">
        <w:rPr>
          <w:szCs w:val="22"/>
        </w:rPr>
        <w:t>thi</w:t>
      </w:r>
      <w:r w:rsidR="00DC15AF">
        <w:rPr>
          <w:szCs w:val="22"/>
        </w:rPr>
        <w:t xml:space="preserve">s </w:t>
      </w:r>
      <w:r w:rsidR="002A287C">
        <w:rPr>
          <w:szCs w:val="22"/>
        </w:rPr>
        <w:t>responsibility</w:t>
      </w:r>
      <w:r w:rsidR="008F23B2">
        <w:rPr>
          <w:szCs w:val="22"/>
        </w:rPr>
        <w:t>.</w:t>
      </w:r>
      <w:r w:rsidR="00DC15AF">
        <w:rPr>
          <w:szCs w:val="22"/>
        </w:rPr>
        <w:t xml:space="preserve"> </w:t>
      </w:r>
    </w:p>
    <w:p w14:paraId="1DA3C86F" w14:textId="302521A4" w:rsidR="008C19D8" w:rsidRPr="00072671" w:rsidRDefault="005457EB" w:rsidP="001C100E">
      <w:pPr>
        <w:pStyle w:val="Heading1"/>
        <w:spacing w:after="120"/>
        <w:rPr>
          <w:rFonts w:cstheme="minorBidi"/>
          <w:color w:val="404040" w:themeColor="text1" w:themeTint="BF"/>
        </w:rPr>
      </w:pPr>
      <w:r w:rsidRPr="3940E21F">
        <w:rPr>
          <w:rFonts w:cstheme="minorBidi"/>
          <w:color w:val="404040" w:themeColor="text1" w:themeTint="BF"/>
        </w:rPr>
        <w:t>Right to Information request</w:t>
      </w:r>
    </w:p>
    <w:p w14:paraId="3BFB2C79" w14:textId="4538E5CC" w:rsidR="000008ED" w:rsidRDefault="000008ED" w:rsidP="001D43FA">
      <w:pPr>
        <w:spacing w:line="276" w:lineRule="auto"/>
        <w:rPr>
          <w:lang w:val="en-US" w:eastAsia="en-US"/>
        </w:rPr>
      </w:pPr>
      <w:r w:rsidRPr="000008ED">
        <w:rPr>
          <w:lang w:eastAsia="en-US"/>
        </w:rPr>
        <w:t xml:space="preserve">Through a </w:t>
      </w:r>
      <w:r w:rsidRPr="006214BA">
        <w:rPr>
          <w:i/>
          <w:iCs/>
          <w:lang w:eastAsia="en-US"/>
        </w:rPr>
        <w:t>Right to Information</w:t>
      </w:r>
      <w:r w:rsidRPr="000008ED">
        <w:rPr>
          <w:lang w:eastAsia="en-US"/>
        </w:rPr>
        <w:t xml:space="preserve"> request, </w:t>
      </w:r>
      <w:r w:rsidR="0E7C0A66" w:rsidRPr="53691CA1">
        <w:rPr>
          <w:lang w:eastAsia="en-US"/>
        </w:rPr>
        <w:t xml:space="preserve">data </w:t>
      </w:r>
      <w:r w:rsidR="0E7C0A66" w:rsidRPr="59D72F35">
        <w:rPr>
          <w:lang w:eastAsia="en-US"/>
        </w:rPr>
        <w:t>was sought</w:t>
      </w:r>
      <w:r w:rsidRPr="000008ED">
        <w:rPr>
          <w:lang w:eastAsia="en-US"/>
        </w:rPr>
        <w:t xml:space="preserve"> on </w:t>
      </w:r>
      <w:r w:rsidRPr="000008ED">
        <w:rPr>
          <w:lang w:val="en-US" w:eastAsia="en-US"/>
        </w:rPr>
        <w:t xml:space="preserve">the overall numbers of short-term suspensions, long-term suspensions, </w:t>
      </w:r>
      <w:r w:rsidR="00E535F2" w:rsidRPr="000008ED">
        <w:rPr>
          <w:lang w:val="en-US" w:eastAsia="en-US"/>
        </w:rPr>
        <w:t>exclusions,</w:t>
      </w:r>
      <w:r w:rsidRPr="000008ED">
        <w:rPr>
          <w:lang w:val="en-US" w:eastAsia="en-US"/>
        </w:rPr>
        <w:t xml:space="preserve"> and cancellations of enrolment given to the following Queensland state school students</w:t>
      </w:r>
      <w:r w:rsidR="0058733C">
        <w:rPr>
          <w:lang w:val="en-US" w:eastAsia="en-US"/>
        </w:rPr>
        <w:t xml:space="preserve"> between 2016 and 2020</w:t>
      </w:r>
      <w:r w:rsidRPr="000008ED">
        <w:rPr>
          <w:lang w:val="en-US" w:eastAsia="en-US"/>
        </w:rPr>
        <w:t>:</w:t>
      </w:r>
    </w:p>
    <w:p w14:paraId="62DDD1F4" w14:textId="77777777" w:rsidR="000008ED" w:rsidRPr="000008ED" w:rsidRDefault="000008ED" w:rsidP="001D43FA">
      <w:pPr>
        <w:spacing w:line="276" w:lineRule="auto"/>
        <w:rPr>
          <w:lang w:eastAsia="en-US"/>
        </w:rPr>
      </w:pPr>
    </w:p>
    <w:p w14:paraId="2DE6007D" w14:textId="77777777" w:rsidR="000008ED" w:rsidRPr="000008ED" w:rsidRDefault="000008ED" w:rsidP="001D43FA">
      <w:pPr>
        <w:numPr>
          <w:ilvl w:val="0"/>
          <w:numId w:val="3"/>
        </w:numPr>
        <w:spacing w:line="276" w:lineRule="auto"/>
        <w:rPr>
          <w:lang w:val="en-US" w:eastAsia="en-US"/>
        </w:rPr>
      </w:pPr>
      <w:r w:rsidRPr="000008ED">
        <w:rPr>
          <w:lang w:val="en-US" w:eastAsia="en-US"/>
        </w:rPr>
        <w:t>Students with disability registered with the Nationally Consistent Collection of Data on School Students with Disability (NCCD);</w:t>
      </w:r>
      <w:r w:rsidRPr="000008ED">
        <w:rPr>
          <w:vertAlign w:val="superscript"/>
          <w:lang w:val="en-US" w:eastAsia="en-US"/>
        </w:rPr>
        <w:footnoteReference w:id="29"/>
      </w:r>
    </w:p>
    <w:p w14:paraId="6BAD8FC7" w14:textId="77777777" w:rsidR="000008ED" w:rsidRPr="000008ED" w:rsidRDefault="000008ED" w:rsidP="001D43FA">
      <w:pPr>
        <w:numPr>
          <w:ilvl w:val="0"/>
          <w:numId w:val="3"/>
        </w:numPr>
        <w:spacing w:line="276" w:lineRule="auto"/>
        <w:rPr>
          <w:lang w:eastAsia="en-US"/>
        </w:rPr>
      </w:pPr>
      <w:r w:rsidRPr="000008ED">
        <w:rPr>
          <w:lang w:val="en-US" w:eastAsia="en-US"/>
        </w:rPr>
        <w:t xml:space="preserve">Students with disability registered with the Nationally Consistent Collection of Data on School Students with Disability (NCCD) who identify as Aboriginal and/or Torres Strait </w:t>
      </w:r>
      <w:proofErr w:type="gramStart"/>
      <w:r w:rsidRPr="000008ED">
        <w:rPr>
          <w:lang w:val="en-US" w:eastAsia="en-US"/>
        </w:rPr>
        <w:t>Islander;</w:t>
      </w:r>
      <w:proofErr w:type="gramEnd"/>
    </w:p>
    <w:p w14:paraId="7C71B35C" w14:textId="77777777" w:rsidR="000008ED" w:rsidRPr="000008ED" w:rsidRDefault="000008ED" w:rsidP="001D43FA">
      <w:pPr>
        <w:numPr>
          <w:ilvl w:val="0"/>
          <w:numId w:val="3"/>
        </w:numPr>
        <w:spacing w:line="276" w:lineRule="auto"/>
        <w:rPr>
          <w:lang w:val="en-US" w:eastAsia="en-US"/>
        </w:rPr>
      </w:pPr>
      <w:r w:rsidRPr="000008ED">
        <w:rPr>
          <w:lang w:val="en-US" w:eastAsia="en-US"/>
        </w:rPr>
        <w:t>Students with an Education Adjustment Program (EAP) verified disability;</w:t>
      </w:r>
      <w:r w:rsidRPr="000008ED">
        <w:rPr>
          <w:vertAlign w:val="superscript"/>
          <w:lang w:eastAsia="en-US"/>
        </w:rPr>
        <w:footnoteReference w:id="30"/>
      </w:r>
    </w:p>
    <w:p w14:paraId="30FACA2E" w14:textId="77777777" w:rsidR="000008ED" w:rsidRPr="000008ED" w:rsidRDefault="000008ED" w:rsidP="001D43FA">
      <w:pPr>
        <w:numPr>
          <w:ilvl w:val="0"/>
          <w:numId w:val="3"/>
        </w:numPr>
        <w:spacing w:line="276" w:lineRule="auto"/>
        <w:rPr>
          <w:lang w:eastAsia="en-US"/>
        </w:rPr>
      </w:pPr>
      <w:r w:rsidRPr="000008ED">
        <w:rPr>
          <w:lang w:val="en-US" w:eastAsia="en-US"/>
        </w:rPr>
        <w:t xml:space="preserve">Students with an Education Adjustment Program (EAP) verified disability who identify as Aboriginal and/or Torres Strait </w:t>
      </w:r>
      <w:proofErr w:type="gramStart"/>
      <w:r w:rsidRPr="000008ED">
        <w:rPr>
          <w:lang w:val="en-US" w:eastAsia="en-US"/>
        </w:rPr>
        <w:t>Islander;</w:t>
      </w:r>
      <w:proofErr w:type="gramEnd"/>
    </w:p>
    <w:p w14:paraId="202B26FF" w14:textId="77777777" w:rsidR="000008ED" w:rsidRPr="000008ED" w:rsidRDefault="000008ED" w:rsidP="001D43FA">
      <w:pPr>
        <w:numPr>
          <w:ilvl w:val="0"/>
          <w:numId w:val="3"/>
        </w:numPr>
        <w:spacing w:line="276" w:lineRule="auto"/>
        <w:rPr>
          <w:lang w:eastAsia="en-US"/>
        </w:rPr>
      </w:pPr>
      <w:r w:rsidRPr="000008ED">
        <w:rPr>
          <w:lang w:val="en-US" w:eastAsia="en-US"/>
        </w:rPr>
        <w:t>Students in receipt of an Individual Curriculum Plan;</w:t>
      </w:r>
      <w:r w:rsidRPr="000008ED">
        <w:rPr>
          <w:vertAlign w:val="superscript"/>
          <w:lang w:eastAsia="en-US"/>
        </w:rPr>
        <w:footnoteReference w:id="31"/>
      </w:r>
    </w:p>
    <w:p w14:paraId="3283C7C6" w14:textId="77777777" w:rsidR="000008ED" w:rsidRPr="000008ED" w:rsidRDefault="000008ED" w:rsidP="001D43FA">
      <w:pPr>
        <w:numPr>
          <w:ilvl w:val="0"/>
          <w:numId w:val="3"/>
        </w:numPr>
        <w:spacing w:line="276" w:lineRule="auto"/>
        <w:rPr>
          <w:lang w:val="en-US" w:eastAsia="en-US"/>
        </w:rPr>
      </w:pPr>
      <w:r w:rsidRPr="000008ED">
        <w:rPr>
          <w:lang w:val="en-US" w:eastAsia="en-US"/>
        </w:rPr>
        <w:t>Students in receipt of an Individual Curriculum Plan who identify as Aboriginal and/or Torres Strait Islander.</w:t>
      </w:r>
    </w:p>
    <w:p w14:paraId="196650BB" w14:textId="77777777" w:rsidR="009B34F8" w:rsidRDefault="009B34F8" w:rsidP="001D43FA">
      <w:pPr>
        <w:spacing w:line="276" w:lineRule="auto"/>
        <w:rPr>
          <w:lang w:val="en-US" w:eastAsia="en-US"/>
        </w:rPr>
      </w:pPr>
    </w:p>
    <w:p w14:paraId="0493C72F" w14:textId="003D8CC5" w:rsidR="000008ED" w:rsidRDefault="000008ED" w:rsidP="001D43FA">
      <w:pPr>
        <w:spacing w:line="276" w:lineRule="auto"/>
        <w:rPr>
          <w:lang w:eastAsia="en-US"/>
        </w:rPr>
      </w:pPr>
      <w:r w:rsidRPr="000008ED">
        <w:rPr>
          <w:lang w:val="en-US" w:eastAsia="en-US"/>
        </w:rPr>
        <w:t xml:space="preserve">Concerningly, yet consistently with our organisational and anecdotal experience, </w:t>
      </w:r>
      <w:r w:rsidRPr="000008ED">
        <w:rPr>
          <w:lang w:eastAsia="en-US"/>
        </w:rPr>
        <w:t>the resulting data documents some alarming trends, including the following:</w:t>
      </w:r>
    </w:p>
    <w:p w14:paraId="544E1BA3" w14:textId="77777777" w:rsidR="009B34F8" w:rsidRPr="000008ED" w:rsidRDefault="009B34F8" w:rsidP="001D43FA">
      <w:pPr>
        <w:spacing w:line="276" w:lineRule="auto"/>
        <w:rPr>
          <w:lang w:eastAsia="en-US"/>
        </w:rPr>
      </w:pPr>
    </w:p>
    <w:p w14:paraId="344CF7CB" w14:textId="77777777" w:rsidR="000008ED" w:rsidRPr="000008ED" w:rsidRDefault="000008ED" w:rsidP="001D43FA">
      <w:pPr>
        <w:numPr>
          <w:ilvl w:val="0"/>
          <w:numId w:val="4"/>
        </w:numPr>
        <w:spacing w:line="276" w:lineRule="auto"/>
        <w:rPr>
          <w:lang w:eastAsia="en-US"/>
        </w:rPr>
      </w:pPr>
      <w:r w:rsidRPr="000008ED">
        <w:rPr>
          <w:lang w:val="en-US" w:eastAsia="en-US"/>
        </w:rPr>
        <w:t>Despite the number of students registered with the NCCD constituting on average, approximately 17% of all Queensland school enrolments (including government and non-government funded schools) between 2016-2020</w:t>
      </w:r>
      <w:r w:rsidRPr="000008ED">
        <w:rPr>
          <w:vertAlign w:val="superscript"/>
          <w:lang w:val="en-US" w:eastAsia="en-US"/>
        </w:rPr>
        <w:footnoteReference w:id="32"/>
      </w:r>
      <w:r w:rsidRPr="000008ED">
        <w:rPr>
          <w:lang w:val="en-US" w:eastAsia="en-US"/>
        </w:rPr>
        <w:t xml:space="preserve">, Queensland state </w:t>
      </w:r>
      <w:r w:rsidRPr="00475449">
        <w:rPr>
          <w:b/>
          <w:bCs/>
          <w:lang w:val="en-US" w:eastAsia="en-US"/>
        </w:rPr>
        <w:t>school students registered with the NCCD received between 46%-48% of all short-term suspensions and 41%-47% of all long-term suspensions between 2016 and 2020</w:t>
      </w:r>
      <w:r w:rsidRPr="000008ED">
        <w:rPr>
          <w:lang w:val="en-US" w:eastAsia="en-US"/>
        </w:rPr>
        <w:t xml:space="preserve">.   </w:t>
      </w:r>
    </w:p>
    <w:p w14:paraId="07CAF68C" w14:textId="229472CE" w:rsidR="000008ED" w:rsidRPr="000008ED" w:rsidRDefault="000008ED" w:rsidP="001D43FA">
      <w:pPr>
        <w:numPr>
          <w:ilvl w:val="0"/>
          <w:numId w:val="4"/>
        </w:numPr>
        <w:spacing w:line="276" w:lineRule="auto"/>
        <w:rPr>
          <w:lang w:val="en-US" w:eastAsia="en-US"/>
        </w:rPr>
      </w:pPr>
      <w:r w:rsidRPr="000008ED">
        <w:rPr>
          <w:lang w:val="en-US" w:eastAsia="en-US"/>
        </w:rPr>
        <w:lastRenderedPageBreak/>
        <w:t>The number of students with an EAP verified disability constitute on average, approximately 5.5% of all Queensland state school enrolments</w:t>
      </w:r>
      <w:r w:rsidRPr="000008ED">
        <w:rPr>
          <w:vertAlign w:val="superscript"/>
          <w:lang w:val="en-US" w:eastAsia="en-US"/>
        </w:rPr>
        <w:footnoteReference w:id="33"/>
      </w:r>
      <w:r w:rsidRPr="000008ED">
        <w:rPr>
          <w:lang w:val="en-US" w:eastAsia="en-US"/>
        </w:rPr>
        <w:t xml:space="preserve">. </w:t>
      </w:r>
      <w:proofErr w:type="gramStart"/>
      <w:r w:rsidR="004C1C91">
        <w:rPr>
          <w:lang w:val="en-US" w:eastAsia="en-US"/>
        </w:rPr>
        <w:t>However</w:t>
      </w:r>
      <w:proofErr w:type="gramEnd"/>
      <w:r w:rsidR="00954581">
        <w:rPr>
          <w:lang w:val="en-US" w:eastAsia="en-US"/>
        </w:rPr>
        <w:t xml:space="preserve"> the statistics showed</w:t>
      </w:r>
      <w:r w:rsidRPr="000008ED">
        <w:rPr>
          <w:lang w:val="en-US" w:eastAsia="en-US"/>
        </w:rPr>
        <w:t xml:space="preserve"> that Queensland state school students with an EAP verified disability were overrepresented in school disciplinary absence statistics between 2016 and 2020:</w:t>
      </w:r>
    </w:p>
    <w:p w14:paraId="10611D7F" w14:textId="77777777" w:rsidR="000008ED" w:rsidRPr="000008ED" w:rsidRDefault="000008ED" w:rsidP="001D43FA">
      <w:pPr>
        <w:numPr>
          <w:ilvl w:val="1"/>
          <w:numId w:val="4"/>
        </w:numPr>
        <w:spacing w:line="276" w:lineRule="auto"/>
        <w:rPr>
          <w:lang w:val="en-US" w:eastAsia="en-US"/>
        </w:rPr>
      </w:pPr>
      <w:r w:rsidRPr="000008ED">
        <w:rPr>
          <w:lang w:val="en-US" w:eastAsia="en-US"/>
        </w:rPr>
        <w:t xml:space="preserve">Receiving between 14.6%-15% of all short-term suspensions between 2016 and </w:t>
      </w:r>
      <w:proofErr w:type="gramStart"/>
      <w:r w:rsidRPr="000008ED">
        <w:rPr>
          <w:lang w:val="en-US" w:eastAsia="en-US"/>
        </w:rPr>
        <w:t>2020;</w:t>
      </w:r>
      <w:proofErr w:type="gramEnd"/>
    </w:p>
    <w:p w14:paraId="78B5534C" w14:textId="77777777" w:rsidR="000008ED" w:rsidRPr="000008ED" w:rsidRDefault="000008ED" w:rsidP="001D43FA">
      <w:pPr>
        <w:numPr>
          <w:ilvl w:val="1"/>
          <w:numId w:val="4"/>
        </w:numPr>
        <w:spacing w:line="276" w:lineRule="auto"/>
        <w:rPr>
          <w:lang w:val="en-US" w:eastAsia="en-US"/>
        </w:rPr>
      </w:pPr>
      <w:r w:rsidRPr="000008ED">
        <w:rPr>
          <w:lang w:val="en-US" w:eastAsia="en-US"/>
        </w:rPr>
        <w:t xml:space="preserve">Receiving between 11.6%-13.7% of all long-term suspensions between 2016 and </w:t>
      </w:r>
      <w:proofErr w:type="gramStart"/>
      <w:r w:rsidRPr="000008ED">
        <w:rPr>
          <w:lang w:val="en-US" w:eastAsia="en-US"/>
        </w:rPr>
        <w:t>2020;</w:t>
      </w:r>
      <w:proofErr w:type="gramEnd"/>
    </w:p>
    <w:p w14:paraId="42C967E0" w14:textId="5B1B24C1" w:rsidR="004135D7" w:rsidRPr="004135D7" w:rsidRDefault="000008ED" w:rsidP="0013286C">
      <w:pPr>
        <w:numPr>
          <w:ilvl w:val="1"/>
          <w:numId w:val="4"/>
        </w:numPr>
        <w:spacing w:line="276" w:lineRule="auto"/>
        <w:rPr>
          <w:lang w:val="en-US" w:eastAsia="en-US"/>
        </w:rPr>
      </w:pPr>
      <w:r w:rsidRPr="000008ED">
        <w:rPr>
          <w:lang w:val="en-US" w:eastAsia="en-US"/>
        </w:rPr>
        <w:t>Receiving between 9.4%-11.5% of all exclusions between 2016 and 2020.</w:t>
      </w:r>
    </w:p>
    <w:p w14:paraId="24BE35FB" w14:textId="37A7FE09" w:rsidR="000008ED" w:rsidRPr="000008ED" w:rsidRDefault="000008ED" w:rsidP="004135D7">
      <w:pPr>
        <w:spacing w:before="240" w:after="240" w:line="276" w:lineRule="auto"/>
        <w:rPr>
          <w:lang w:val="en-US" w:eastAsia="en-US"/>
        </w:rPr>
      </w:pPr>
      <w:r w:rsidRPr="000008ED">
        <w:rPr>
          <w:lang w:val="en-US" w:eastAsia="en-US"/>
        </w:rPr>
        <w:t>Statistics were also requested with respect to the number of students who received more than one short-term suspension within a school year. The data revealed</w:t>
      </w:r>
      <w:r w:rsidR="0013286C">
        <w:rPr>
          <w:lang w:val="en-US" w:eastAsia="en-US"/>
        </w:rPr>
        <w:t xml:space="preserve"> that s</w:t>
      </w:r>
      <w:r w:rsidRPr="000008ED">
        <w:rPr>
          <w:lang w:val="en-US" w:eastAsia="en-US"/>
        </w:rPr>
        <w:t>tudents identifying as Aboriginal and Torres Strait Islander are disproportionately receiving more than one short-term suspension, constituting on average, 25.5% of the students receiving more than one short-term suspension, despite only constituting approximately 10% of all Queensland state school enrolments.</w:t>
      </w:r>
    </w:p>
    <w:p w14:paraId="3F3DDC73" w14:textId="4C0D69F5" w:rsidR="004A055D" w:rsidRDefault="006F2B02" w:rsidP="004135D7">
      <w:pPr>
        <w:spacing w:after="240" w:line="276" w:lineRule="auto"/>
        <w:rPr>
          <w:lang w:eastAsia="en-US"/>
        </w:rPr>
      </w:pPr>
      <w:r>
        <w:rPr>
          <w:lang w:eastAsia="en-US"/>
        </w:rPr>
        <w:t xml:space="preserve">These statistics raise </w:t>
      </w:r>
      <w:proofErr w:type="gramStart"/>
      <w:r>
        <w:rPr>
          <w:lang w:eastAsia="en-US"/>
        </w:rPr>
        <w:t>a number of</w:t>
      </w:r>
      <w:proofErr w:type="gramEnd"/>
      <w:r>
        <w:rPr>
          <w:lang w:eastAsia="en-US"/>
        </w:rPr>
        <w:t xml:space="preserve"> questions. For example, </w:t>
      </w:r>
      <w:r w:rsidR="00646908">
        <w:rPr>
          <w:lang w:eastAsia="en-US"/>
        </w:rPr>
        <w:t xml:space="preserve">why </w:t>
      </w:r>
      <w:r w:rsidR="005D4BC9">
        <w:rPr>
          <w:lang w:eastAsia="en-US"/>
        </w:rPr>
        <w:t xml:space="preserve">do SDAs continue to be used when their effectiveness at reducing </w:t>
      </w:r>
      <w:r w:rsidR="00A435F5">
        <w:rPr>
          <w:lang w:eastAsia="en-US"/>
        </w:rPr>
        <w:t>‘</w:t>
      </w:r>
      <w:r w:rsidR="005D4BC9">
        <w:rPr>
          <w:lang w:eastAsia="en-US"/>
        </w:rPr>
        <w:t>behaviours of concern</w:t>
      </w:r>
      <w:r w:rsidR="00A435F5">
        <w:rPr>
          <w:lang w:eastAsia="en-US"/>
        </w:rPr>
        <w:t xml:space="preserve">’ is </w:t>
      </w:r>
      <w:r w:rsidR="00BA0F6E">
        <w:rPr>
          <w:lang w:eastAsia="en-US"/>
        </w:rPr>
        <w:t>kn</w:t>
      </w:r>
      <w:r w:rsidR="00A435F5">
        <w:rPr>
          <w:lang w:eastAsia="en-US"/>
        </w:rPr>
        <w:t>own to be poor</w:t>
      </w:r>
      <w:r w:rsidR="000868C5">
        <w:rPr>
          <w:lang w:eastAsia="en-US"/>
        </w:rPr>
        <w:t>, with</w:t>
      </w:r>
      <w:r w:rsidR="00A435F5">
        <w:rPr>
          <w:lang w:eastAsia="en-US"/>
        </w:rPr>
        <w:t xml:space="preserve"> damaging consequences</w:t>
      </w:r>
      <w:r w:rsidR="009C1BCD">
        <w:rPr>
          <w:lang w:eastAsia="en-US"/>
        </w:rPr>
        <w:t xml:space="preserve"> for the students and families involved?</w:t>
      </w:r>
      <w:r w:rsidR="00900561">
        <w:rPr>
          <w:lang w:eastAsia="en-US"/>
        </w:rPr>
        <w:t xml:space="preserve"> Further, does</w:t>
      </w:r>
      <w:r>
        <w:rPr>
          <w:lang w:eastAsia="en-US"/>
        </w:rPr>
        <w:t xml:space="preserve"> the</w:t>
      </w:r>
      <w:r w:rsidR="00005ACC">
        <w:rPr>
          <w:lang w:eastAsia="en-US"/>
        </w:rPr>
        <w:t xml:space="preserve"> high</w:t>
      </w:r>
      <w:r w:rsidR="000A4FF7">
        <w:rPr>
          <w:lang w:eastAsia="en-US"/>
        </w:rPr>
        <w:t xml:space="preserve"> number</w:t>
      </w:r>
      <w:r>
        <w:rPr>
          <w:lang w:eastAsia="en-US"/>
        </w:rPr>
        <w:t xml:space="preserve"> of students with disability </w:t>
      </w:r>
      <w:r w:rsidR="00085CD9">
        <w:rPr>
          <w:lang w:eastAsia="en-US"/>
        </w:rPr>
        <w:t>receiving short-term suspensions</w:t>
      </w:r>
      <w:r w:rsidR="001A2624">
        <w:rPr>
          <w:lang w:eastAsia="en-US"/>
        </w:rPr>
        <w:t xml:space="preserve"> </w:t>
      </w:r>
      <w:r>
        <w:rPr>
          <w:lang w:eastAsia="en-US"/>
        </w:rPr>
        <w:t xml:space="preserve">reflect </w:t>
      </w:r>
      <w:r w:rsidR="00504C62">
        <w:rPr>
          <w:lang w:eastAsia="en-US"/>
        </w:rPr>
        <w:t>a</w:t>
      </w:r>
      <w:r>
        <w:rPr>
          <w:lang w:eastAsia="en-US"/>
        </w:rPr>
        <w:t xml:space="preserve"> lack of procedural safeguards</w:t>
      </w:r>
      <w:r w:rsidR="005203EC">
        <w:rPr>
          <w:lang w:eastAsia="en-US"/>
        </w:rPr>
        <w:t xml:space="preserve"> around th</w:t>
      </w:r>
      <w:r w:rsidR="00833946">
        <w:rPr>
          <w:lang w:eastAsia="en-US"/>
        </w:rPr>
        <w:t xml:space="preserve">is </w:t>
      </w:r>
      <w:proofErr w:type="gramStart"/>
      <w:r w:rsidR="005A3486">
        <w:rPr>
          <w:lang w:eastAsia="en-US"/>
        </w:rPr>
        <w:t xml:space="preserve">particular </w:t>
      </w:r>
      <w:r w:rsidR="00833946">
        <w:rPr>
          <w:lang w:eastAsia="en-US"/>
        </w:rPr>
        <w:t>type of school</w:t>
      </w:r>
      <w:proofErr w:type="gramEnd"/>
      <w:r w:rsidR="00833946">
        <w:rPr>
          <w:lang w:eastAsia="en-US"/>
        </w:rPr>
        <w:t xml:space="preserve"> disciplinary absence</w:t>
      </w:r>
      <w:r w:rsidR="00275A9E">
        <w:rPr>
          <w:lang w:eastAsia="en-US"/>
        </w:rPr>
        <w:t xml:space="preserve">? </w:t>
      </w:r>
      <w:r w:rsidR="00914E2B">
        <w:rPr>
          <w:lang w:eastAsia="en-US"/>
        </w:rPr>
        <w:t>Decisions to issue a s</w:t>
      </w:r>
      <w:r w:rsidR="005203EC">
        <w:rPr>
          <w:lang w:eastAsia="en-US"/>
        </w:rPr>
        <w:t>hort-term suspension cannot be</w:t>
      </w:r>
      <w:r w:rsidR="00914E2B">
        <w:rPr>
          <w:lang w:eastAsia="en-US"/>
        </w:rPr>
        <w:t xml:space="preserve"> reviewed and there is no requirement to seek permission from the </w:t>
      </w:r>
      <w:r w:rsidR="00443174">
        <w:rPr>
          <w:lang w:eastAsia="en-US"/>
        </w:rPr>
        <w:t>regional</w:t>
      </w:r>
      <w:r w:rsidR="00914E2B">
        <w:rPr>
          <w:lang w:eastAsia="en-US"/>
        </w:rPr>
        <w:t xml:space="preserve"> office when the same student receives more than </w:t>
      </w:r>
      <w:r w:rsidR="00622434">
        <w:rPr>
          <w:lang w:eastAsia="en-US"/>
        </w:rPr>
        <w:t xml:space="preserve">one </w:t>
      </w:r>
      <w:r w:rsidR="00914E2B">
        <w:rPr>
          <w:lang w:eastAsia="en-US"/>
        </w:rPr>
        <w:t xml:space="preserve">short-term suspension in any given </w:t>
      </w:r>
      <w:proofErr w:type="gramStart"/>
      <w:r w:rsidR="00914E2B">
        <w:rPr>
          <w:lang w:eastAsia="en-US"/>
        </w:rPr>
        <w:t>period of time</w:t>
      </w:r>
      <w:proofErr w:type="gramEnd"/>
      <w:r w:rsidR="00381D94">
        <w:rPr>
          <w:lang w:eastAsia="en-US"/>
        </w:rPr>
        <w:t xml:space="preserve">. </w:t>
      </w:r>
      <w:r w:rsidR="00BA7339">
        <w:rPr>
          <w:lang w:eastAsia="en-US"/>
        </w:rPr>
        <w:t>Short-term suspensions can therefore be issued frequently and without independent oversight</w:t>
      </w:r>
      <w:r w:rsidR="00053728">
        <w:rPr>
          <w:lang w:eastAsia="en-US"/>
        </w:rPr>
        <w:t>.</w:t>
      </w:r>
    </w:p>
    <w:p w14:paraId="6EC56918" w14:textId="513573E2" w:rsidR="009B34F8" w:rsidRDefault="00053728" w:rsidP="004135D7">
      <w:pPr>
        <w:spacing w:after="240" w:line="276" w:lineRule="auto"/>
        <w:rPr>
          <w:lang w:eastAsia="en-US"/>
        </w:rPr>
      </w:pPr>
      <w:r w:rsidRPr="5EC5CB8B">
        <w:rPr>
          <w:lang w:eastAsia="en-US"/>
        </w:rPr>
        <w:t>Whil</w:t>
      </w:r>
      <w:r w:rsidR="00F43595" w:rsidRPr="5EC5CB8B">
        <w:rPr>
          <w:lang w:eastAsia="en-US"/>
        </w:rPr>
        <w:t>e</w:t>
      </w:r>
      <w:r w:rsidRPr="5EC5CB8B">
        <w:rPr>
          <w:lang w:eastAsia="en-US"/>
        </w:rPr>
        <w:t xml:space="preserve"> </w:t>
      </w:r>
      <w:r w:rsidR="000008ED" w:rsidRPr="5EC5CB8B">
        <w:rPr>
          <w:lang w:eastAsia="en-US"/>
        </w:rPr>
        <w:t xml:space="preserve">these statistics </w:t>
      </w:r>
      <w:r w:rsidRPr="5EC5CB8B">
        <w:rPr>
          <w:lang w:eastAsia="en-US"/>
        </w:rPr>
        <w:t xml:space="preserve">give cause for alarm, they </w:t>
      </w:r>
      <w:r w:rsidR="00BA0F6E" w:rsidRPr="5EC5CB8B">
        <w:rPr>
          <w:lang w:eastAsia="en-US"/>
        </w:rPr>
        <w:t xml:space="preserve">alone </w:t>
      </w:r>
      <w:r w:rsidR="000008ED" w:rsidRPr="5EC5CB8B">
        <w:rPr>
          <w:lang w:eastAsia="en-US"/>
        </w:rPr>
        <w:t xml:space="preserve">provide an incomplete picture. For example, the percentage of Queensland state school students who are registered with the NCCD </w:t>
      </w:r>
      <w:r w:rsidR="000008ED" w:rsidRPr="0049207A">
        <w:rPr>
          <w:i/>
          <w:iCs/>
          <w:lang w:eastAsia="en-US"/>
        </w:rPr>
        <w:t>and</w:t>
      </w:r>
      <w:r w:rsidR="000008ED" w:rsidRPr="5EC5CB8B">
        <w:rPr>
          <w:lang w:eastAsia="en-US"/>
        </w:rPr>
        <w:t xml:space="preserve"> who identify as Aboriginal and/or Torres Strait Islander is not publicly available</w:t>
      </w:r>
      <w:r w:rsidR="00C64F8E" w:rsidRPr="5EC5CB8B">
        <w:rPr>
          <w:lang w:eastAsia="en-US"/>
        </w:rPr>
        <w:t>.</w:t>
      </w:r>
      <w:r w:rsidR="00041720" w:rsidRPr="5EC5CB8B">
        <w:rPr>
          <w:lang w:eastAsia="en-US"/>
        </w:rPr>
        <w:t xml:space="preserve"> </w:t>
      </w:r>
      <w:r w:rsidR="000008ED" w:rsidRPr="5EC5CB8B">
        <w:rPr>
          <w:lang w:eastAsia="en-US"/>
        </w:rPr>
        <w:t xml:space="preserve">Similarly, the number of Queensland state school students in receipt of an Individual Curriculum Plan, or the number of students in receipt of an Individual Curriculum Plan who identify as Aboriginal and/or Torres Strait Islander is also unknown. </w:t>
      </w:r>
    </w:p>
    <w:p w14:paraId="3029A06C" w14:textId="62282DB2" w:rsidR="000008ED" w:rsidRDefault="000008ED" w:rsidP="001D43FA">
      <w:pPr>
        <w:spacing w:line="276" w:lineRule="auto"/>
        <w:rPr>
          <w:lang w:eastAsia="en-US"/>
        </w:rPr>
      </w:pPr>
      <w:r w:rsidRPr="000008ED">
        <w:rPr>
          <w:lang w:eastAsia="en-US"/>
        </w:rPr>
        <w:t>Th</w:t>
      </w:r>
      <w:r w:rsidR="00041720">
        <w:rPr>
          <w:lang w:eastAsia="en-US"/>
        </w:rPr>
        <w:t>e</w:t>
      </w:r>
      <w:r w:rsidRPr="000008ED">
        <w:rPr>
          <w:lang w:eastAsia="en-US"/>
        </w:rPr>
        <w:t xml:space="preserve"> lack of nuanced data has been highlighted </w:t>
      </w:r>
      <w:r w:rsidR="00041720">
        <w:rPr>
          <w:lang w:eastAsia="en-US"/>
        </w:rPr>
        <w:t>as problem by</w:t>
      </w:r>
      <w:r w:rsidRPr="000008ED">
        <w:rPr>
          <w:lang w:eastAsia="en-US"/>
        </w:rPr>
        <w:t xml:space="preserve"> the Disability Royal Commission</w:t>
      </w:r>
      <w:r w:rsidR="00041720">
        <w:rPr>
          <w:lang w:eastAsia="en-US"/>
        </w:rPr>
        <w:t xml:space="preserve">’s </w:t>
      </w:r>
      <w:r w:rsidRPr="000008ED">
        <w:rPr>
          <w:lang w:eastAsia="en-US"/>
        </w:rPr>
        <w:t>Chair, Ronald Sackville, who commented:</w:t>
      </w:r>
    </w:p>
    <w:p w14:paraId="1490A810" w14:textId="77777777" w:rsidR="00961AB4" w:rsidRPr="000008ED" w:rsidRDefault="00961AB4" w:rsidP="001D43FA">
      <w:pPr>
        <w:spacing w:line="276" w:lineRule="auto"/>
        <w:rPr>
          <w:lang w:eastAsia="en-US"/>
        </w:rPr>
      </w:pPr>
    </w:p>
    <w:p w14:paraId="1E58AF22" w14:textId="109C2EF3" w:rsidR="006C5DAC" w:rsidRDefault="000008ED" w:rsidP="006C5DAC">
      <w:pPr>
        <w:spacing w:after="240" w:line="276" w:lineRule="auto"/>
        <w:ind w:left="284" w:right="242"/>
        <w:rPr>
          <w:i/>
          <w:iCs/>
          <w:lang w:eastAsia="en-US"/>
        </w:rPr>
      </w:pPr>
      <w:r w:rsidRPr="000008ED">
        <w:rPr>
          <w:i/>
          <w:iCs/>
          <w:lang w:eastAsia="en-US"/>
        </w:rPr>
        <w:t>“</w:t>
      </w:r>
      <w:r w:rsidR="00961AB4" w:rsidRPr="000008ED">
        <w:rPr>
          <w:i/>
          <w:iCs/>
          <w:lang w:eastAsia="en-US"/>
        </w:rPr>
        <w:t>There</w:t>
      </w:r>
      <w:r w:rsidRPr="000008ED">
        <w:rPr>
          <w:i/>
          <w:iCs/>
          <w:lang w:eastAsia="en-US"/>
        </w:rPr>
        <w:t xml:space="preserve"> is limited data available to inform policy making. For example, there is limited data on suspensions and exclusions, part-time attendance of students with disability and the use of restrictive practices in schools. It is difficult to address and rectify a problem if we do not fully understand its nature and extent”</w:t>
      </w:r>
      <w:r w:rsidRPr="000008ED">
        <w:rPr>
          <w:i/>
          <w:iCs/>
          <w:vertAlign w:val="superscript"/>
          <w:lang w:eastAsia="en-US"/>
        </w:rPr>
        <w:footnoteReference w:id="34"/>
      </w:r>
    </w:p>
    <w:p w14:paraId="080B869B" w14:textId="77777777" w:rsidR="009615B3" w:rsidRDefault="004135D7" w:rsidP="00EF1D58">
      <w:pPr>
        <w:pStyle w:val="Heading1"/>
        <w:spacing w:after="240"/>
        <w:rPr>
          <w:color w:val="404040" w:themeColor="text1" w:themeTint="BF"/>
        </w:rPr>
      </w:pPr>
      <w:r>
        <w:rPr>
          <w:color w:val="404040" w:themeColor="text1" w:themeTint="BF"/>
        </w:rPr>
        <w:t>Students with disabi</w:t>
      </w:r>
      <w:r w:rsidR="009615B3">
        <w:rPr>
          <w:color w:val="404040" w:themeColor="text1" w:themeTint="BF"/>
        </w:rPr>
        <w:t>lity</w:t>
      </w:r>
    </w:p>
    <w:p w14:paraId="7819A938" w14:textId="77777777" w:rsidR="00415FC7" w:rsidRDefault="00EF1D58" w:rsidP="009615B3">
      <w:pPr>
        <w:tabs>
          <w:tab w:val="clear" w:pos="288"/>
        </w:tabs>
        <w:spacing w:after="240" w:line="276" w:lineRule="auto"/>
        <w:rPr>
          <w:rFonts w:cs="Arial"/>
        </w:rPr>
      </w:pPr>
      <w:r>
        <w:rPr>
          <w:rFonts w:cs="Arial"/>
        </w:rPr>
        <w:t>QAI and ATSILS</w:t>
      </w:r>
      <w:r w:rsidR="009615B3" w:rsidRPr="28BFB73C">
        <w:rPr>
          <w:rFonts w:cs="Arial"/>
        </w:rPr>
        <w:t xml:space="preserve"> consider that the prevalence of SDAs among students with disability typically reflects the culture of an individual school and the extent to which it values and promotes the principles of inclusive education. Whilst some schools provide exemplary support to students with disability, others appear to reject the values of inclusion and operate practices that are discriminatory towards students with disability. For </w:t>
      </w:r>
      <w:r w:rsidR="009615B3" w:rsidRPr="28BFB73C">
        <w:rPr>
          <w:rFonts w:cs="Arial"/>
        </w:rPr>
        <w:lastRenderedPageBreak/>
        <w:t xml:space="preserve">example, unreasonably denying requests for reasonable adjustments that would ensure students with disability can access education on the same basis as others. The absence of reasonable adjustments for many students with disability, particularly students with </w:t>
      </w:r>
      <w:r w:rsidR="009615B3">
        <w:rPr>
          <w:rFonts w:cs="Arial"/>
        </w:rPr>
        <w:t>a</w:t>
      </w:r>
      <w:r w:rsidR="009615B3" w:rsidRPr="28BFB73C">
        <w:rPr>
          <w:rFonts w:cs="Arial"/>
        </w:rPr>
        <w:t xml:space="preserve">utism and/or </w:t>
      </w:r>
      <w:r w:rsidR="009615B3">
        <w:rPr>
          <w:rFonts w:cs="Arial"/>
        </w:rPr>
        <w:t>attention deficit hyperactivity disorder (AD</w:t>
      </w:r>
      <w:r w:rsidR="009615B3" w:rsidRPr="28BFB73C">
        <w:rPr>
          <w:rFonts w:cs="Arial"/>
        </w:rPr>
        <w:t>HD</w:t>
      </w:r>
      <w:r w:rsidR="009615B3">
        <w:rPr>
          <w:rFonts w:cs="Arial"/>
        </w:rPr>
        <w:t>)</w:t>
      </w:r>
      <w:r w:rsidR="009615B3" w:rsidRPr="28BFB73C">
        <w:rPr>
          <w:rFonts w:cs="Arial"/>
        </w:rPr>
        <w:t xml:space="preserve"> can lead to escalations in behaviour that would otherwise be avoided if reasonable adjustments appropriate to their needs were in place. An absence of trained staff skilled in behaviour management techniques can then lead to further escalations in the child’s behaviour, resulting in disciplinary measures such as a suspension or exclusion and</w:t>
      </w:r>
      <w:r w:rsidR="009615B3">
        <w:rPr>
          <w:rFonts w:cs="Arial"/>
        </w:rPr>
        <w:t>/</w:t>
      </w:r>
      <w:r w:rsidR="009615B3" w:rsidRPr="4D3E2CA3">
        <w:rPr>
          <w:rFonts w:cs="Arial"/>
        </w:rPr>
        <w:t xml:space="preserve">or </w:t>
      </w:r>
      <w:r w:rsidR="009615B3" w:rsidRPr="28BFB73C">
        <w:rPr>
          <w:rFonts w:cs="Arial"/>
        </w:rPr>
        <w:t xml:space="preserve">the use of </w:t>
      </w:r>
      <w:r w:rsidR="009615B3">
        <w:rPr>
          <w:rFonts w:cs="Arial"/>
        </w:rPr>
        <w:t>r</w:t>
      </w:r>
      <w:r w:rsidR="009615B3" w:rsidRPr="28BFB73C">
        <w:rPr>
          <w:rFonts w:cs="Arial"/>
        </w:rPr>
        <w:t xml:space="preserve">estrictive </w:t>
      </w:r>
      <w:r w:rsidR="009615B3">
        <w:rPr>
          <w:rFonts w:cs="Arial"/>
        </w:rPr>
        <w:t>p</w:t>
      </w:r>
      <w:r w:rsidR="009615B3" w:rsidRPr="28BFB73C">
        <w:rPr>
          <w:rFonts w:cs="Arial"/>
        </w:rPr>
        <w:t xml:space="preserve">ractices, further entrenching the child’s segregation within the school community. </w:t>
      </w:r>
    </w:p>
    <w:p w14:paraId="5B2CB321" w14:textId="418DC8E4" w:rsidR="009615B3" w:rsidRDefault="009615B3" w:rsidP="009615B3">
      <w:pPr>
        <w:tabs>
          <w:tab w:val="clear" w:pos="288"/>
        </w:tabs>
        <w:spacing w:after="240" w:line="276" w:lineRule="auto"/>
        <w:rPr>
          <w:rFonts w:cs="Arial"/>
        </w:rPr>
      </w:pPr>
      <w:r>
        <w:rPr>
          <w:rFonts w:cs="Arial"/>
        </w:rPr>
        <w:t>This was a key finding of the 2019 South Australian inquiry into suspensions,</w:t>
      </w:r>
      <w:r w:rsidRPr="00A44DAB">
        <w:rPr>
          <w:rFonts w:cs="Arial"/>
        </w:rPr>
        <w:t xml:space="preserve"> </w:t>
      </w:r>
      <w:r>
        <w:rPr>
          <w:rFonts w:cs="Arial"/>
        </w:rPr>
        <w:t xml:space="preserve">exclusions, and expulsions, which found </w:t>
      </w:r>
      <w:r w:rsidR="0090064A">
        <w:rPr>
          <w:rFonts w:cs="Arial"/>
        </w:rPr>
        <w:t xml:space="preserve">that </w:t>
      </w:r>
      <w:r>
        <w:rPr>
          <w:rFonts w:cs="Arial"/>
        </w:rPr>
        <w:t xml:space="preserve">exclusions were being used for students with disability who were not provided reasonable adjustments necessary to prevent incidents that then led to the </w:t>
      </w:r>
      <w:r w:rsidR="0090064A">
        <w:rPr>
          <w:rFonts w:cs="Arial"/>
        </w:rPr>
        <w:t>use of SDAs</w:t>
      </w:r>
      <w:r>
        <w:rPr>
          <w:rFonts w:cs="Arial"/>
        </w:rPr>
        <w:t>.</w:t>
      </w:r>
      <w:r>
        <w:rPr>
          <w:rStyle w:val="FootnoteReference"/>
          <w:rFonts w:cs="Arial"/>
        </w:rPr>
        <w:footnoteReference w:id="35"/>
      </w:r>
    </w:p>
    <w:p w14:paraId="5CE0ED80" w14:textId="376FB628" w:rsidR="009615B3" w:rsidRPr="00624CF1" w:rsidRDefault="009615B3" w:rsidP="009615B3">
      <w:pPr>
        <w:tabs>
          <w:tab w:val="clear" w:pos="288"/>
        </w:tabs>
        <w:spacing w:after="240" w:line="276" w:lineRule="auto"/>
        <w:rPr>
          <w:rFonts w:cs="Arial"/>
        </w:rPr>
      </w:pPr>
      <w:r>
        <w:rPr>
          <w:rFonts w:cs="Arial"/>
        </w:rPr>
        <w:t xml:space="preserve">Even when reasonable adjustments are provided, the allocation of resources can fail to provide what is needed for a student with </w:t>
      </w:r>
      <w:r w:rsidR="0051080B">
        <w:rPr>
          <w:rFonts w:cs="Arial"/>
        </w:rPr>
        <w:t xml:space="preserve">a </w:t>
      </w:r>
      <w:r>
        <w:rPr>
          <w:rFonts w:cs="Arial"/>
        </w:rPr>
        <w:t xml:space="preserve">disability. Money might collectively be spent on equipment or additional teacher aide </w:t>
      </w:r>
      <w:proofErr w:type="gramStart"/>
      <w:r>
        <w:rPr>
          <w:rFonts w:cs="Arial"/>
        </w:rPr>
        <w:t>hours,</w:t>
      </w:r>
      <w:proofErr w:type="gramEnd"/>
      <w:r>
        <w:rPr>
          <w:rFonts w:cs="Arial"/>
        </w:rPr>
        <w:t xml:space="preserve"> however the individual support needs of the student</w:t>
      </w:r>
      <w:r w:rsidR="0051080B">
        <w:rPr>
          <w:rFonts w:cs="Arial"/>
        </w:rPr>
        <w:t xml:space="preserve"> can</w:t>
      </w:r>
      <w:r>
        <w:rPr>
          <w:rFonts w:cs="Arial"/>
        </w:rPr>
        <w:t xml:space="preserve"> remain unaddressed.  </w:t>
      </w:r>
    </w:p>
    <w:p w14:paraId="3176C116" w14:textId="31D73219" w:rsidR="00BF3C19" w:rsidRDefault="009615B3" w:rsidP="009615B3">
      <w:pPr>
        <w:tabs>
          <w:tab w:val="clear" w:pos="288"/>
        </w:tabs>
        <w:spacing w:after="240" w:line="276" w:lineRule="auto"/>
        <w:rPr>
          <w:rFonts w:cs="Arial"/>
        </w:rPr>
      </w:pPr>
      <w:r>
        <w:rPr>
          <w:rFonts w:cs="Arial"/>
        </w:rPr>
        <w:t>All of this is occurring despite overwhelming evidence as to the ineffectiveness of SDAs in reducing behaviours of concern. Graham highlights the fundamentally flawed assumption upon which SDAs are based – that is, that challenging behaviour is a conscious choice enacted by individuals who can self-regulate their emotions.</w:t>
      </w:r>
      <w:r>
        <w:rPr>
          <w:rStyle w:val="FootnoteReference"/>
          <w:rFonts w:cs="Arial"/>
        </w:rPr>
        <w:footnoteReference w:id="36"/>
      </w:r>
      <w:r>
        <w:rPr>
          <w:rFonts w:cs="Arial"/>
        </w:rPr>
        <w:t xml:space="preserve"> By punishing students who exhibit challenging behaviours, it is presumed that SDAs will act as a deterrent and change the student’s decision-making prior to ‘choosing’ their behaviour in future. However, this grossly misconstrues the nature of ‘challenging behaviour’, which is often a reflex communication strategy for an individual with communication difficulties in situations of heightened distress. It can also be a manifestation of a person’s disability. </w:t>
      </w:r>
    </w:p>
    <w:p w14:paraId="22A63532" w14:textId="77777777" w:rsidR="004B3B23" w:rsidRPr="00470D01" w:rsidRDefault="004B3B23" w:rsidP="004B3B23">
      <w:pPr>
        <w:tabs>
          <w:tab w:val="clear" w:pos="288"/>
          <w:tab w:val="left" w:pos="0"/>
        </w:tabs>
        <w:spacing w:after="240" w:line="276" w:lineRule="auto"/>
        <w:ind w:firstLine="166"/>
        <w:rPr>
          <w:rFonts w:cs="Arial"/>
          <w:b/>
          <w:bCs/>
          <w:i/>
          <w:iCs/>
          <w:szCs w:val="22"/>
        </w:rPr>
      </w:pPr>
      <w:r w:rsidRPr="00470D01">
        <w:rPr>
          <w:rFonts w:cs="Arial"/>
          <w:b/>
          <w:bCs/>
          <w:i/>
          <w:iCs/>
          <w:szCs w:val="22"/>
        </w:rPr>
        <w:t>Case study</w:t>
      </w:r>
    </w:p>
    <w:p w14:paraId="5D539448" w14:textId="77777777" w:rsidR="004B3B23" w:rsidRDefault="004B3B23" w:rsidP="004B3B23">
      <w:pPr>
        <w:spacing w:line="276" w:lineRule="auto"/>
        <w:ind w:left="166" w:right="384"/>
        <w:rPr>
          <w:i/>
          <w:iCs/>
          <w:lang w:val="en-US"/>
        </w:rPr>
      </w:pPr>
      <w:r>
        <w:rPr>
          <w:i/>
          <w:iCs/>
          <w:lang w:val="en-US"/>
        </w:rPr>
        <w:t xml:space="preserve">Andy* is a young man in high school who had been permanently excluded from his school following an incident. Andy and his mother felt that the incident occurred </w:t>
      </w:r>
      <w:proofErr w:type="gramStart"/>
      <w:r>
        <w:rPr>
          <w:i/>
          <w:iCs/>
          <w:lang w:val="en-US"/>
        </w:rPr>
        <w:t>as a result of</w:t>
      </w:r>
      <w:proofErr w:type="gramEnd"/>
      <w:r>
        <w:rPr>
          <w:i/>
          <w:iCs/>
          <w:lang w:val="en-US"/>
        </w:rPr>
        <w:t xml:space="preserve"> a disruption in his daily routine and lack of preparation around the changes. These are known triggers for Andy due to his disability – intellectual impairment and </w:t>
      </w:r>
      <w:proofErr w:type="gramStart"/>
      <w:r>
        <w:rPr>
          <w:i/>
          <w:iCs/>
          <w:lang w:val="en-US"/>
        </w:rPr>
        <w:t>Autism Spectrum Disorder</w:t>
      </w:r>
      <w:proofErr w:type="gramEnd"/>
      <w:r>
        <w:rPr>
          <w:i/>
          <w:iCs/>
          <w:lang w:val="en-US"/>
        </w:rPr>
        <w:t xml:space="preserve">. Andy’s mother approached QAI’s Education Advocacy Service (EAS) for assistance to appeal the exclusion decision. The EAS Advocate assisted in drafting the appeal letter and drafting a response to the </w:t>
      </w:r>
      <w:proofErr w:type="gramStart"/>
      <w:r>
        <w:rPr>
          <w:i/>
          <w:iCs/>
          <w:lang w:val="en-US"/>
        </w:rPr>
        <w:t>Principal’s</w:t>
      </w:r>
      <w:proofErr w:type="gramEnd"/>
      <w:r>
        <w:rPr>
          <w:i/>
          <w:iCs/>
          <w:lang w:val="en-US"/>
        </w:rPr>
        <w:t xml:space="preserve"> subsequent reply. The </w:t>
      </w:r>
      <w:proofErr w:type="gramStart"/>
      <w:r>
        <w:rPr>
          <w:i/>
          <w:iCs/>
          <w:lang w:val="en-US"/>
        </w:rPr>
        <w:t>Principal’s</w:t>
      </w:r>
      <w:proofErr w:type="gramEnd"/>
      <w:r>
        <w:rPr>
          <w:i/>
          <w:iCs/>
          <w:lang w:val="en-US"/>
        </w:rPr>
        <w:t xml:space="preserve"> decision was amended to an exclusion from the school for a period of four (4) months. Unfortunately, when the exclusion period had ended, Andy was not able to easily re-enroll at the school. Andy’s mother contacted the EAS after several weeks of communicating with the Regional Case Manager about Andy’s education moving forward. Approximately 23 hours of work over four weeks was required by the EAS Advocate to liaise with the Autism Hub and the Assistant Regional Director to negotiate Andy’s enrollment and supports. Unfortunately, Andy was not able to be supported to return to the previous school, despite wanting to return, and at short notice was required to transition to a new high school. </w:t>
      </w:r>
    </w:p>
    <w:p w14:paraId="26E81163" w14:textId="154CCAB7" w:rsidR="006C5DAC" w:rsidRDefault="004B3B23" w:rsidP="00C556F9">
      <w:pPr>
        <w:tabs>
          <w:tab w:val="clear" w:pos="288"/>
        </w:tabs>
        <w:spacing w:after="240" w:line="276" w:lineRule="auto"/>
        <w:jc w:val="left"/>
        <w:rPr>
          <w:rFonts w:cstheme="minorBidi"/>
          <w:i/>
          <w:iCs/>
        </w:rPr>
      </w:pPr>
      <w:r>
        <w:rPr>
          <w:rFonts w:cstheme="minorBidi"/>
          <w:i/>
          <w:iCs/>
        </w:rPr>
        <w:t xml:space="preserve"> </w:t>
      </w:r>
      <w:r w:rsidR="00C556F9">
        <w:rPr>
          <w:rFonts w:cstheme="minorBidi"/>
          <w:i/>
          <w:iCs/>
        </w:rPr>
        <w:tab/>
      </w:r>
      <w:r w:rsidR="00C556F9">
        <w:rPr>
          <w:rFonts w:cstheme="minorBidi"/>
          <w:i/>
          <w:iCs/>
        </w:rPr>
        <w:tab/>
      </w:r>
      <w:r w:rsidR="00C556F9">
        <w:rPr>
          <w:rFonts w:cstheme="minorBidi"/>
          <w:i/>
          <w:iCs/>
        </w:rPr>
        <w:tab/>
      </w:r>
      <w:r w:rsidR="00C556F9">
        <w:rPr>
          <w:rFonts w:cstheme="minorBidi"/>
          <w:i/>
          <w:iCs/>
        </w:rPr>
        <w:tab/>
      </w:r>
      <w:r w:rsidR="00C556F9">
        <w:rPr>
          <w:rFonts w:cstheme="minorBidi"/>
          <w:i/>
          <w:iCs/>
        </w:rPr>
        <w:tab/>
      </w:r>
      <w:r w:rsidR="00C556F9">
        <w:rPr>
          <w:rFonts w:cstheme="minorBidi"/>
          <w:i/>
          <w:iCs/>
        </w:rPr>
        <w:tab/>
      </w:r>
      <w:r>
        <w:rPr>
          <w:rFonts w:cstheme="minorBidi"/>
          <w:i/>
          <w:iCs/>
        </w:rPr>
        <w:t xml:space="preserve">  </w:t>
      </w:r>
      <w:r w:rsidRPr="08DC44EE">
        <w:rPr>
          <w:rFonts w:cstheme="minorBidi"/>
          <w:i/>
          <w:iCs/>
        </w:rPr>
        <w:t>*Name has been changed to protect confidentiality</w:t>
      </w:r>
    </w:p>
    <w:p w14:paraId="0ABF3F59" w14:textId="6A9B72A9" w:rsidR="00820C6B" w:rsidRPr="00820C6B" w:rsidRDefault="00820C6B" w:rsidP="00820C6B">
      <w:pPr>
        <w:pStyle w:val="Heading1"/>
        <w:rPr>
          <w:color w:val="404040" w:themeColor="text1" w:themeTint="BF"/>
        </w:rPr>
      </w:pPr>
      <w:r w:rsidRPr="00820C6B">
        <w:rPr>
          <w:color w:val="404040" w:themeColor="text1" w:themeTint="BF"/>
        </w:rPr>
        <w:lastRenderedPageBreak/>
        <w:t>Aboriginal and Torres Strait Islander Students</w:t>
      </w:r>
    </w:p>
    <w:p w14:paraId="7457AAB8" w14:textId="77777777" w:rsidR="00820C6B" w:rsidRDefault="00820C6B" w:rsidP="001D43FA">
      <w:pPr>
        <w:spacing w:line="276" w:lineRule="auto"/>
        <w:rPr>
          <w:lang w:eastAsia="en-US"/>
        </w:rPr>
      </w:pPr>
    </w:p>
    <w:p w14:paraId="2D482C07" w14:textId="6185998F" w:rsidR="000008ED" w:rsidRDefault="004F5FBB" w:rsidP="001D43FA">
      <w:pPr>
        <w:spacing w:line="276" w:lineRule="auto"/>
        <w:rPr>
          <w:lang w:val="en-US" w:eastAsia="en-US"/>
        </w:rPr>
      </w:pPr>
      <w:r>
        <w:rPr>
          <w:lang w:eastAsia="en-US"/>
        </w:rPr>
        <w:t>Despite</w:t>
      </w:r>
      <w:r w:rsidR="008C798D">
        <w:rPr>
          <w:lang w:eastAsia="en-US"/>
        </w:rPr>
        <w:t xml:space="preserve"> </w:t>
      </w:r>
      <w:r w:rsidR="00E42020">
        <w:rPr>
          <w:lang w:eastAsia="en-US"/>
        </w:rPr>
        <w:t>limited</w:t>
      </w:r>
      <w:r w:rsidR="008C798D">
        <w:rPr>
          <w:lang w:eastAsia="en-US"/>
        </w:rPr>
        <w:t xml:space="preserve"> publicly available</w:t>
      </w:r>
      <w:r w:rsidR="00E42020">
        <w:rPr>
          <w:lang w:eastAsia="en-US"/>
        </w:rPr>
        <w:t xml:space="preserve"> </w:t>
      </w:r>
      <w:r w:rsidR="005C5C51">
        <w:rPr>
          <w:lang w:eastAsia="en-US"/>
        </w:rPr>
        <w:t>data</w:t>
      </w:r>
      <w:r w:rsidR="008C798D">
        <w:rPr>
          <w:lang w:eastAsia="en-US"/>
        </w:rPr>
        <w:t xml:space="preserve"> on the use of SDAs in Queensland state schools</w:t>
      </w:r>
      <w:r w:rsidR="00E42020">
        <w:rPr>
          <w:lang w:val="en-US" w:eastAsia="en-US"/>
        </w:rPr>
        <w:t>, statistics released by the Department of Education consistently</w:t>
      </w:r>
      <w:r w:rsidR="000008ED" w:rsidRPr="000008ED">
        <w:rPr>
          <w:lang w:val="en-US" w:eastAsia="en-US"/>
        </w:rPr>
        <w:t xml:space="preserve"> show that students identifying as Aboriginal and/or Torres Strait Islander, irrespective of whether they identify as having a disability, are overrepresented in school disciplinary absence statistics.</w:t>
      </w:r>
      <w:r w:rsidR="000008ED" w:rsidRPr="000008ED">
        <w:rPr>
          <w:vertAlign w:val="superscript"/>
          <w:lang w:val="en-US" w:eastAsia="en-US"/>
        </w:rPr>
        <w:footnoteReference w:id="37"/>
      </w:r>
      <w:r w:rsidR="000008ED" w:rsidRPr="000008ED">
        <w:rPr>
          <w:lang w:val="en-US" w:eastAsia="en-US"/>
        </w:rPr>
        <w:t xml:space="preserve"> </w:t>
      </w:r>
      <w:r w:rsidR="00C84F02">
        <w:rPr>
          <w:lang w:val="en-US" w:eastAsia="en-US"/>
        </w:rPr>
        <w:t>While</w:t>
      </w:r>
      <w:r w:rsidR="000008ED" w:rsidRPr="000008ED">
        <w:rPr>
          <w:lang w:val="en-US" w:eastAsia="en-US"/>
        </w:rPr>
        <w:t xml:space="preserve"> constituting approximately</w:t>
      </w:r>
      <w:r w:rsidR="00C84F02">
        <w:rPr>
          <w:lang w:val="en-US" w:eastAsia="en-US"/>
        </w:rPr>
        <w:t xml:space="preserve"> only</w:t>
      </w:r>
      <w:r w:rsidR="000008ED" w:rsidRPr="000008ED">
        <w:rPr>
          <w:lang w:val="en-US" w:eastAsia="en-US"/>
        </w:rPr>
        <w:t xml:space="preserve"> 10% of all Queensland state school enrolments, Aboriginal and Torres Strait Islander students</w:t>
      </w:r>
      <w:r w:rsidR="00BD5E61">
        <w:rPr>
          <w:lang w:val="en-US" w:eastAsia="en-US"/>
        </w:rPr>
        <w:t xml:space="preserve"> received between</w:t>
      </w:r>
      <w:r w:rsidR="000008ED" w:rsidRPr="000008ED">
        <w:rPr>
          <w:lang w:val="en-US" w:eastAsia="en-US"/>
        </w:rPr>
        <w:t>:</w:t>
      </w:r>
    </w:p>
    <w:p w14:paraId="0AA53DB9" w14:textId="77777777" w:rsidR="009B34F8" w:rsidRPr="000008ED" w:rsidRDefault="009B34F8" w:rsidP="001D43FA">
      <w:pPr>
        <w:spacing w:line="276" w:lineRule="auto"/>
        <w:rPr>
          <w:lang w:val="en-US" w:eastAsia="en-US"/>
        </w:rPr>
      </w:pPr>
    </w:p>
    <w:p w14:paraId="44CDD3D9" w14:textId="75B9B4A9" w:rsidR="000008ED" w:rsidRPr="000008ED" w:rsidRDefault="000008ED" w:rsidP="001D43FA">
      <w:pPr>
        <w:numPr>
          <w:ilvl w:val="0"/>
          <w:numId w:val="7"/>
        </w:numPr>
        <w:spacing w:line="276" w:lineRule="auto"/>
        <w:rPr>
          <w:lang w:val="en-US" w:eastAsia="en-US"/>
        </w:rPr>
      </w:pPr>
      <w:r w:rsidRPr="000008ED">
        <w:rPr>
          <w:lang w:val="en-US" w:eastAsia="en-US"/>
        </w:rPr>
        <w:t xml:space="preserve">23%-25% of all short-term suspensions between 2016 and </w:t>
      </w:r>
      <w:proofErr w:type="gramStart"/>
      <w:r w:rsidRPr="000008ED">
        <w:rPr>
          <w:lang w:val="en-US" w:eastAsia="en-US"/>
        </w:rPr>
        <w:t>2020;</w:t>
      </w:r>
      <w:proofErr w:type="gramEnd"/>
    </w:p>
    <w:p w14:paraId="2744F45D" w14:textId="7054BE30" w:rsidR="000008ED" w:rsidRPr="000008ED" w:rsidRDefault="000008ED" w:rsidP="001D43FA">
      <w:pPr>
        <w:numPr>
          <w:ilvl w:val="0"/>
          <w:numId w:val="5"/>
        </w:numPr>
        <w:spacing w:line="276" w:lineRule="auto"/>
        <w:rPr>
          <w:lang w:val="en-US" w:eastAsia="en-US"/>
        </w:rPr>
      </w:pPr>
      <w:r w:rsidRPr="000008ED">
        <w:rPr>
          <w:lang w:val="en-US" w:eastAsia="en-US"/>
        </w:rPr>
        <w:t xml:space="preserve">25%-27.3% of all long-term suspensions between 2016 and </w:t>
      </w:r>
      <w:proofErr w:type="gramStart"/>
      <w:r w:rsidRPr="000008ED">
        <w:rPr>
          <w:lang w:val="en-US" w:eastAsia="en-US"/>
        </w:rPr>
        <w:t>2020;</w:t>
      </w:r>
      <w:proofErr w:type="gramEnd"/>
    </w:p>
    <w:p w14:paraId="1B5F6708" w14:textId="7E112EF2" w:rsidR="000008ED" w:rsidRPr="000008ED" w:rsidRDefault="000008ED" w:rsidP="001D43FA">
      <w:pPr>
        <w:numPr>
          <w:ilvl w:val="0"/>
          <w:numId w:val="5"/>
        </w:numPr>
        <w:spacing w:line="276" w:lineRule="auto"/>
        <w:rPr>
          <w:lang w:val="en-US" w:eastAsia="en-US"/>
        </w:rPr>
      </w:pPr>
      <w:r w:rsidRPr="000008ED">
        <w:rPr>
          <w:lang w:val="en-US" w:eastAsia="en-US"/>
        </w:rPr>
        <w:t xml:space="preserve">23%-30% of all exclusions between 2016 and </w:t>
      </w:r>
      <w:proofErr w:type="gramStart"/>
      <w:r w:rsidRPr="000008ED">
        <w:rPr>
          <w:lang w:val="en-US" w:eastAsia="en-US"/>
        </w:rPr>
        <w:t>2020;</w:t>
      </w:r>
      <w:proofErr w:type="gramEnd"/>
    </w:p>
    <w:p w14:paraId="3600702E" w14:textId="7442EF53" w:rsidR="000008ED" w:rsidRPr="000008ED" w:rsidRDefault="000008ED" w:rsidP="001D43FA">
      <w:pPr>
        <w:numPr>
          <w:ilvl w:val="0"/>
          <w:numId w:val="5"/>
        </w:numPr>
        <w:spacing w:line="276" w:lineRule="auto"/>
        <w:rPr>
          <w:lang w:val="en-US" w:eastAsia="en-US"/>
        </w:rPr>
      </w:pPr>
      <w:r w:rsidRPr="000008ED">
        <w:rPr>
          <w:lang w:val="en-US" w:eastAsia="en-US"/>
        </w:rPr>
        <w:t>21.6%-30% of all cancelled enrolments between 2016 and 2020.</w:t>
      </w:r>
    </w:p>
    <w:p w14:paraId="117630F7" w14:textId="77777777" w:rsidR="0077048D" w:rsidRDefault="0077048D" w:rsidP="00D35EF3">
      <w:pPr>
        <w:spacing w:line="276" w:lineRule="auto"/>
        <w:rPr>
          <w:lang w:eastAsia="en-US"/>
        </w:rPr>
      </w:pPr>
    </w:p>
    <w:p w14:paraId="027EA9F3" w14:textId="005B1F02" w:rsidR="00B42352" w:rsidRDefault="00341251" w:rsidP="00C33023">
      <w:pPr>
        <w:spacing w:after="240" w:line="276" w:lineRule="auto"/>
        <w:rPr>
          <w:lang w:eastAsia="en-US"/>
        </w:rPr>
      </w:pPr>
      <w:r>
        <w:rPr>
          <w:lang w:eastAsia="en-US"/>
        </w:rPr>
        <w:t xml:space="preserve">Publicly available data also shows that suspension rates increased between 2013-2019 and that the rate of increase was significantly faster for Indigenous students. </w:t>
      </w:r>
      <w:r w:rsidR="00B42352">
        <w:rPr>
          <w:lang w:eastAsia="en-US"/>
        </w:rPr>
        <w:t xml:space="preserve">These statistics echo similar findings from recent research published by </w:t>
      </w:r>
      <w:r w:rsidR="005F5AC9">
        <w:rPr>
          <w:lang w:eastAsia="en-US"/>
        </w:rPr>
        <w:t>QUT’s</w:t>
      </w:r>
      <w:r w:rsidR="00B42352">
        <w:rPr>
          <w:lang w:eastAsia="en-US"/>
        </w:rPr>
        <w:t xml:space="preserve"> </w:t>
      </w:r>
      <w:r w:rsidR="00B42352" w:rsidRPr="00F50090">
        <w:rPr>
          <w:i/>
          <w:iCs/>
          <w:lang w:eastAsia="en-US"/>
        </w:rPr>
        <w:t>Centre for Inclusive Education</w:t>
      </w:r>
      <w:r w:rsidR="00B42352">
        <w:rPr>
          <w:lang w:eastAsia="en-US"/>
        </w:rPr>
        <w:t xml:space="preserve"> (C4IE), which found that Indigenous students in Queensland have a one-in-three chance of being suspended, </w:t>
      </w:r>
      <w:r w:rsidR="00E32993">
        <w:rPr>
          <w:lang w:eastAsia="en-US"/>
        </w:rPr>
        <w:t>receiving 350.8 suspensions per 1000 compared to 110.</w:t>
      </w:r>
      <w:r w:rsidR="003234B7">
        <w:rPr>
          <w:lang w:eastAsia="en-US"/>
        </w:rPr>
        <w:t>9 suspensions per 1000 for non-Indigenous students</w:t>
      </w:r>
      <w:r w:rsidR="00F50090">
        <w:rPr>
          <w:lang w:eastAsia="en-US"/>
        </w:rPr>
        <w:t>, although it is probable that some of these incidents reflect repeated suspensions for the same students</w:t>
      </w:r>
      <w:r w:rsidR="00B42352">
        <w:rPr>
          <w:lang w:eastAsia="en-US"/>
        </w:rPr>
        <w:t>.</w:t>
      </w:r>
      <w:r w:rsidR="003234B7">
        <w:rPr>
          <w:rStyle w:val="FootnoteReference"/>
          <w:lang w:eastAsia="en-US"/>
        </w:rPr>
        <w:footnoteReference w:id="38"/>
      </w:r>
      <w:r w:rsidR="00201977">
        <w:rPr>
          <w:lang w:eastAsia="en-US"/>
        </w:rPr>
        <w:t xml:space="preserve"> </w:t>
      </w:r>
      <w:r w:rsidR="003124A6">
        <w:rPr>
          <w:lang w:eastAsia="en-US"/>
        </w:rPr>
        <w:t>The research also found that suspensions peaked for Indigenous students in year 8, whil</w:t>
      </w:r>
      <w:r w:rsidR="00FB01BF">
        <w:rPr>
          <w:lang w:eastAsia="en-US"/>
        </w:rPr>
        <w:t>st suspensions</w:t>
      </w:r>
      <w:r w:rsidR="003124A6">
        <w:rPr>
          <w:lang w:eastAsia="en-US"/>
        </w:rPr>
        <w:t xml:space="preserve"> peak</w:t>
      </w:r>
      <w:r w:rsidR="00FB01BF">
        <w:rPr>
          <w:lang w:eastAsia="en-US"/>
        </w:rPr>
        <w:t>ed</w:t>
      </w:r>
      <w:r w:rsidR="003124A6">
        <w:rPr>
          <w:lang w:eastAsia="en-US"/>
        </w:rPr>
        <w:t xml:space="preserve"> in year 9 for non-Indigenous students</w:t>
      </w:r>
      <w:r w:rsidR="00A87E5C">
        <w:rPr>
          <w:lang w:eastAsia="en-US"/>
        </w:rPr>
        <w:t xml:space="preserve">. A possible explanation for this </w:t>
      </w:r>
      <w:r w:rsidR="003D1346">
        <w:rPr>
          <w:lang w:eastAsia="en-US"/>
        </w:rPr>
        <w:t>could be</w:t>
      </w:r>
      <w:r w:rsidR="00A87E5C">
        <w:rPr>
          <w:lang w:eastAsia="en-US"/>
        </w:rPr>
        <w:t xml:space="preserve"> that Indigenous students</w:t>
      </w:r>
      <w:r w:rsidR="00F155E0">
        <w:rPr>
          <w:lang w:eastAsia="en-US"/>
        </w:rPr>
        <w:t xml:space="preserve"> who receive</w:t>
      </w:r>
      <w:r w:rsidR="00A87E5C">
        <w:rPr>
          <w:lang w:eastAsia="en-US"/>
        </w:rPr>
        <w:t xml:space="preserve"> SDAs are likely to have been permanently excluded </w:t>
      </w:r>
      <w:r w:rsidR="00D85911">
        <w:rPr>
          <w:lang w:eastAsia="en-US"/>
        </w:rPr>
        <w:t xml:space="preserve">from formal education </w:t>
      </w:r>
      <w:r w:rsidR="00A87E5C">
        <w:rPr>
          <w:lang w:eastAsia="en-US"/>
        </w:rPr>
        <w:t>by the time they reach year 9</w:t>
      </w:r>
      <w:r w:rsidR="00D85911">
        <w:rPr>
          <w:lang w:eastAsia="en-US"/>
        </w:rPr>
        <w:t xml:space="preserve">, </w:t>
      </w:r>
      <w:r w:rsidR="00D35EF3">
        <w:rPr>
          <w:lang w:eastAsia="en-US"/>
        </w:rPr>
        <w:t>compared to their non-Indigenous</w:t>
      </w:r>
      <w:r w:rsidR="00F155E0">
        <w:rPr>
          <w:lang w:eastAsia="en-US"/>
        </w:rPr>
        <w:t xml:space="preserve"> counterparts who remain in sch</w:t>
      </w:r>
      <w:r w:rsidR="00D35EF3">
        <w:rPr>
          <w:lang w:eastAsia="en-US"/>
        </w:rPr>
        <w:t>ool.</w:t>
      </w:r>
      <w:r w:rsidR="008D63E7">
        <w:rPr>
          <w:lang w:eastAsia="en-US"/>
        </w:rPr>
        <w:t xml:space="preserve"> </w:t>
      </w:r>
    </w:p>
    <w:p w14:paraId="5B2E7317" w14:textId="77777777" w:rsidR="007B1F22" w:rsidRDefault="005B7FEF" w:rsidP="00A41D50">
      <w:pPr>
        <w:spacing w:after="240" w:line="276" w:lineRule="auto"/>
        <w:rPr>
          <w:lang w:eastAsia="en-US"/>
        </w:rPr>
      </w:pPr>
      <w:proofErr w:type="gramStart"/>
      <w:r w:rsidRPr="005B7FEF">
        <w:rPr>
          <w:lang w:eastAsia="en-US"/>
        </w:rPr>
        <w:t>A number of</w:t>
      </w:r>
      <w:proofErr w:type="gramEnd"/>
      <w:r w:rsidRPr="005B7FEF">
        <w:rPr>
          <w:lang w:eastAsia="en-US"/>
        </w:rPr>
        <w:t xml:space="preserve"> Aboriginal and Torres Strait Islander students also have a disability however, intersectional disadvantage often goes unrecognised for Aboriginal and Torres Strait Islander students. For example, an Aboriginal student may have a developmental language </w:t>
      </w:r>
      <w:proofErr w:type="gramStart"/>
      <w:r w:rsidRPr="005B7FEF">
        <w:rPr>
          <w:lang w:eastAsia="en-US"/>
        </w:rPr>
        <w:t>disorder</w:t>
      </w:r>
      <w:proofErr w:type="gramEnd"/>
      <w:r w:rsidRPr="005B7FEF">
        <w:rPr>
          <w:lang w:eastAsia="en-US"/>
        </w:rPr>
        <w:t xml:space="preserve"> but it remains undiagnosed for many years because English is a second or third language. </w:t>
      </w:r>
    </w:p>
    <w:p w14:paraId="7490A612" w14:textId="6ABFF752" w:rsidR="00A41D50" w:rsidRPr="00A41D50" w:rsidRDefault="00A41D50" w:rsidP="00A41D50">
      <w:pPr>
        <w:spacing w:after="240" w:line="276" w:lineRule="auto"/>
        <w:rPr>
          <w:lang w:eastAsia="en-US"/>
        </w:rPr>
      </w:pPr>
      <w:r w:rsidRPr="00A41D50">
        <w:rPr>
          <w:lang w:eastAsia="en-US"/>
        </w:rPr>
        <w:t>Similarly, the unique and complex learning needs of children with fetal alcohol spectrum disorder (FASD) also tend to be under recognised. Whilst there is a lack of data on the prevalence of FASD across Australia, some studies have shown very high levels of FASD in some communities</w:t>
      </w:r>
      <w:r w:rsidR="000A77E7" w:rsidRPr="0090415F">
        <w:rPr>
          <w:rStyle w:val="FootnoteReference"/>
          <w:lang w:eastAsia="en-US"/>
        </w:rPr>
        <w:footnoteReference w:id="39"/>
      </w:r>
      <w:r w:rsidR="00125B22">
        <w:rPr>
          <w:lang w:eastAsia="en-US"/>
        </w:rPr>
        <w:t xml:space="preserve"> </w:t>
      </w:r>
      <w:r w:rsidRPr="00A41D50">
        <w:rPr>
          <w:lang w:eastAsia="en-US"/>
        </w:rPr>
        <w:t>and yet the Department of Education does not currently record whether a student has a diagnosis of FASD. A lack of appropriate support for students with FASD is likely to lead to behaviour that results in the use of SDAs. Without knowing the true prevalence of FASD in Queensland state schools, how can the Department ensure tailored, evidenced-based interventions are provided to students who need it the most?</w:t>
      </w:r>
    </w:p>
    <w:p w14:paraId="49DC591F" w14:textId="0B116DF9" w:rsidR="000008ED" w:rsidRDefault="00D15D26" w:rsidP="009415CC">
      <w:pPr>
        <w:spacing w:after="240" w:line="276" w:lineRule="auto"/>
        <w:rPr>
          <w:lang w:eastAsia="en-US"/>
        </w:rPr>
      </w:pPr>
      <w:r>
        <w:rPr>
          <w:lang w:eastAsia="en-US"/>
        </w:rPr>
        <w:t>The i</w:t>
      </w:r>
      <w:r w:rsidR="00B0588F">
        <w:rPr>
          <w:lang w:eastAsia="en-US"/>
        </w:rPr>
        <w:t>ntersectional disadvantage</w:t>
      </w:r>
      <w:r w:rsidR="0023116E">
        <w:rPr>
          <w:lang w:eastAsia="en-US"/>
        </w:rPr>
        <w:t xml:space="preserve"> experienced by</w:t>
      </w:r>
      <w:r w:rsidR="00EE3613">
        <w:rPr>
          <w:lang w:eastAsia="en-US"/>
        </w:rPr>
        <w:t xml:space="preserve"> Aboriginal and Torres Strait Islander</w:t>
      </w:r>
      <w:r w:rsidR="002134DF">
        <w:rPr>
          <w:lang w:eastAsia="en-US"/>
        </w:rPr>
        <w:t xml:space="preserve"> students with disability</w:t>
      </w:r>
      <w:r w:rsidR="006C1228">
        <w:rPr>
          <w:lang w:eastAsia="en-US"/>
        </w:rPr>
        <w:t xml:space="preserve"> </w:t>
      </w:r>
      <w:r w:rsidR="009A1CAE">
        <w:rPr>
          <w:lang w:eastAsia="en-US"/>
        </w:rPr>
        <w:t>who</w:t>
      </w:r>
      <w:r w:rsidR="0066222F">
        <w:rPr>
          <w:lang w:eastAsia="en-US"/>
        </w:rPr>
        <w:t xml:space="preserve"> liv</w:t>
      </w:r>
      <w:r w:rsidR="00671AEE">
        <w:rPr>
          <w:lang w:eastAsia="en-US"/>
        </w:rPr>
        <w:t>e</w:t>
      </w:r>
      <w:r w:rsidR="0066222F">
        <w:rPr>
          <w:lang w:eastAsia="en-US"/>
        </w:rPr>
        <w:t xml:space="preserve"> in</w:t>
      </w:r>
      <w:r w:rsidR="00534C2F">
        <w:rPr>
          <w:lang w:eastAsia="en-US"/>
        </w:rPr>
        <w:t xml:space="preserve"> residential </w:t>
      </w:r>
      <w:r w:rsidR="0066222F">
        <w:rPr>
          <w:lang w:eastAsia="en-US"/>
        </w:rPr>
        <w:t>care</w:t>
      </w:r>
      <w:r w:rsidR="009B7B7D">
        <w:rPr>
          <w:lang w:eastAsia="en-US"/>
        </w:rPr>
        <w:t xml:space="preserve"> should also</w:t>
      </w:r>
      <w:r w:rsidR="00812672">
        <w:rPr>
          <w:lang w:eastAsia="en-US"/>
        </w:rPr>
        <w:t xml:space="preserve"> </w:t>
      </w:r>
      <w:r w:rsidR="0066222F">
        <w:rPr>
          <w:lang w:eastAsia="en-US"/>
        </w:rPr>
        <w:t>be recognised</w:t>
      </w:r>
      <w:r w:rsidR="00DF156B">
        <w:rPr>
          <w:lang w:eastAsia="en-US"/>
        </w:rPr>
        <w:t>.</w:t>
      </w:r>
      <w:r w:rsidR="0066222F">
        <w:rPr>
          <w:lang w:eastAsia="en-US"/>
        </w:rPr>
        <w:t xml:space="preserve"> </w:t>
      </w:r>
      <w:r w:rsidR="00046B25">
        <w:rPr>
          <w:lang w:eastAsia="en-US"/>
        </w:rPr>
        <w:t>The</w:t>
      </w:r>
      <w:r w:rsidR="000008ED" w:rsidRPr="000008ED">
        <w:rPr>
          <w:lang w:eastAsia="en-US"/>
        </w:rPr>
        <w:t xml:space="preserve"> additional challenges facing these students, such as the intergenerational impacts of colonisation and the ramifications of an unstable home environment</w:t>
      </w:r>
      <w:r w:rsidR="00046B25">
        <w:rPr>
          <w:lang w:eastAsia="en-US"/>
        </w:rPr>
        <w:t xml:space="preserve">, </w:t>
      </w:r>
      <w:r w:rsidR="00046B25">
        <w:rPr>
          <w:lang w:eastAsia="en-US"/>
        </w:rPr>
        <w:lastRenderedPageBreak/>
        <w:t>must be understood</w:t>
      </w:r>
      <w:r w:rsidR="00D0385A">
        <w:rPr>
          <w:lang w:eastAsia="en-US"/>
        </w:rPr>
        <w:t>. This is particularly vital</w:t>
      </w:r>
      <w:r w:rsidR="000008ED" w:rsidRPr="000008ED">
        <w:rPr>
          <w:lang w:eastAsia="en-US"/>
        </w:rPr>
        <w:t xml:space="preserve"> given the now well-established link between educational outcomes and success in later life, with education being ‘one of the most powerful tools by which economically and socially marginalised children and adults can lift themselves out of poverty and participate fully in society.</w:t>
      </w:r>
      <w:r w:rsidR="000008ED" w:rsidRPr="000008ED">
        <w:rPr>
          <w:vertAlign w:val="superscript"/>
          <w:lang w:eastAsia="en-US"/>
        </w:rPr>
        <w:footnoteReference w:id="40"/>
      </w:r>
    </w:p>
    <w:p w14:paraId="26F77A00" w14:textId="3ED6A7AB" w:rsidR="006C5DAC" w:rsidRDefault="00B62953" w:rsidP="00B62953">
      <w:pPr>
        <w:spacing w:line="276" w:lineRule="auto"/>
        <w:rPr>
          <w:lang w:eastAsia="en-US"/>
        </w:rPr>
      </w:pPr>
      <w:r w:rsidRPr="000008ED">
        <w:rPr>
          <w:lang w:eastAsia="en-US"/>
        </w:rPr>
        <w:t>Considered collectively, the</w:t>
      </w:r>
      <w:r>
        <w:rPr>
          <w:lang w:eastAsia="en-US"/>
        </w:rPr>
        <w:t xml:space="preserve"> data available suggests</w:t>
      </w:r>
      <w:r w:rsidRPr="000008ED">
        <w:rPr>
          <w:lang w:eastAsia="en-US"/>
        </w:rPr>
        <w:t xml:space="preserve"> that students with backgrounds of disadvantage, be it in relation to their </w:t>
      </w:r>
      <w:r w:rsidR="00053825">
        <w:rPr>
          <w:lang w:eastAsia="en-US"/>
        </w:rPr>
        <w:t xml:space="preserve">disability status, </w:t>
      </w:r>
      <w:r w:rsidRPr="000008ED">
        <w:rPr>
          <w:lang w:eastAsia="en-US"/>
        </w:rPr>
        <w:t xml:space="preserve">cultural heritage, </w:t>
      </w:r>
      <w:r w:rsidR="00053825">
        <w:rPr>
          <w:lang w:eastAsia="en-US"/>
        </w:rPr>
        <w:t>o</w:t>
      </w:r>
      <w:r w:rsidRPr="000008ED">
        <w:rPr>
          <w:lang w:eastAsia="en-US"/>
        </w:rPr>
        <w:t xml:space="preserve">r involvement with the child protection system, are disproportionately receiving school disciplinary absences in Queensland state schools. That is, they are being suspended, excluded, and removed from educational settings at inequitable rates compared to their peers. </w:t>
      </w:r>
    </w:p>
    <w:p w14:paraId="4093B688" w14:textId="4B168FC8" w:rsidR="001E6597" w:rsidRPr="00072671" w:rsidRDefault="001E6597" w:rsidP="001D43FA">
      <w:pPr>
        <w:pStyle w:val="Heading1"/>
        <w:rPr>
          <w:color w:val="404040" w:themeColor="text1" w:themeTint="BF"/>
        </w:rPr>
      </w:pPr>
      <w:r w:rsidRPr="00072671">
        <w:rPr>
          <w:color w:val="404040" w:themeColor="text1" w:themeTint="BF"/>
        </w:rPr>
        <w:t xml:space="preserve">Appeals and review processes </w:t>
      </w:r>
    </w:p>
    <w:p w14:paraId="3B96D5FB" w14:textId="2CA932CA" w:rsidR="00E174E8" w:rsidRDefault="00E174E8" w:rsidP="001D43FA">
      <w:pPr>
        <w:spacing w:line="276" w:lineRule="auto"/>
        <w:rPr>
          <w:lang w:eastAsia="en-US"/>
        </w:rPr>
      </w:pPr>
    </w:p>
    <w:p w14:paraId="2D715603" w14:textId="62157C9D" w:rsidR="00BD19B9" w:rsidRDefault="00C13D87" w:rsidP="001D43FA">
      <w:pPr>
        <w:tabs>
          <w:tab w:val="clear" w:pos="288"/>
        </w:tabs>
        <w:spacing w:after="240" w:line="276" w:lineRule="auto"/>
        <w:rPr>
          <w:rFonts w:cs="Arial"/>
        </w:rPr>
      </w:pPr>
      <w:r>
        <w:rPr>
          <w:rFonts w:cs="Arial"/>
        </w:rPr>
        <w:t>QAI and ATSILS</w:t>
      </w:r>
      <w:r w:rsidR="00B76E28">
        <w:rPr>
          <w:rFonts w:cs="Arial"/>
        </w:rPr>
        <w:t xml:space="preserve"> are</w:t>
      </w:r>
      <w:r w:rsidR="00BC6C38">
        <w:rPr>
          <w:rFonts w:cs="Arial"/>
        </w:rPr>
        <w:t xml:space="preserve"> also aware of inconsistencies and </w:t>
      </w:r>
      <w:r w:rsidR="00BC6C38" w:rsidRPr="00823AD0">
        <w:rPr>
          <w:rFonts w:cs="Arial"/>
        </w:rPr>
        <w:t>inadequacies</w:t>
      </w:r>
      <w:r w:rsidR="00BC6C38">
        <w:rPr>
          <w:rFonts w:cs="Arial"/>
        </w:rPr>
        <w:t xml:space="preserve"> with </w:t>
      </w:r>
      <w:r w:rsidR="000A6443">
        <w:rPr>
          <w:rFonts w:cs="Arial"/>
        </w:rPr>
        <w:t>the Department’s c</w:t>
      </w:r>
      <w:r w:rsidR="00BC6C38">
        <w:rPr>
          <w:rFonts w:cs="Arial"/>
        </w:rPr>
        <w:t>urrent review and appeal</w:t>
      </w:r>
      <w:r w:rsidR="000A6443">
        <w:rPr>
          <w:rFonts w:cs="Arial"/>
        </w:rPr>
        <w:t>s</w:t>
      </w:r>
      <w:r w:rsidR="00BC6C38">
        <w:rPr>
          <w:rFonts w:cs="Arial"/>
        </w:rPr>
        <w:t xml:space="preserve"> processes regarding decisions to suspend, exclude or cancel a student’s enrolment. For example, short-term suspensions </w:t>
      </w:r>
      <w:r w:rsidR="00BC6C38" w:rsidRPr="4D3E2CA3">
        <w:rPr>
          <w:rFonts w:cs="Arial"/>
        </w:rPr>
        <w:t xml:space="preserve">(suspensions of </w:t>
      </w:r>
      <w:r w:rsidR="001746EC">
        <w:rPr>
          <w:rFonts w:cs="Arial"/>
        </w:rPr>
        <w:t>up to</w:t>
      </w:r>
      <w:r w:rsidR="00BC6C38" w:rsidRPr="4D3E2CA3">
        <w:rPr>
          <w:rFonts w:cs="Arial"/>
        </w:rPr>
        <w:t xml:space="preserve"> 10 school days) </w:t>
      </w:r>
      <w:r w:rsidR="00BC6C38">
        <w:rPr>
          <w:rFonts w:cs="Arial"/>
        </w:rPr>
        <w:t>are unable to be reviewed or appealed at all</w:t>
      </w:r>
      <w:r w:rsidR="00BC6C38" w:rsidRPr="4D3E2CA3">
        <w:rPr>
          <w:rFonts w:cs="Arial"/>
        </w:rPr>
        <w:t>, with the only review option a complaint utilising the Department’s Customer Complaints Process</w:t>
      </w:r>
      <w:r w:rsidR="00BC6C38">
        <w:rPr>
          <w:rFonts w:cs="Arial"/>
        </w:rPr>
        <w:t>.</w:t>
      </w:r>
      <w:r w:rsidR="00BC6C38">
        <w:rPr>
          <w:rStyle w:val="FootnoteReference"/>
          <w:rFonts w:cs="Arial"/>
        </w:rPr>
        <w:footnoteReference w:id="41"/>
      </w:r>
      <w:r w:rsidR="00BC6C38">
        <w:rPr>
          <w:rFonts w:cs="Arial"/>
        </w:rPr>
        <w:t xml:space="preserve"> </w:t>
      </w:r>
      <w:r w:rsidR="00BC6C38" w:rsidRPr="4D3E2CA3">
        <w:rPr>
          <w:rFonts w:cs="Arial"/>
        </w:rPr>
        <w:t xml:space="preserve">There is no avenue of external appeal from the decision in response to the complaint. </w:t>
      </w:r>
      <w:r w:rsidR="00BC6C38">
        <w:rPr>
          <w:rFonts w:cs="Arial"/>
        </w:rPr>
        <w:t xml:space="preserve">This lack of administrative oversight applies even if a school </w:t>
      </w:r>
      <w:r w:rsidR="00296453">
        <w:rPr>
          <w:rFonts w:cs="Arial"/>
        </w:rPr>
        <w:t>gives</w:t>
      </w:r>
      <w:r w:rsidR="00BC6C38">
        <w:rPr>
          <w:rFonts w:cs="Arial"/>
        </w:rPr>
        <w:t xml:space="preserve"> repeated short-term suspensions </w:t>
      </w:r>
      <w:r w:rsidR="00296453">
        <w:rPr>
          <w:rFonts w:cs="Arial"/>
        </w:rPr>
        <w:t>t</w:t>
      </w:r>
      <w:r w:rsidR="00BC6C38">
        <w:rPr>
          <w:rFonts w:cs="Arial"/>
        </w:rPr>
        <w:t>o the same student. QAI supported one student who was suspended more than eight times in a year, for up to ten days per suspension. Short-term suspensions can only be the subject of a complaint. In QAI’s experience, complaints are often met with lengthy delays and a reluctance to engage directly with students and their parents to resolve the matter.</w:t>
      </w:r>
      <w:r w:rsidR="00BC6C38" w:rsidRPr="4D3E2CA3">
        <w:rPr>
          <w:rFonts w:cs="Arial"/>
        </w:rPr>
        <w:t xml:space="preserve"> There are also concerns about the independence of the internal complaints process, with complaints </w:t>
      </w:r>
      <w:r w:rsidR="00BC6C38">
        <w:rPr>
          <w:rFonts w:cs="Arial"/>
        </w:rPr>
        <w:t>having</w:t>
      </w:r>
      <w:r w:rsidR="00BC6C38" w:rsidRPr="4D3E2CA3">
        <w:rPr>
          <w:rFonts w:cs="Arial"/>
        </w:rPr>
        <w:t xml:space="preserve"> be</w:t>
      </w:r>
      <w:r w:rsidR="00BC6C38">
        <w:rPr>
          <w:rFonts w:cs="Arial"/>
        </w:rPr>
        <w:t>e</w:t>
      </w:r>
      <w:r w:rsidR="00BC6C38" w:rsidRPr="4D3E2CA3">
        <w:rPr>
          <w:rFonts w:cs="Arial"/>
        </w:rPr>
        <w:t>n referred by the Regional Office back to</w:t>
      </w:r>
      <w:r w:rsidR="00BD19B9" w:rsidRPr="00BD19B9">
        <w:rPr>
          <w:rFonts w:cs="Arial"/>
        </w:rPr>
        <w:t xml:space="preserve"> </w:t>
      </w:r>
      <w:r w:rsidR="00BD19B9" w:rsidRPr="4D3E2CA3">
        <w:rPr>
          <w:rFonts w:cs="Arial"/>
        </w:rPr>
        <w:t>the original decision-maker for determination in practice, rather than to an independent decision-maker, despite this not</w:t>
      </w:r>
      <w:r w:rsidR="00BD19B9">
        <w:rPr>
          <w:rFonts w:cs="Arial"/>
        </w:rPr>
        <w:t xml:space="preserve"> being</w:t>
      </w:r>
      <w:r w:rsidR="00BD19B9" w:rsidRPr="4D3E2CA3">
        <w:rPr>
          <w:rFonts w:cs="Arial"/>
        </w:rPr>
        <w:t xml:space="preserve"> permitted by the legislation.</w:t>
      </w:r>
      <w:r w:rsidR="00BD19B9" w:rsidRPr="28BFB73C">
        <w:rPr>
          <w:rStyle w:val="FootnoteReference"/>
          <w:rFonts w:cs="Arial"/>
        </w:rPr>
        <w:footnoteReference w:id="42"/>
      </w:r>
    </w:p>
    <w:p w14:paraId="6FFD8CA6" w14:textId="73D4F191" w:rsidR="00BD19B9" w:rsidRPr="0002664D" w:rsidRDefault="00BD19B9" w:rsidP="001D43FA">
      <w:pPr>
        <w:tabs>
          <w:tab w:val="clear" w:pos="288"/>
        </w:tabs>
        <w:spacing w:after="240" w:line="276" w:lineRule="auto"/>
        <w:rPr>
          <w:rFonts w:cs="Arial"/>
        </w:rPr>
      </w:pPr>
      <w:r>
        <w:rPr>
          <w:rFonts w:cs="Arial"/>
        </w:rPr>
        <w:t>Further, an internal review of a long-term suspension or exclusion decision can take up to 40 school days to complete</w:t>
      </w:r>
      <w:r w:rsidRPr="4D3E2CA3">
        <w:rPr>
          <w:rFonts w:cs="Arial"/>
        </w:rPr>
        <w:t>,</w:t>
      </w:r>
      <w:r>
        <w:rPr>
          <w:rStyle w:val="FootnoteReference"/>
          <w:rFonts w:cs="Arial"/>
        </w:rPr>
        <w:footnoteReference w:id="43"/>
      </w:r>
      <w:r>
        <w:rPr>
          <w:rFonts w:cs="Arial"/>
        </w:rPr>
        <w:t xml:space="preserve"> during which time the student may not be accessing any education.</w:t>
      </w:r>
      <w:r w:rsidRPr="28BFB73C">
        <w:rPr>
          <w:rStyle w:val="FootnoteReference"/>
          <w:rFonts w:cs="Arial"/>
        </w:rPr>
        <w:footnoteReference w:id="44"/>
      </w:r>
      <w:r>
        <w:rPr>
          <w:rFonts w:cs="Arial"/>
        </w:rPr>
        <w:t xml:space="preserve"> Permanent exclusions can be reviewed initially and then annually</w:t>
      </w:r>
      <w:r w:rsidRPr="4D3E2CA3">
        <w:rPr>
          <w:rFonts w:cs="Arial"/>
        </w:rPr>
        <w:t>;</w:t>
      </w:r>
      <w:r>
        <w:rPr>
          <w:rStyle w:val="FootnoteReference"/>
          <w:rFonts w:cs="Arial"/>
        </w:rPr>
        <w:footnoteReference w:id="45"/>
      </w:r>
      <w:r>
        <w:rPr>
          <w:rFonts w:cs="Arial"/>
        </w:rPr>
        <w:t xml:space="preserve"> yet a refusal-to-enrol decision can be reviewed externally by Queensland’s Civil and Administrative Tribunal (QCAT) following an unsatisfactory internal review and the issuance of a ‘RTE-11:Notice - Outcome of a review of a decision re refusal to enrol’.</w:t>
      </w:r>
      <w:r>
        <w:rPr>
          <w:rStyle w:val="FootnoteReference"/>
          <w:rFonts w:cs="Arial"/>
        </w:rPr>
        <w:footnoteReference w:id="46"/>
      </w:r>
      <w:r>
        <w:rPr>
          <w:rFonts w:cs="Arial"/>
        </w:rPr>
        <w:t xml:space="preserve"> </w:t>
      </w:r>
      <w:r w:rsidRPr="4D3E2CA3">
        <w:rPr>
          <w:rFonts w:cs="Arial"/>
        </w:rPr>
        <w:t xml:space="preserve">There is a </w:t>
      </w:r>
      <w:r>
        <w:rPr>
          <w:rFonts w:cs="Arial"/>
        </w:rPr>
        <w:t>right to external review at QCAT for a ‘review of the review decision’</w:t>
      </w:r>
      <w:r w:rsidRPr="4D3E2CA3">
        <w:rPr>
          <w:rFonts w:cs="Arial"/>
        </w:rPr>
        <w:t>,</w:t>
      </w:r>
      <w:r w:rsidRPr="28BFB73C">
        <w:rPr>
          <w:rStyle w:val="FootnoteReference"/>
          <w:rFonts w:cs="Arial"/>
        </w:rPr>
        <w:footnoteReference w:id="47"/>
      </w:r>
      <w:r>
        <w:rPr>
          <w:rFonts w:cs="Arial"/>
        </w:rPr>
        <w:t xml:space="preserve"> </w:t>
      </w:r>
      <w:r w:rsidRPr="4D3E2CA3">
        <w:rPr>
          <w:rFonts w:cs="Arial"/>
        </w:rPr>
        <w:t>or from a decision to exclude a student from all state schools.</w:t>
      </w:r>
      <w:r w:rsidRPr="28BFB73C">
        <w:rPr>
          <w:rStyle w:val="FootnoteReference"/>
          <w:rFonts w:cs="Arial"/>
        </w:rPr>
        <w:footnoteReference w:id="48"/>
      </w:r>
      <w:r w:rsidRPr="4D3E2CA3">
        <w:rPr>
          <w:rFonts w:cs="Arial"/>
        </w:rPr>
        <w:t xml:space="preserve">  H</w:t>
      </w:r>
      <w:r>
        <w:rPr>
          <w:rFonts w:cs="Arial"/>
        </w:rPr>
        <w:t xml:space="preserve">owever </w:t>
      </w:r>
      <w:r w:rsidRPr="4D3E2CA3">
        <w:rPr>
          <w:rFonts w:cs="Arial"/>
        </w:rPr>
        <w:t xml:space="preserve">this right </w:t>
      </w:r>
      <w:r>
        <w:rPr>
          <w:rFonts w:cs="Arial"/>
        </w:rPr>
        <w:t xml:space="preserve">is not acknowledged </w:t>
      </w:r>
      <w:r w:rsidRPr="4D3E2CA3">
        <w:rPr>
          <w:rFonts w:cs="Arial"/>
        </w:rPr>
        <w:t xml:space="preserve">or </w:t>
      </w:r>
      <w:r>
        <w:rPr>
          <w:rFonts w:cs="Arial"/>
        </w:rPr>
        <w:t>reference</w:t>
      </w:r>
      <w:r w:rsidRPr="4D3E2CA3">
        <w:rPr>
          <w:rFonts w:cs="Arial"/>
        </w:rPr>
        <w:t>d</w:t>
      </w:r>
      <w:r>
        <w:rPr>
          <w:rFonts w:cs="Arial"/>
        </w:rPr>
        <w:t xml:space="preserve"> in any other resource provided by the Department in relation to review and appeals processes, which instead cite the Queensland Human Rights </w:t>
      </w:r>
      <w:r>
        <w:rPr>
          <w:rFonts w:cs="Arial"/>
        </w:rPr>
        <w:lastRenderedPageBreak/>
        <w:t xml:space="preserve">Commission and Queensland Ombudsman as the </w:t>
      </w:r>
      <w:r w:rsidRPr="4649439E">
        <w:rPr>
          <w:rFonts w:cs="Arial"/>
        </w:rPr>
        <w:t xml:space="preserve">appropriate external bodies to review unsatisfactory internal review decisions. </w:t>
      </w:r>
      <w:r w:rsidRPr="4D3E2CA3">
        <w:rPr>
          <w:rFonts w:cs="Arial"/>
        </w:rPr>
        <w:t>This is concern</w:t>
      </w:r>
      <w:r w:rsidR="004A56FF">
        <w:rPr>
          <w:rFonts w:cs="Arial"/>
        </w:rPr>
        <w:t>ing</w:t>
      </w:r>
      <w:r w:rsidRPr="4D3E2CA3">
        <w:rPr>
          <w:rFonts w:cs="Arial"/>
        </w:rPr>
        <w:t xml:space="preserve"> as many </w:t>
      </w:r>
      <w:proofErr w:type="gramStart"/>
      <w:r w:rsidRPr="4D3E2CA3">
        <w:rPr>
          <w:rFonts w:cs="Arial"/>
        </w:rPr>
        <w:t>parents</w:t>
      </w:r>
      <w:proofErr w:type="gramEnd"/>
      <w:r w:rsidRPr="4D3E2CA3">
        <w:rPr>
          <w:rFonts w:cs="Arial"/>
        </w:rPr>
        <w:t xml:space="preserve"> and students will not have obtained or have access to legal advice and will therefore not be aware of this right </w:t>
      </w:r>
      <w:r w:rsidR="00C36CDA">
        <w:rPr>
          <w:rFonts w:cs="Arial"/>
        </w:rPr>
        <w:t>to</w:t>
      </w:r>
      <w:r w:rsidRPr="4D3E2CA3">
        <w:rPr>
          <w:rFonts w:cs="Arial"/>
        </w:rPr>
        <w:t xml:space="preserve"> external review.</w:t>
      </w:r>
    </w:p>
    <w:p w14:paraId="57250CA5" w14:textId="6E0525DF" w:rsidR="004B3B23" w:rsidRPr="004B3B23" w:rsidRDefault="00BD19B9" w:rsidP="004B3B23">
      <w:pPr>
        <w:tabs>
          <w:tab w:val="clear" w:pos="288"/>
          <w:tab w:val="left" w:pos="0"/>
        </w:tabs>
        <w:spacing w:before="240" w:after="120" w:line="276" w:lineRule="auto"/>
        <w:rPr>
          <w:szCs w:val="22"/>
        </w:rPr>
      </w:pPr>
      <w:r w:rsidRPr="001267BD">
        <w:rPr>
          <w:szCs w:val="22"/>
        </w:rPr>
        <w:t xml:space="preserve">Lengthy, </w:t>
      </w:r>
      <w:r w:rsidR="003871DA" w:rsidRPr="001267BD">
        <w:rPr>
          <w:szCs w:val="22"/>
        </w:rPr>
        <w:t>complex,</w:t>
      </w:r>
      <w:r w:rsidRPr="001267BD">
        <w:rPr>
          <w:szCs w:val="22"/>
        </w:rPr>
        <w:t xml:space="preserve"> and cumbersome review processes exacerbate the harm caused by the disproportionate use of SDAs on students </w:t>
      </w:r>
      <w:r w:rsidR="00A87C0A">
        <w:rPr>
          <w:szCs w:val="22"/>
        </w:rPr>
        <w:t>with backgrounds of disadvantag</w:t>
      </w:r>
      <w:r w:rsidR="00222A69">
        <w:rPr>
          <w:szCs w:val="22"/>
        </w:rPr>
        <w:t>e</w:t>
      </w:r>
      <w:r w:rsidRPr="001267BD">
        <w:rPr>
          <w:szCs w:val="22"/>
        </w:rPr>
        <w:t xml:space="preserve">. Such practices raise </w:t>
      </w:r>
      <w:r>
        <w:rPr>
          <w:szCs w:val="22"/>
        </w:rPr>
        <w:t>concern</w:t>
      </w:r>
      <w:r w:rsidRPr="001267BD">
        <w:rPr>
          <w:szCs w:val="22"/>
        </w:rPr>
        <w:t xml:space="preserve"> regarding due process and the transparency and </w:t>
      </w:r>
      <w:r>
        <w:rPr>
          <w:szCs w:val="22"/>
        </w:rPr>
        <w:t>accountability</w:t>
      </w:r>
      <w:r w:rsidRPr="001267BD">
        <w:rPr>
          <w:szCs w:val="22"/>
        </w:rPr>
        <w:t xml:space="preserve"> of decision-making within the Department. </w:t>
      </w:r>
      <w:r>
        <w:rPr>
          <w:szCs w:val="22"/>
        </w:rPr>
        <w:t>T</w:t>
      </w:r>
      <w:r w:rsidRPr="001267BD">
        <w:rPr>
          <w:szCs w:val="22"/>
        </w:rPr>
        <w:t xml:space="preserve">hey bring into question key issues of procedural fairness which must remain at the very core of government decision-making. The subsequent anguish felt by students and their parents leads to mounting frustration, communication breakdown and can irreparably damage vital partnerships between students, </w:t>
      </w:r>
      <w:r w:rsidR="00957B74" w:rsidRPr="001267BD">
        <w:rPr>
          <w:szCs w:val="22"/>
        </w:rPr>
        <w:t>parents,</w:t>
      </w:r>
      <w:r w:rsidRPr="001267BD">
        <w:rPr>
          <w:szCs w:val="22"/>
        </w:rPr>
        <w:t xml:space="preserve"> and schools.</w:t>
      </w:r>
    </w:p>
    <w:p w14:paraId="36B5D65E" w14:textId="46B6353C" w:rsidR="004B3B23" w:rsidRPr="00470D01" w:rsidRDefault="004B3B23" w:rsidP="004B3B23">
      <w:pPr>
        <w:tabs>
          <w:tab w:val="clear" w:pos="288"/>
          <w:tab w:val="left" w:pos="0"/>
        </w:tabs>
        <w:spacing w:after="240" w:line="276" w:lineRule="auto"/>
        <w:ind w:firstLine="166"/>
        <w:rPr>
          <w:rFonts w:cs="Arial"/>
          <w:b/>
          <w:bCs/>
          <w:i/>
          <w:iCs/>
          <w:szCs w:val="22"/>
        </w:rPr>
      </w:pPr>
      <w:r w:rsidRPr="00470D01">
        <w:rPr>
          <w:rFonts w:cs="Arial"/>
          <w:b/>
          <w:bCs/>
          <w:i/>
          <w:iCs/>
          <w:szCs w:val="22"/>
        </w:rPr>
        <w:t>Case study</w:t>
      </w:r>
    </w:p>
    <w:p w14:paraId="78EDA059" w14:textId="77777777" w:rsidR="004B3B23" w:rsidRPr="00234DFD" w:rsidRDefault="004B3B23" w:rsidP="004B3B23">
      <w:pPr>
        <w:tabs>
          <w:tab w:val="clear" w:pos="288"/>
        </w:tabs>
        <w:spacing w:after="240" w:line="276" w:lineRule="auto"/>
        <w:ind w:left="166" w:right="384"/>
        <w:rPr>
          <w:rFonts w:cs="Arial"/>
          <w:i/>
          <w:iCs/>
        </w:rPr>
      </w:pPr>
      <w:r w:rsidRPr="00C72B7E">
        <w:rPr>
          <w:rFonts w:cs="Arial"/>
          <w:i/>
          <w:iCs/>
        </w:rPr>
        <w:t xml:space="preserve">Belinda* is a primary school student </w:t>
      </w:r>
      <w:r w:rsidRPr="28BFB73C">
        <w:rPr>
          <w:rFonts w:cs="Arial"/>
          <w:i/>
          <w:iCs/>
        </w:rPr>
        <w:t xml:space="preserve">with ASD Level 3, ADHD, language disorder and significant sensory processing issues who was permanently excluded from her school following repeat suspensions (six in total), commencing when she was eight (8) years old. Belinda was thriving in a mainstream school with support from the Special Education Unit, until a change of key staff in that Unit significantly altered the inclusivity of the school, and her educational experience. While Belinda had been accustomed to an inclusive and disability-aware schooling environment, the new Head of Special Education failed to provide reasonable adjustments in circumstances that led to an escalation of behaviour. This ultimately led to disciplinary action by the </w:t>
      </w:r>
      <w:proofErr w:type="gramStart"/>
      <w:r w:rsidRPr="28BFB73C">
        <w:rPr>
          <w:rFonts w:cs="Arial"/>
          <w:i/>
          <w:iCs/>
        </w:rPr>
        <w:t>School</w:t>
      </w:r>
      <w:proofErr w:type="gramEnd"/>
      <w:r w:rsidRPr="28BFB73C">
        <w:rPr>
          <w:rFonts w:cs="Arial"/>
          <w:i/>
          <w:iCs/>
        </w:rPr>
        <w:t>,</w:t>
      </w:r>
      <w:r>
        <w:rPr>
          <w:rFonts w:cs="Arial"/>
          <w:i/>
          <w:iCs/>
        </w:rPr>
        <w:t xml:space="preserve"> </w:t>
      </w:r>
      <w:r w:rsidRPr="28BFB73C">
        <w:rPr>
          <w:rFonts w:cs="Arial"/>
          <w:i/>
          <w:iCs/>
        </w:rPr>
        <w:t>including six (6) suspensions, the application of Restrictive Practices (Belinda was locked in a sensory room on several occasions and placed in a segregated space during school hours). Following her exclusion, Belinda experienced a sustained period where she received no educational materials or support, which her mother sought to enrol her in another school. Belinda attended a total of 38 days of school in the 2020 school year.</w:t>
      </w:r>
    </w:p>
    <w:p w14:paraId="5B86B7B0" w14:textId="68A2A3A2" w:rsidR="006C5DAC" w:rsidRPr="004B3B23" w:rsidRDefault="004B3B23" w:rsidP="006C5DAC">
      <w:pPr>
        <w:spacing w:after="120" w:line="276" w:lineRule="auto"/>
        <w:ind w:firstLine="166"/>
        <w:rPr>
          <w:rFonts w:cstheme="minorBidi"/>
          <w:i/>
          <w:iCs/>
        </w:rPr>
      </w:pPr>
      <w:r>
        <w:rPr>
          <w:rFonts w:cstheme="minorBidi"/>
          <w:i/>
          <w:iCs/>
        </w:rPr>
        <w:t xml:space="preserve">     </w:t>
      </w:r>
      <w:r w:rsidRPr="08DC44EE">
        <w:rPr>
          <w:rFonts w:cstheme="minorBidi"/>
          <w:i/>
          <w:iCs/>
        </w:rPr>
        <w:t xml:space="preserve">*Name has been changed to protect confidentiality </w:t>
      </w:r>
    </w:p>
    <w:p w14:paraId="751AF1D6" w14:textId="1CF8690A" w:rsidR="001E6597" w:rsidRPr="00072671" w:rsidRDefault="0079031F" w:rsidP="00DB180D">
      <w:pPr>
        <w:pStyle w:val="Heading1"/>
        <w:spacing w:after="240"/>
        <w:rPr>
          <w:color w:val="404040" w:themeColor="text1" w:themeTint="BF"/>
        </w:rPr>
      </w:pPr>
      <w:r>
        <w:rPr>
          <w:color w:val="404040" w:themeColor="text1" w:themeTint="BF"/>
        </w:rPr>
        <w:t>Legislative and p</w:t>
      </w:r>
      <w:r w:rsidR="00F31A39" w:rsidRPr="00072671">
        <w:rPr>
          <w:color w:val="404040" w:themeColor="text1" w:themeTint="BF"/>
        </w:rPr>
        <w:t>olicy context</w:t>
      </w:r>
    </w:p>
    <w:p w14:paraId="5C0631CE" w14:textId="05CD14EF" w:rsidR="005321BB" w:rsidRDefault="0079031F" w:rsidP="005321BB">
      <w:pPr>
        <w:spacing w:after="240" w:line="276" w:lineRule="auto"/>
        <w:rPr>
          <w:lang w:eastAsia="en-US"/>
        </w:rPr>
      </w:pPr>
      <w:r>
        <w:rPr>
          <w:lang w:eastAsia="en-US"/>
        </w:rPr>
        <w:t xml:space="preserve">Legislative changes introduced in 2014 have had a lasting effect on the use of SDAs on disadvantaged students in Queensland. </w:t>
      </w:r>
      <w:r w:rsidR="000552C3">
        <w:t>A</w:t>
      </w:r>
      <w:r>
        <w:rPr>
          <w:lang w:eastAsia="en-US"/>
        </w:rPr>
        <w:t xml:space="preserve">mendments in the </w:t>
      </w:r>
      <w:r w:rsidRPr="00EF09BE">
        <w:rPr>
          <w:i/>
          <w:iCs/>
          <w:lang w:eastAsia="en-US"/>
        </w:rPr>
        <w:t xml:space="preserve">Education (Strengthening Discipline in State Schools) Amendment </w:t>
      </w:r>
      <w:r>
        <w:rPr>
          <w:i/>
          <w:iCs/>
          <w:lang w:eastAsia="en-US"/>
        </w:rPr>
        <w:t>Act 2013</w:t>
      </w:r>
      <w:r w:rsidRPr="00EF09BE">
        <w:rPr>
          <w:i/>
          <w:iCs/>
          <w:lang w:eastAsia="en-US"/>
        </w:rPr>
        <w:t xml:space="preserve"> </w:t>
      </w:r>
      <w:r>
        <w:rPr>
          <w:lang w:eastAsia="en-US"/>
        </w:rPr>
        <w:t>(Qld) dramatically increased the discretionary powers of school principals with regards to SDAs and extended the length of short-term (and therefore non-reviewable) suspensions from 5 to 10 days. This purportedly happened at the request of school principals yet occurred despite a reported decline in the use of suspensions in the three-year period immediately preceding it.</w:t>
      </w:r>
      <w:r>
        <w:rPr>
          <w:rStyle w:val="FootnoteReference"/>
          <w:lang w:eastAsia="en-US"/>
        </w:rPr>
        <w:footnoteReference w:id="49"/>
      </w:r>
      <w:r>
        <w:rPr>
          <w:lang w:eastAsia="en-US"/>
        </w:rPr>
        <w:t xml:space="preserve"> Despite intentions that increasing the discretionary power of principals responding to behaviours of concern would result in a </w:t>
      </w:r>
      <w:r w:rsidRPr="000873BD">
        <w:rPr>
          <w:i/>
          <w:iCs/>
          <w:lang w:eastAsia="en-US"/>
        </w:rPr>
        <w:t>reduction</w:t>
      </w:r>
      <w:r>
        <w:rPr>
          <w:lang w:eastAsia="en-US"/>
        </w:rPr>
        <w:t xml:space="preserve"> in the number of SDAs, the available evidence suggests that the opposite has occurred.</w:t>
      </w:r>
      <w:r>
        <w:rPr>
          <w:rStyle w:val="FootnoteReference"/>
          <w:lang w:eastAsia="en-US"/>
        </w:rPr>
        <w:footnoteReference w:id="50"/>
      </w:r>
    </w:p>
    <w:p w14:paraId="5FEE6D56" w14:textId="77777777" w:rsidR="005E1F3D" w:rsidRDefault="0079031F" w:rsidP="005E1F3D">
      <w:pPr>
        <w:tabs>
          <w:tab w:val="clear" w:pos="288"/>
        </w:tabs>
        <w:spacing w:after="120" w:line="276" w:lineRule="auto"/>
        <w:rPr>
          <w:lang w:eastAsia="en-US"/>
        </w:rPr>
      </w:pPr>
      <w:r>
        <w:rPr>
          <w:lang w:eastAsia="en-US"/>
        </w:rPr>
        <w:t xml:space="preserve">Increased discretionary power of school principals and the subsequent inconsistencies in their decision-making has made it extremely difficult for students and their families to know what to expect. This is exacerbated further by inconsistencies in the approaches taken by regional offices throughout Queensland </w:t>
      </w:r>
      <w:r>
        <w:rPr>
          <w:lang w:eastAsia="en-US"/>
        </w:rPr>
        <w:lastRenderedPageBreak/>
        <w:t xml:space="preserve">with respect to the level of support provided (or lack thereof) to students who have been excluded or suspended from school. For example, some regional offices provide case management support to students who have had their enrolment cancelled, whereas others do not. Students in these districts can become lost in the system without anyone supporting them to enrol in an alternative school. For students with disability, this can be an almost impossible task due to gatekeeping practices of some school principals and the prejudicial content of incident reports on One School. </w:t>
      </w:r>
    </w:p>
    <w:p w14:paraId="2D0F5532" w14:textId="40C85194" w:rsidR="0079031F" w:rsidRDefault="0079031F" w:rsidP="005E1F3D">
      <w:pPr>
        <w:tabs>
          <w:tab w:val="clear" w:pos="288"/>
        </w:tabs>
        <w:spacing w:after="120" w:line="276" w:lineRule="auto"/>
        <w:rPr>
          <w:lang w:eastAsia="en-US"/>
        </w:rPr>
      </w:pPr>
      <w:r>
        <w:t xml:space="preserve">Whilst the </w:t>
      </w:r>
      <w:r w:rsidRPr="00C3601B">
        <w:rPr>
          <w:i/>
          <w:iCs/>
        </w:rPr>
        <w:t>Human Rights Act 2019</w:t>
      </w:r>
      <w:r>
        <w:t xml:space="preserve"> (Qld) provides an important legislative safeguard, it does not apply to private schools and its complaints process can be challenging for people to navigate. Additional </w:t>
      </w:r>
      <w:r>
        <w:rPr>
          <w:lang w:eastAsia="en-US"/>
        </w:rPr>
        <w:t>legislative protections are therefore required to ensure vulnerable students do not continue to disproportionately receive SDAs. For example, complaints about the conduct of Departmental staff should be heard and managed by an independent body. Students with disability who receive an SDA should be routinely referred to an individual advocate and processes should afford the student opportunity to explain what has occurred. Further, an integration plan must be established following an SDA. Administrative safeguards prior to the issuance of an SDA are also necessary. For example, in South Australia, authorisation from the Chief Executive is required if a student is suspended more than four times within a school year.</w:t>
      </w:r>
      <w:r>
        <w:rPr>
          <w:rStyle w:val="FootnoteReference"/>
          <w:lang w:eastAsia="en-US"/>
        </w:rPr>
        <w:footnoteReference w:id="51"/>
      </w:r>
      <w:r>
        <w:rPr>
          <w:lang w:eastAsia="en-US"/>
        </w:rPr>
        <w:t xml:space="preserve"> Adoption of similar safeguards in Queensland would provide increased accountability for decisions that ultimately have a significant impact on the trajectories of students and their educational outcomes.</w:t>
      </w:r>
    </w:p>
    <w:p w14:paraId="25A9D8A1" w14:textId="0961F6B8" w:rsidR="004112FD" w:rsidRDefault="00C079C9" w:rsidP="009A3419">
      <w:pPr>
        <w:tabs>
          <w:tab w:val="clear" w:pos="288"/>
        </w:tabs>
        <w:spacing w:after="120" w:line="276" w:lineRule="auto"/>
        <w:rPr>
          <w:lang w:eastAsia="en-US"/>
        </w:rPr>
      </w:pPr>
      <w:r>
        <w:rPr>
          <w:lang w:eastAsia="en-US"/>
        </w:rPr>
        <w:t>Education is fundamentally about</w:t>
      </w:r>
      <w:r w:rsidR="0051341F">
        <w:rPr>
          <w:lang w:eastAsia="en-US"/>
        </w:rPr>
        <w:t xml:space="preserve"> socialising students and preparing them for adult life</w:t>
      </w:r>
      <w:r w:rsidR="0082525B">
        <w:rPr>
          <w:lang w:eastAsia="en-US"/>
        </w:rPr>
        <w:t>. It teach</w:t>
      </w:r>
      <w:r w:rsidR="00A17320">
        <w:rPr>
          <w:lang w:eastAsia="en-US"/>
        </w:rPr>
        <w:t>es</w:t>
      </w:r>
      <w:r w:rsidR="0082525B">
        <w:rPr>
          <w:lang w:eastAsia="en-US"/>
        </w:rPr>
        <w:t xml:space="preserve"> essential skills and facilitat</w:t>
      </w:r>
      <w:r w:rsidR="00A17320">
        <w:rPr>
          <w:lang w:eastAsia="en-US"/>
        </w:rPr>
        <w:t>es</w:t>
      </w:r>
      <w:r w:rsidR="0082525B">
        <w:rPr>
          <w:lang w:eastAsia="en-US"/>
        </w:rPr>
        <w:t xml:space="preserve"> pathway</w:t>
      </w:r>
      <w:r w:rsidR="00A17320">
        <w:rPr>
          <w:lang w:eastAsia="en-US"/>
        </w:rPr>
        <w:t>s</w:t>
      </w:r>
      <w:r w:rsidR="0082525B">
        <w:rPr>
          <w:lang w:eastAsia="en-US"/>
        </w:rPr>
        <w:t xml:space="preserve"> to employment and </w:t>
      </w:r>
      <w:r w:rsidR="009D737C">
        <w:rPr>
          <w:lang w:eastAsia="en-US"/>
        </w:rPr>
        <w:t xml:space="preserve">the realisation of a meaningful </w:t>
      </w:r>
      <w:r w:rsidR="0030169E">
        <w:rPr>
          <w:lang w:eastAsia="en-US"/>
        </w:rPr>
        <w:t xml:space="preserve">life. However, </w:t>
      </w:r>
      <w:r w:rsidR="00653499">
        <w:rPr>
          <w:lang w:eastAsia="en-US"/>
        </w:rPr>
        <w:t xml:space="preserve">for some students, it is the beginning of the </w:t>
      </w:r>
      <w:r w:rsidR="0023398C">
        <w:rPr>
          <w:lang w:eastAsia="en-US"/>
        </w:rPr>
        <w:t>‘</w:t>
      </w:r>
      <w:r w:rsidR="00653499">
        <w:rPr>
          <w:lang w:eastAsia="en-US"/>
        </w:rPr>
        <w:t>school-to-prison</w:t>
      </w:r>
      <w:r w:rsidR="0092548F">
        <w:rPr>
          <w:lang w:eastAsia="en-US"/>
        </w:rPr>
        <w:t xml:space="preserve"> pipe</w:t>
      </w:r>
      <w:r w:rsidR="0088349A">
        <w:rPr>
          <w:lang w:eastAsia="en-US"/>
        </w:rPr>
        <w:t>line’</w:t>
      </w:r>
      <w:r w:rsidR="00BC7DB9">
        <w:rPr>
          <w:lang w:eastAsia="en-US"/>
        </w:rPr>
        <w:t xml:space="preserve">, where marginalised </w:t>
      </w:r>
      <w:r w:rsidR="003707E3">
        <w:rPr>
          <w:lang w:eastAsia="en-US"/>
        </w:rPr>
        <w:t>and excluded young people</w:t>
      </w:r>
      <w:r w:rsidR="00A15C72">
        <w:rPr>
          <w:lang w:eastAsia="en-US"/>
        </w:rPr>
        <w:t xml:space="preserve"> are at</w:t>
      </w:r>
      <w:r w:rsidR="00605669">
        <w:rPr>
          <w:lang w:eastAsia="en-US"/>
        </w:rPr>
        <w:t xml:space="preserve"> greater</w:t>
      </w:r>
      <w:r w:rsidR="00A15C72">
        <w:rPr>
          <w:lang w:eastAsia="en-US"/>
        </w:rPr>
        <w:t xml:space="preserve"> risk of incarceration.</w:t>
      </w:r>
      <w:r w:rsidR="00A15C72">
        <w:rPr>
          <w:rStyle w:val="FootnoteReference"/>
          <w:lang w:eastAsia="en-US"/>
        </w:rPr>
        <w:footnoteReference w:id="52"/>
      </w:r>
      <w:r w:rsidR="00CC6363">
        <w:rPr>
          <w:lang w:eastAsia="en-US"/>
        </w:rPr>
        <w:t xml:space="preserve"> The association between SDAs and antisocial behaviour resulting in prison sentences is </w:t>
      </w:r>
      <w:r w:rsidR="00427241">
        <w:rPr>
          <w:lang w:eastAsia="en-US"/>
        </w:rPr>
        <w:t xml:space="preserve">well established, both in Australia and </w:t>
      </w:r>
      <w:r w:rsidR="00B42506">
        <w:rPr>
          <w:lang w:eastAsia="en-US"/>
        </w:rPr>
        <w:t>overseas</w:t>
      </w:r>
      <w:r w:rsidR="001377B9">
        <w:rPr>
          <w:lang w:eastAsia="en-US"/>
        </w:rPr>
        <w:t xml:space="preserve">. </w:t>
      </w:r>
      <w:r w:rsidR="00B60C94">
        <w:rPr>
          <w:lang w:eastAsia="en-US"/>
        </w:rPr>
        <w:t>The l</w:t>
      </w:r>
      <w:r w:rsidR="001377B9">
        <w:rPr>
          <w:lang w:eastAsia="en-US"/>
        </w:rPr>
        <w:t>ack of supervision</w:t>
      </w:r>
      <w:r w:rsidR="00F83C88">
        <w:rPr>
          <w:lang w:eastAsia="en-US"/>
        </w:rPr>
        <w:t xml:space="preserve"> </w:t>
      </w:r>
      <w:r w:rsidR="00952335">
        <w:rPr>
          <w:lang w:eastAsia="en-US"/>
        </w:rPr>
        <w:t xml:space="preserve">that occurs following </w:t>
      </w:r>
      <w:r w:rsidR="00A31CF6">
        <w:rPr>
          <w:lang w:eastAsia="en-US"/>
        </w:rPr>
        <w:t xml:space="preserve">an SDA </w:t>
      </w:r>
      <w:r w:rsidR="00F83C88">
        <w:rPr>
          <w:lang w:eastAsia="en-US"/>
        </w:rPr>
        <w:t>increase</w:t>
      </w:r>
      <w:r w:rsidR="00A31CF6">
        <w:rPr>
          <w:lang w:eastAsia="en-US"/>
        </w:rPr>
        <w:t xml:space="preserve">s the </w:t>
      </w:r>
      <w:r w:rsidR="0075062F">
        <w:rPr>
          <w:lang w:eastAsia="en-US"/>
        </w:rPr>
        <w:t>likelihood</w:t>
      </w:r>
      <w:r w:rsidR="00F83C88">
        <w:rPr>
          <w:lang w:eastAsia="en-US"/>
        </w:rPr>
        <w:t xml:space="preserve"> of </w:t>
      </w:r>
      <w:r w:rsidR="00A31CF6">
        <w:rPr>
          <w:lang w:eastAsia="en-US"/>
        </w:rPr>
        <w:t xml:space="preserve">students </w:t>
      </w:r>
      <w:r w:rsidR="00F83C88">
        <w:rPr>
          <w:lang w:eastAsia="en-US"/>
        </w:rPr>
        <w:t xml:space="preserve">engaging in </w:t>
      </w:r>
      <w:r w:rsidR="00DC36D1">
        <w:rPr>
          <w:lang w:eastAsia="en-US"/>
        </w:rPr>
        <w:t xml:space="preserve">criminal activity </w:t>
      </w:r>
      <w:r w:rsidR="00952335">
        <w:rPr>
          <w:lang w:eastAsia="en-US"/>
        </w:rPr>
        <w:t xml:space="preserve">and therefore </w:t>
      </w:r>
      <w:proofErr w:type="gramStart"/>
      <w:r w:rsidR="00952335">
        <w:rPr>
          <w:lang w:eastAsia="en-US"/>
        </w:rPr>
        <w:t>coming into contact with</w:t>
      </w:r>
      <w:proofErr w:type="gramEnd"/>
      <w:r w:rsidR="00952335">
        <w:rPr>
          <w:lang w:eastAsia="en-US"/>
        </w:rPr>
        <w:t xml:space="preserve"> the criminal justice system.</w:t>
      </w:r>
      <w:r w:rsidR="00223C8F">
        <w:rPr>
          <w:rStyle w:val="FootnoteReference"/>
          <w:lang w:eastAsia="en-US"/>
        </w:rPr>
        <w:footnoteReference w:id="53"/>
      </w:r>
      <w:r w:rsidR="00952335">
        <w:rPr>
          <w:lang w:eastAsia="en-US"/>
        </w:rPr>
        <w:t xml:space="preserve"> </w:t>
      </w:r>
      <w:r w:rsidR="0075062F">
        <w:rPr>
          <w:lang w:eastAsia="en-US"/>
        </w:rPr>
        <w:t>This is particularly</w:t>
      </w:r>
      <w:r w:rsidR="00EE22F1">
        <w:rPr>
          <w:lang w:eastAsia="en-US"/>
        </w:rPr>
        <w:t xml:space="preserve"> </w:t>
      </w:r>
      <w:r w:rsidR="00A334B4">
        <w:rPr>
          <w:lang w:eastAsia="en-US"/>
        </w:rPr>
        <w:t>concerning for students with disability and Aboriginal and Torres Strait Islander students, given the overrepresentation of</w:t>
      </w:r>
      <w:r w:rsidR="00852B5C">
        <w:rPr>
          <w:lang w:eastAsia="en-US"/>
        </w:rPr>
        <w:t xml:space="preserve"> both</w:t>
      </w:r>
      <w:r w:rsidR="00A334B4">
        <w:rPr>
          <w:lang w:eastAsia="en-US"/>
        </w:rPr>
        <w:t xml:space="preserve"> people with disability and First Nations </w:t>
      </w:r>
      <w:r w:rsidR="00E56AFF">
        <w:rPr>
          <w:lang w:eastAsia="en-US"/>
        </w:rPr>
        <w:t>Australians in Queensland’s c</w:t>
      </w:r>
      <w:r w:rsidR="00B47B8F">
        <w:rPr>
          <w:lang w:eastAsia="en-US"/>
        </w:rPr>
        <w:t>orrectional facilities</w:t>
      </w:r>
      <w:r w:rsidR="00E56AFF">
        <w:rPr>
          <w:lang w:eastAsia="en-US"/>
        </w:rPr>
        <w:t>.</w:t>
      </w:r>
      <w:r w:rsidR="00E8053B">
        <w:rPr>
          <w:lang w:eastAsia="en-US"/>
        </w:rPr>
        <w:t xml:space="preserve"> The long-term costs</w:t>
      </w:r>
      <w:r w:rsidR="00440E3A">
        <w:rPr>
          <w:lang w:eastAsia="en-US"/>
        </w:rPr>
        <w:t xml:space="preserve"> can be</w:t>
      </w:r>
      <w:r w:rsidR="00720318">
        <w:rPr>
          <w:lang w:eastAsia="en-US"/>
        </w:rPr>
        <w:t xml:space="preserve"> very high. </w:t>
      </w:r>
      <w:r w:rsidR="00250A93">
        <w:rPr>
          <w:lang w:eastAsia="en-US"/>
        </w:rPr>
        <w:t>For individual students, they</w:t>
      </w:r>
      <w:r w:rsidR="00440E3A">
        <w:rPr>
          <w:lang w:eastAsia="en-US"/>
        </w:rPr>
        <w:t xml:space="preserve"> can</w:t>
      </w:r>
      <w:r w:rsidR="00250A93">
        <w:rPr>
          <w:lang w:eastAsia="en-US"/>
        </w:rPr>
        <w:t xml:space="preserve"> become alienated from school and</w:t>
      </w:r>
      <w:r w:rsidR="007B4EF0">
        <w:rPr>
          <w:lang w:eastAsia="en-US"/>
        </w:rPr>
        <w:t xml:space="preserve"> engage in behaviours that become </w:t>
      </w:r>
      <w:r w:rsidR="006A1599">
        <w:rPr>
          <w:lang w:eastAsia="en-US"/>
        </w:rPr>
        <w:t>‘an entrenched lifestyle’.</w:t>
      </w:r>
      <w:r w:rsidR="006A1599">
        <w:rPr>
          <w:rStyle w:val="FootnoteReference"/>
          <w:lang w:eastAsia="en-US"/>
        </w:rPr>
        <w:footnoteReference w:id="54"/>
      </w:r>
      <w:r w:rsidR="006A1599">
        <w:rPr>
          <w:lang w:eastAsia="en-US"/>
        </w:rPr>
        <w:t xml:space="preserve"> For </w:t>
      </w:r>
      <w:r w:rsidR="0092252D">
        <w:rPr>
          <w:lang w:eastAsia="en-US"/>
        </w:rPr>
        <w:t>society</w:t>
      </w:r>
      <w:r w:rsidR="006A1599">
        <w:rPr>
          <w:lang w:eastAsia="en-US"/>
        </w:rPr>
        <w:t xml:space="preserve">, there are </w:t>
      </w:r>
      <w:r w:rsidR="00B07C0C">
        <w:rPr>
          <w:lang w:eastAsia="en-US"/>
        </w:rPr>
        <w:t>repercussions</w:t>
      </w:r>
      <w:r w:rsidR="00ED28F6">
        <w:rPr>
          <w:lang w:eastAsia="en-US"/>
        </w:rPr>
        <w:t xml:space="preserve"> for</w:t>
      </w:r>
      <w:r w:rsidR="006A1599">
        <w:rPr>
          <w:lang w:eastAsia="en-US"/>
        </w:rPr>
        <w:t xml:space="preserve"> c</w:t>
      </w:r>
      <w:r w:rsidR="005706A0">
        <w:rPr>
          <w:lang w:eastAsia="en-US"/>
        </w:rPr>
        <w:t xml:space="preserve">ommunity safety and </w:t>
      </w:r>
      <w:r w:rsidR="00B07C0C">
        <w:rPr>
          <w:lang w:eastAsia="en-US"/>
        </w:rPr>
        <w:t>a</w:t>
      </w:r>
      <w:r w:rsidR="00D66FDF">
        <w:rPr>
          <w:lang w:eastAsia="en-US"/>
        </w:rPr>
        <w:t xml:space="preserve"> need for</w:t>
      </w:r>
      <w:r w:rsidR="00B07C0C">
        <w:rPr>
          <w:lang w:eastAsia="en-US"/>
        </w:rPr>
        <w:t xml:space="preserve"> increased</w:t>
      </w:r>
      <w:r w:rsidR="005706A0">
        <w:rPr>
          <w:lang w:eastAsia="en-US"/>
        </w:rPr>
        <w:t xml:space="preserve"> </w:t>
      </w:r>
      <w:r w:rsidR="005121A6">
        <w:rPr>
          <w:lang w:eastAsia="en-US"/>
        </w:rPr>
        <w:t>expenditure</w:t>
      </w:r>
      <w:r w:rsidR="005706A0">
        <w:rPr>
          <w:lang w:eastAsia="en-US"/>
        </w:rPr>
        <w:t xml:space="preserve"> on</w:t>
      </w:r>
      <w:r w:rsidR="005121A6">
        <w:rPr>
          <w:lang w:eastAsia="en-US"/>
        </w:rPr>
        <w:t xml:space="preserve"> an ever-growing prison population. </w:t>
      </w:r>
    </w:p>
    <w:p w14:paraId="09EA8AB3" w14:textId="182B9719" w:rsidR="00D85D2C" w:rsidRDefault="00AF173F" w:rsidP="009A3419">
      <w:pPr>
        <w:tabs>
          <w:tab w:val="clear" w:pos="288"/>
        </w:tabs>
        <w:spacing w:after="120" w:line="276" w:lineRule="auto"/>
        <w:rPr>
          <w:lang w:eastAsia="en-US"/>
        </w:rPr>
      </w:pPr>
      <w:r>
        <w:rPr>
          <w:lang w:eastAsia="en-US"/>
        </w:rPr>
        <w:t xml:space="preserve">The </w:t>
      </w:r>
      <w:r w:rsidR="00854E41">
        <w:rPr>
          <w:lang w:eastAsia="en-US"/>
        </w:rPr>
        <w:t>political</w:t>
      </w:r>
      <w:r>
        <w:rPr>
          <w:lang w:eastAsia="en-US"/>
        </w:rPr>
        <w:t xml:space="preserve"> context in which </w:t>
      </w:r>
      <w:r w:rsidR="00730760">
        <w:rPr>
          <w:lang w:eastAsia="en-US"/>
        </w:rPr>
        <w:t>decisions to issue SDAs to students</w:t>
      </w:r>
      <w:r>
        <w:rPr>
          <w:lang w:eastAsia="en-US"/>
        </w:rPr>
        <w:t xml:space="preserve"> must</w:t>
      </w:r>
      <w:r w:rsidR="006E0EE4">
        <w:rPr>
          <w:lang w:eastAsia="en-US"/>
        </w:rPr>
        <w:t xml:space="preserve"> also</w:t>
      </w:r>
      <w:r>
        <w:rPr>
          <w:lang w:eastAsia="en-US"/>
        </w:rPr>
        <w:t xml:space="preserve"> be </w:t>
      </w:r>
      <w:r w:rsidR="00035F34">
        <w:rPr>
          <w:lang w:eastAsia="en-US"/>
        </w:rPr>
        <w:t>consider</w:t>
      </w:r>
      <w:r>
        <w:rPr>
          <w:lang w:eastAsia="en-US"/>
        </w:rPr>
        <w:t xml:space="preserve">ed. </w:t>
      </w:r>
      <w:r w:rsidR="00561047">
        <w:rPr>
          <w:lang w:eastAsia="en-US"/>
        </w:rPr>
        <w:t xml:space="preserve">The </w:t>
      </w:r>
      <w:r w:rsidR="001914B4">
        <w:rPr>
          <w:lang w:eastAsia="en-US"/>
        </w:rPr>
        <w:t xml:space="preserve">role played by the </w:t>
      </w:r>
      <w:r w:rsidR="00717BFE">
        <w:rPr>
          <w:lang w:eastAsia="en-US"/>
        </w:rPr>
        <w:t>teacher’s</w:t>
      </w:r>
      <w:r w:rsidR="001914B4">
        <w:rPr>
          <w:lang w:eastAsia="en-US"/>
        </w:rPr>
        <w:t xml:space="preserve"> union and </w:t>
      </w:r>
      <w:r w:rsidR="00CC61B2">
        <w:rPr>
          <w:lang w:eastAsia="en-US"/>
        </w:rPr>
        <w:t xml:space="preserve">increasing </w:t>
      </w:r>
      <w:r w:rsidR="00136994">
        <w:rPr>
          <w:lang w:eastAsia="en-US"/>
        </w:rPr>
        <w:t xml:space="preserve">pressure felt by principals to be seen as </w:t>
      </w:r>
      <w:r w:rsidR="00A019ED">
        <w:rPr>
          <w:lang w:eastAsia="en-US"/>
        </w:rPr>
        <w:t>‘tough’ in responding to challenging behaviour</w:t>
      </w:r>
      <w:r w:rsidR="006118E2">
        <w:rPr>
          <w:lang w:eastAsia="en-US"/>
        </w:rPr>
        <w:t xml:space="preserve"> must be </w:t>
      </w:r>
      <w:r w:rsidR="00D567A0">
        <w:rPr>
          <w:lang w:eastAsia="en-US"/>
        </w:rPr>
        <w:t>acknowledged</w:t>
      </w:r>
      <w:r w:rsidR="006E0EE4">
        <w:rPr>
          <w:lang w:eastAsia="en-US"/>
        </w:rPr>
        <w:t xml:space="preserve"> </w:t>
      </w:r>
      <w:r w:rsidR="00E66190">
        <w:rPr>
          <w:lang w:eastAsia="en-US"/>
        </w:rPr>
        <w:t>if meaningful policy change is to occur.</w:t>
      </w:r>
      <w:r w:rsidR="006F10B5">
        <w:rPr>
          <w:lang w:eastAsia="en-US"/>
        </w:rPr>
        <w:t xml:space="preserve"> </w:t>
      </w:r>
      <w:r w:rsidR="007A0D22">
        <w:rPr>
          <w:lang w:eastAsia="en-US"/>
        </w:rPr>
        <w:t>However, w</w:t>
      </w:r>
      <w:r w:rsidR="00D85D2C">
        <w:rPr>
          <w:lang w:eastAsia="en-US"/>
        </w:rPr>
        <w:t xml:space="preserve">hile teachers can </w:t>
      </w:r>
      <w:r w:rsidR="00B64D3A">
        <w:rPr>
          <w:lang w:eastAsia="en-US"/>
        </w:rPr>
        <w:t>rely on</w:t>
      </w:r>
      <w:r w:rsidR="00D85D2C">
        <w:rPr>
          <w:lang w:eastAsia="en-US"/>
        </w:rPr>
        <w:t xml:space="preserve"> the union to advocate </w:t>
      </w:r>
      <w:r w:rsidR="00E46746">
        <w:rPr>
          <w:lang w:eastAsia="en-US"/>
        </w:rPr>
        <w:t xml:space="preserve">for </w:t>
      </w:r>
      <w:r w:rsidR="00D85D2C">
        <w:rPr>
          <w:lang w:eastAsia="en-US"/>
        </w:rPr>
        <w:t>their rights</w:t>
      </w:r>
      <w:r w:rsidR="00E46746">
        <w:rPr>
          <w:lang w:eastAsia="en-US"/>
        </w:rPr>
        <w:t xml:space="preserve">, </w:t>
      </w:r>
      <w:r w:rsidR="007A0D22">
        <w:rPr>
          <w:lang w:eastAsia="en-US"/>
        </w:rPr>
        <w:t xml:space="preserve">students who </w:t>
      </w:r>
      <w:r w:rsidR="00B60A40">
        <w:rPr>
          <w:lang w:eastAsia="en-US"/>
        </w:rPr>
        <w:t>u</w:t>
      </w:r>
      <w:r w:rsidR="006A000E">
        <w:rPr>
          <w:lang w:eastAsia="en-US"/>
        </w:rPr>
        <w:t>nfairly and disproportionately</w:t>
      </w:r>
      <w:r w:rsidR="00B60A40">
        <w:rPr>
          <w:lang w:eastAsia="en-US"/>
        </w:rPr>
        <w:t xml:space="preserve"> receive SDAs</w:t>
      </w:r>
      <w:r w:rsidR="00E46746">
        <w:rPr>
          <w:lang w:eastAsia="en-US"/>
        </w:rPr>
        <w:t xml:space="preserve"> without any administrative oversight or accountability</w:t>
      </w:r>
      <w:r w:rsidR="00B60A40">
        <w:rPr>
          <w:lang w:eastAsia="en-US"/>
        </w:rPr>
        <w:t xml:space="preserve"> </w:t>
      </w:r>
      <w:r w:rsidR="00624D82">
        <w:rPr>
          <w:lang w:eastAsia="en-US"/>
        </w:rPr>
        <w:t xml:space="preserve">do not have a comparable union </w:t>
      </w:r>
      <w:r w:rsidR="00FB69CD">
        <w:rPr>
          <w:lang w:eastAsia="en-US"/>
        </w:rPr>
        <w:t>to speak on their behalf.</w:t>
      </w:r>
    </w:p>
    <w:p w14:paraId="50D0A6BB" w14:textId="27F156FF" w:rsidR="009A3419" w:rsidRDefault="001A2678" w:rsidP="0030209A">
      <w:pPr>
        <w:tabs>
          <w:tab w:val="clear" w:pos="288"/>
        </w:tabs>
        <w:spacing w:after="120" w:line="276" w:lineRule="auto"/>
        <w:rPr>
          <w:lang w:eastAsia="en-US"/>
        </w:rPr>
      </w:pPr>
      <w:r>
        <w:rPr>
          <w:lang w:eastAsia="en-US"/>
        </w:rPr>
        <w:t xml:space="preserve">It </w:t>
      </w:r>
      <w:r w:rsidR="00656A88">
        <w:rPr>
          <w:lang w:eastAsia="en-US"/>
        </w:rPr>
        <w:t>should</w:t>
      </w:r>
      <w:r>
        <w:rPr>
          <w:lang w:eastAsia="en-US"/>
        </w:rPr>
        <w:t xml:space="preserve"> be noted that a</w:t>
      </w:r>
      <w:r w:rsidR="009A3419">
        <w:rPr>
          <w:lang w:eastAsia="en-US"/>
        </w:rPr>
        <w:t xml:space="preserve">ll of this is occurring at an unprecedented time in Australian </w:t>
      </w:r>
      <w:r w:rsidR="009427C5">
        <w:rPr>
          <w:lang w:eastAsia="en-US"/>
        </w:rPr>
        <w:t xml:space="preserve">history where the experiences of students with disabilities and their vulnerability to abuse, neglect and exploitation are under </w:t>
      </w:r>
      <w:r w:rsidR="009427C5">
        <w:rPr>
          <w:lang w:eastAsia="en-US"/>
        </w:rPr>
        <w:lastRenderedPageBreak/>
        <w:t>intense scrutiny by the Disability Royal Commission</w:t>
      </w:r>
      <w:r w:rsidR="00CF5AFD">
        <w:rPr>
          <w:lang w:eastAsia="en-US"/>
        </w:rPr>
        <w:t>.</w:t>
      </w:r>
      <w:r w:rsidR="00F63C13">
        <w:rPr>
          <w:lang w:eastAsia="en-US"/>
        </w:rPr>
        <w:t xml:space="preserve"> </w:t>
      </w:r>
      <w:r w:rsidR="00824DE7">
        <w:rPr>
          <w:lang w:eastAsia="en-US"/>
        </w:rPr>
        <w:t>T</w:t>
      </w:r>
      <w:r w:rsidR="00C662AA">
        <w:rPr>
          <w:lang w:eastAsia="en-US"/>
        </w:rPr>
        <w:t xml:space="preserve">he </w:t>
      </w:r>
      <w:r w:rsidR="00007C53">
        <w:rPr>
          <w:lang w:eastAsia="en-US"/>
        </w:rPr>
        <w:t>S</w:t>
      </w:r>
      <w:r w:rsidR="00C662AA">
        <w:rPr>
          <w:lang w:eastAsia="en-US"/>
        </w:rPr>
        <w:t>ubmissions of Counsel Assisting following Public Hearing 7 on</w:t>
      </w:r>
      <w:r w:rsidR="00787D39">
        <w:rPr>
          <w:lang w:eastAsia="en-US"/>
        </w:rPr>
        <w:t xml:space="preserve"> the</w:t>
      </w:r>
      <w:r w:rsidR="00C662AA">
        <w:rPr>
          <w:lang w:eastAsia="en-US"/>
        </w:rPr>
        <w:t xml:space="preserve"> ‘Barriers to a safe, quality and inclusive school education’</w:t>
      </w:r>
      <w:r w:rsidR="00007C53">
        <w:rPr>
          <w:lang w:eastAsia="en-US"/>
        </w:rPr>
        <w:t xml:space="preserve"> recommended</w:t>
      </w:r>
      <w:r w:rsidR="6501B699" w:rsidRPr="70912002">
        <w:rPr>
          <w:lang w:eastAsia="en-US"/>
        </w:rPr>
        <w:t>:</w:t>
      </w:r>
    </w:p>
    <w:p w14:paraId="4164CA37" w14:textId="3CB2789E" w:rsidR="00007C53" w:rsidRPr="007B0B61" w:rsidRDefault="00007C53" w:rsidP="007B0B61">
      <w:pPr>
        <w:tabs>
          <w:tab w:val="clear" w:pos="288"/>
        </w:tabs>
        <w:spacing w:after="120" w:line="276" w:lineRule="auto"/>
        <w:ind w:left="142" w:right="242"/>
        <w:rPr>
          <w:i/>
          <w:iCs/>
          <w:lang w:eastAsia="en-US"/>
        </w:rPr>
      </w:pPr>
      <w:r w:rsidRPr="007B0B61">
        <w:rPr>
          <w:i/>
          <w:iCs/>
          <w:lang w:eastAsia="en-US"/>
        </w:rPr>
        <w:t>“Education Queensland</w:t>
      </w:r>
      <w:r w:rsidR="00E11D5F" w:rsidRPr="007B0B61">
        <w:rPr>
          <w:i/>
          <w:iCs/>
          <w:lang w:eastAsia="en-US"/>
        </w:rPr>
        <w:t>…review and amend their disciplinary procedure</w:t>
      </w:r>
      <w:r w:rsidR="00A37C73" w:rsidRPr="007B0B61">
        <w:rPr>
          <w:i/>
          <w:iCs/>
          <w:lang w:eastAsia="en-US"/>
        </w:rPr>
        <w:t xml:space="preserve"> documents </w:t>
      </w:r>
      <w:r w:rsidR="00E11D5F" w:rsidRPr="007B0B61">
        <w:rPr>
          <w:i/>
          <w:iCs/>
          <w:lang w:eastAsia="en-US"/>
        </w:rPr>
        <w:t xml:space="preserve">to ensure that they provide express direction and guidance about how to ensure compliance with the </w:t>
      </w:r>
      <w:r w:rsidR="00A37C73" w:rsidRPr="007B0B61">
        <w:rPr>
          <w:i/>
          <w:iCs/>
          <w:lang w:eastAsia="en-US"/>
        </w:rPr>
        <w:t>Disability Discrimination Act</w:t>
      </w:r>
      <w:r w:rsidR="006726FF" w:rsidRPr="007B0B61">
        <w:rPr>
          <w:i/>
          <w:iCs/>
          <w:lang w:eastAsia="en-US"/>
        </w:rPr>
        <w:t xml:space="preserve"> 1992 (Cth) </w:t>
      </w:r>
      <w:r w:rsidR="00E11D5F" w:rsidRPr="007B0B61">
        <w:rPr>
          <w:i/>
          <w:iCs/>
          <w:lang w:eastAsia="en-US"/>
        </w:rPr>
        <w:t>and the D</w:t>
      </w:r>
      <w:r w:rsidR="006726FF" w:rsidRPr="007B0B61">
        <w:rPr>
          <w:i/>
          <w:iCs/>
          <w:lang w:eastAsia="en-US"/>
        </w:rPr>
        <w:t xml:space="preserve">isability </w:t>
      </w:r>
      <w:r w:rsidR="00E11D5F" w:rsidRPr="007B0B61">
        <w:rPr>
          <w:i/>
          <w:iCs/>
          <w:lang w:eastAsia="en-US"/>
        </w:rPr>
        <w:t>S</w:t>
      </w:r>
      <w:r w:rsidR="006726FF" w:rsidRPr="007B0B61">
        <w:rPr>
          <w:i/>
          <w:iCs/>
          <w:lang w:eastAsia="en-US"/>
        </w:rPr>
        <w:t xml:space="preserve">tandards for </w:t>
      </w:r>
      <w:r w:rsidR="00E11D5F" w:rsidRPr="007B0B61">
        <w:rPr>
          <w:i/>
          <w:iCs/>
          <w:lang w:eastAsia="en-US"/>
        </w:rPr>
        <w:t>E</w:t>
      </w:r>
      <w:r w:rsidR="006726FF" w:rsidRPr="007B0B61">
        <w:rPr>
          <w:i/>
          <w:iCs/>
          <w:lang w:eastAsia="en-US"/>
        </w:rPr>
        <w:t>ducation</w:t>
      </w:r>
      <w:r w:rsidR="00E11D5F" w:rsidRPr="007B0B61">
        <w:rPr>
          <w:i/>
          <w:iCs/>
          <w:lang w:eastAsia="en-US"/>
        </w:rPr>
        <w:t>”</w:t>
      </w:r>
      <w:r w:rsidR="006726FF" w:rsidRPr="007B0B61">
        <w:rPr>
          <w:i/>
          <w:iCs/>
          <w:lang w:eastAsia="en-US"/>
        </w:rPr>
        <w:t>.</w:t>
      </w:r>
      <w:r w:rsidR="006726FF" w:rsidRPr="007B0B61">
        <w:rPr>
          <w:rStyle w:val="FootnoteReference"/>
          <w:i/>
          <w:iCs/>
          <w:lang w:eastAsia="en-US"/>
        </w:rPr>
        <w:footnoteReference w:id="55"/>
      </w:r>
    </w:p>
    <w:p w14:paraId="535898D8" w14:textId="412C29DA" w:rsidR="009427C5" w:rsidRDefault="003622A5" w:rsidP="00B17F61">
      <w:pPr>
        <w:spacing w:after="240" w:line="276" w:lineRule="auto"/>
        <w:rPr>
          <w:lang w:eastAsia="en-US"/>
        </w:rPr>
      </w:pPr>
      <w:r>
        <w:rPr>
          <w:lang w:eastAsia="en-US"/>
        </w:rPr>
        <w:t xml:space="preserve">   </w:t>
      </w:r>
      <w:r w:rsidR="00B74ABE">
        <w:rPr>
          <w:lang w:eastAsia="en-US"/>
        </w:rPr>
        <w:t>A</w:t>
      </w:r>
      <w:r w:rsidR="007B0B61">
        <w:rPr>
          <w:lang w:eastAsia="en-US"/>
        </w:rPr>
        <w:t>nd</w:t>
      </w:r>
      <w:r w:rsidR="00B74ABE">
        <w:rPr>
          <w:lang w:eastAsia="en-US"/>
        </w:rPr>
        <w:t xml:space="preserve"> suggested that</w:t>
      </w:r>
      <w:r w:rsidR="00AF54A8">
        <w:rPr>
          <w:lang w:eastAsia="en-US"/>
        </w:rPr>
        <w:t>,</w:t>
      </w:r>
    </w:p>
    <w:p w14:paraId="493E8324" w14:textId="68B75410" w:rsidR="007B0B61" w:rsidRPr="00514A89" w:rsidRDefault="008A7D32" w:rsidP="00514A89">
      <w:pPr>
        <w:spacing w:line="276" w:lineRule="auto"/>
        <w:ind w:left="142" w:right="195"/>
        <w:rPr>
          <w:i/>
          <w:iCs/>
          <w:lang w:eastAsia="en-US"/>
        </w:rPr>
      </w:pPr>
      <w:r w:rsidRPr="00AF54A8">
        <w:rPr>
          <w:i/>
          <w:iCs/>
        </w:rPr>
        <w:t>“</w:t>
      </w:r>
      <w:r w:rsidR="009E7304" w:rsidRPr="00AF54A8">
        <w:rPr>
          <w:i/>
          <w:iCs/>
        </w:rPr>
        <w:t>The Royal Commission can find that, processes for re-enrolling children after expulsion in Queensland do not encourage immediate re-engagement, can be ineffective in overcoming reluctance from a school to accept an enrolment and are not addressed in a specific policy or procedure.</w:t>
      </w:r>
      <w:r w:rsidR="00AF54A8" w:rsidRPr="00AF54A8">
        <w:rPr>
          <w:i/>
          <w:iCs/>
        </w:rPr>
        <w:t>”</w:t>
      </w:r>
      <w:r w:rsidR="00AF54A8" w:rsidRPr="00AF54A8">
        <w:rPr>
          <w:rStyle w:val="FootnoteReference"/>
          <w:i/>
          <w:iCs/>
        </w:rPr>
        <w:footnoteReference w:id="56"/>
      </w:r>
    </w:p>
    <w:p w14:paraId="15EED930" w14:textId="77777777" w:rsidR="00FF2A04" w:rsidRDefault="009427C5" w:rsidP="00FF2A04">
      <w:pPr>
        <w:spacing w:before="240" w:line="276" w:lineRule="auto"/>
        <w:rPr>
          <w:lang w:eastAsia="en-US"/>
        </w:rPr>
      </w:pPr>
      <w:r>
        <w:rPr>
          <w:lang w:eastAsia="en-US"/>
        </w:rPr>
        <w:t>Whil</w:t>
      </w:r>
      <w:r w:rsidR="00B24B59">
        <w:rPr>
          <w:lang w:eastAsia="en-US"/>
        </w:rPr>
        <w:t>st</w:t>
      </w:r>
      <w:r>
        <w:rPr>
          <w:lang w:eastAsia="en-US"/>
        </w:rPr>
        <w:t xml:space="preserve"> the Department’s inclusive education policies increasingly reference human rights principles and</w:t>
      </w:r>
      <w:r w:rsidR="00265DAB">
        <w:rPr>
          <w:lang w:eastAsia="en-US"/>
        </w:rPr>
        <w:t xml:space="preserve"> </w:t>
      </w:r>
      <w:r w:rsidR="006A6C8B">
        <w:rPr>
          <w:lang w:eastAsia="en-US"/>
        </w:rPr>
        <w:t xml:space="preserve">an intention to ensure students with disabilities access an education on an equal basis with others, there continues to be a gap between policy and </w:t>
      </w:r>
      <w:r w:rsidR="00CF5AFD">
        <w:rPr>
          <w:lang w:eastAsia="en-US"/>
        </w:rPr>
        <w:t>practice</w:t>
      </w:r>
      <w:r w:rsidR="00A649D4">
        <w:rPr>
          <w:lang w:eastAsia="en-US"/>
        </w:rPr>
        <w:t xml:space="preserve"> </w:t>
      </w:r>
      <w:r w:rsidR="00E63C5B">
        <w:rPr>
          <w:lang w:eastAsia="en-US"/>
        </w:rPr>
        <w:t>that</w:t>
      </w:r>
      <w:r w:rsidR="00217B60">
        <w:rPr>
          <w:lang w:eastAsia="en-US"/>
        </w:rPr>
        <w:t xml:space="preserve"> must urgently be addressed.</w:t>
      </w:r>
      <w:r w:rsidR="00E71402">
        <w:rPr>
          <w:lang w:eastAsia="en-US"/>
        </w:rPr>
        <w:t xml:space="preserve"> </w:t>
      </w:r>
    </w:p>
    <w:p w14:paraId="6FB0C351" w14:textId="6775F110" w:rsidR="006C5DAC" w:rsidRPr="00E96A85" w:rsidRDefault="00E71402" w:rsidP="004F2450">
      <w:pPr>
        <w:spacing w:before="240" w:line="276" w:lineRule="auto"/>
        <w:rPr>
          <w:rFonts w:eastAsia="Arial" w:cstheme="minorHAnsi"/>
          <w:color w:val="000000" w:themeColor="text1"/>
        </w:rPr>
      </w:pPr>
      <w:r>
        <w:rPr>
          <w:lang w:eastAsia="en-US"/>
        </w:rPr>
        <w:t>Th</w:t>
      </w:r>
      <w:r w:rsidR="00D47EAA">
        <w:rPr>
          <w:lang w:eastAsia="en-US"/>
        </w:rPr>
        <w:t xml:space="preserve">is is even more critical as students </w:t>
      </w:r>
      <w:r w:rsidR="001A6174">
        <w:rPr>
          <w:lang w:eastAsia="en-US"/>
        </w:rPr>
        <w:t>continue to endure additional barriers</w:t>
      </w:r>
      <w:r w:rsidR="007A36F6">
        <w:rPr>
          <w:lang w:eastAsia="en-US"/>
        </w:rPr>
        <w:t xml:space="preserve"> to education</w:t>
      </w:r>
      <w:r w:rsidR="001A6174">
        <w:rPr>
          <w:lang w:eastAsia="en-US"/>
        </w:rPr>
        <w:t xml:space="preserve"> </w:t>
      </w:r>
      <w:r w:rsidR="006938DA">
        <w:rPr>
          <w:lang w:eastAsia="en-US"/>
        </w:rPr>
        <w:t>that have arisen due to</w:t>
      </w:r>
      <w:r w:rsidR="001A6174">
        <w:rPr>
          <w:lang w:eastAsia="en-US"/>
        </w:rPr>
        <w:t xml:space="preserve"> the </w:t>
      </w:r>
      <w:r>
        <w:rPr>
          <w:lang w:eastAsia="en-US"/>
        </w:rPr>
        <w:t>Covid-19 pandemic</w:t>
      </w:r>
      <w:r w:rsidR="007E77F7">
        <w:rPr>
          <w:lang w:eastAsia="en-US"/>
        </w:rPr>
        <w:t>.</w:t>
      </w:r>
      <w:r w:rsidR="007A36F6">
        <w:rPr>
          <w:lang w:eastAsia="en-US"/>
        </w:rPr>
        <w:t xml:space="preserve"> </w:t>
      </w:r>
      <w:r w:rsidR="004F2450">
        <w:rPr>
          <w:lang w:eastAsia="en-US"/>
        </w:rPr>
        <w:t>While the pandemic</w:t>
      </w:r>
      <w:r w:rsidR="00A63538">
        <w:rPr>
          <w:lang w:eastAsia="en-US"/>
        </w:rPr>
        <w:t xml:space="preserve"> has</w:t>
      </w:r>
      <w:r w:rsidR="004F2450">
        <w:rPr>
          <w:lang w:eastAsia="en-US"/>
        </w:rPr>
        <w:t xml:space="preserve"> perhaps levelled some access issues, part</w:t>
      </w:r>
      <w:r w:rsidR="007465DC" w:rsidRPr="00E96A85">
        <w:rPr>
          <w:rFonts w:eastAsia="Arial" w:cstheme="minorHAnsi"/>
        </w:rPr>
        <w:t>icularly for students with learning or communication barriers who are assisted by and have access to technology, in other ways the pandemic has exacerbated existing challenges. T</w:t>
      </w:r>
      <w:r w:rsidR="007465DC" w:rsidRPr="00E96A85">
        <w:rPr>
          <w:rFonts w:eastAsia="Arial" w:cstheme="minorHAnsi"/>
          <w:color w:val="000000" w:themeColor="text1"/>
        </w:rPr>
        <w:t xml:space="preserve">he rapidly evolving nature of the pandemic </w:t>
      </w:r>
      <w:r w:rsidR="004F36C2">
        <w:rPr>
          <w:rFonts w:eastAsia="Arial" w:cstheme="minorHAnsi"/>
          <w:color w:val="000000" w:themeColor="text1"/>
        </w:rPr>
        <w:t>has resulted in</w:t>
      </w:r>
      <w:r w:rsidR="007465DC" w:rsidRPr="00E96A85">
        <w:rPr>
          <w:rFonts w:eastAsia="Arial" w:cstheme="minorHAnsi"/>
          <w:color w:val="000000" w:themeColor="text1"/>
        </w:rPr>
        <w:t xml:space="preserve"> the introduction of measures not yet tested against discrimination standards. For many students experiencing intersectional disadvantage, access issues </w:t>
      </w:r>
      <w:r w:rsidR="002C1EDF">
        <w:rPr>
          <w:rFonts w:eastAsia="Arial" w:cstheme="minorHAnsi"/>
          <w:color w:val="000000" w:themeColor="text1"/>
        </w:rPr>
        <w:t xml:space="preserve">have been </w:t>
      </w:r>
      <w:r w:rsidR="007465DC" w:rsidRPr="00E96A85">
        <w:rPr>
          <w:rFonts w:eastAsia="Arial" w:cstheme="minorHAnsi"/>
          <w:color w:val="000000" w:themeColor="text1"/>
        </w:rPr>
        <w:t xml:space="preserve">exacerbated due to poverty, limiting their educational </w:t>
      </w:r>
      <w:proofErr w:type="gramStart"/>
      <w:r w:rsidR="007465DC" w:rsidRPr="00E96A85">
        <w:rPr>
          <w:rFonts w:eastAsia="Arial" w:cstheme="minorHAnsi"/>
          <w:color w:val="000000" w:themeColor="text1"/>
        </w:rPr>
        <w:t>opportunities</w:t>
      </w:r>
      <w:proofErr w:type="gramEnd"/>
      <w:r w:rsidR="007465DC" w:rsidRPr="00E96A85">
        <w:rPr>
          <w:rFonts w:eastAsia="Arial" w:cstheme="minorHAnsi"/>
          <w:color w:val="000000" w:themeColor="text1"/>
        </w:rPr>
        <w:t xml:space="preserve"> and contributing to cumulative disadvantage, with the result that more children with disability </w:t>
      </w:r>
      <w:r w:rsidR="002C1EDF">
        <w:rPr>
          <w:rFonts w:eastAsia="Arial" w:cstheme="minorHAnsi"/>
          <w:color w:val="000000" w:themeColor="text1"/>
        </w:rPr>
        <w:t xml:space="preserve">and Aboriginal and Torres Strait Islander children </w:t>
      </w:r>
      <w:r w:rsidR="00F60867">
        <w:rPr>
          <w:rFonts w:eastAsia="Arial" w:cstheme="minorHAnsi"/>
          <w:color w:val="000000" w:themeColor="text1"/>
        </w:rPr>
        <w:t>are being</w:t>
      </w:r>
      <w:r w:rsidR="007465DC" w:rsidRPr="00E96A85">
        <w:rPr>
          <w:rFonts w:eastAsia="Arial" w:cstheme="minorHAnsi"/>
          <w:color w:val="000000" w:themeColor="text1"/>
        </w:rPr>
        <w:t xml:space="preserve"> left behind. Rapid change coupled with increased anxiety and restrictions </w:t>
      </w:r>
      <w:r w:rsidR="00425967">
        <w:rPr>
          <w:rFonts w:eastAsia="Arial" w:cstheme="minorHAnsi"/>
          <w:color w:val="000000" w:themeColor="text1"/>
        </w:rPr>
        <w:t xml:space="preserve">have been </w:t>
      </w:r>
      <w:r w:rsidR="007465DC" w:rsidRPr="00E96A85">
        <w:rPr>
          <w:rFonts w:eastAsia="Arial" w:cstheme="minorHAnsi"/>
          <w:color w:val="000000" w:themeColor="text1"/>
        </w:rPr>
        <w:t xml:space="preserve">problematic for many students and </w:t>
      </w:r>
      <w:r w:rsidR="00425967">
        <w:rPr>
          <w:rFonts w:eastAsia="Arial" w:cstheme="minorHAnsi"/>
          <w:color w:val="000000" w:themeColor="text1"/>
        </w:rPr>
        <w:t xml:space="preserve">have </w:t>
      </w:r>
      <w:r w:rsidR="007465DC" w:rsidRPr="00E96A85">
        <w:rPr>
          <w:rFonts w:eastAsia="Arial" w:cstheme="minorHAnsi"/>
          <w:color w:val="000000" w:themeColor="text1"/>
        </w:rPr>
        <w:t xml:space="preserve">resulted in punitive responses by </w:t>
      </w:r>
      <w:r w:rsidR="00A222CF">
        <w:rPr>
          <w:rFonts w:eastAsia="Arial" w:cstheme="minorHAnsi"/>
          <w:color w:val="000000" w:themeColor="text1"/>
        </w:rPr>
        <w:t xml:space="preserve">some </w:t>
      </w:r>
      <w:r w:rsidR="007465DC" w:rsidRPr="00E96A85">
        <w:rPr>
          <w:rFonts w:eastAsia="Arial" w:cstheme="minorHAnsi"/>
          <w:color w:val="000000" w:themeColor="text1"/>
        </w:rPr>
        <w:t>educational institutions. Students who were excluded from school immediately prior to lockdown periods</w:t>
      </w:r>
      <w:r w:rsidR="00A222CF">
        <w:rPr>
          <w:rFonts w:eastAsia="Arial" w:cstheme="minorHAnsi"/>
          <w:color w:val="000000" w:themeColor="text1"/>
        </w:rPr>
        <w:t xml:space="preserve"> have also</w:t>
      </w:r>
      <w:r w:rsidR="007465DC" w:rsidRPr="00E96A85">
        <w:rPr>
          <w:rFonts w:eastAsia="Arial" w:cstheme="minorHAnsi"/>
          <w:color w:val="000000" w:themeColor="text1"/>
        </w:rPr>
        <w:t xml:space="preserve"> faced additional challenges accessing alternative educational options in a remote learning environment.</w:t>
      </w:r>
    </w:p>
    <w:p w14:paraId="151A81BE" w14:textId="77777777" w:rsidR="00DB180D" w:rsidRPr="00072671" w:rsidRDefault="00DB180D" w:rsidP="00DB180D">
      <w:pPr>
        <w:pStyle w:val="Heading1"/>
        <w:rPr>
          <w:color w:val="404040" w:themeColor="text1" w:themeTint="BF"/>
        </w:rPr>
      </w:pPr>
      <w:r w:rsidRPr="00072671">
        <w:rPr>
          <w:color w:val="404040" w:themeColor="text1" w:themeTint="BF"/>
        </w:rPr>
        <w:t>What about other states and territories?</w:t>
      </w:r>
    </w:p>
    <w:p w14:paraId="34F00BE6" w14:textId="77777777" w:rsidR="00DB180D" w:rsidRDefault="00DB180D" w:rsidP="00DB180D">
      <w:pPr>
        <w:spacing w:line="276" w:lineRule="auto"/>
        <w:rPr>
          <w:lang w:eastAsia="en-US"/>
        </w:rPr>
      </w:pPr>
    </w:p>
    <w:p w14:paraId="78054108" w14:textId="77777777" w:rsidR="00DB180D" w:rsidRDefault="00DB180D" w:rsidP="00DB180D">
      <w:pPr>
        <w:spacing w:line="276" w:lineRule="auto"/>
        <w:rPr>
          <w:lang w:eastAsia="en-US"/>
        </w:rPr>
      </w:pPr>
      <w:r>
        <w:rPr>
          <w:lang w:eastAsia="en-US"/>
        </w:rPr>
        <w:t xml:space="preserve">The disproportionate use of SDAs for students from backgrounds of disadvantage is also a problem in other Australian jurisdictions, though there is disparity regarding the extent to which it is acknowledged and therefore how, if at all, it is being addressed. </w:t>
      </w:r>
    </w:p>
    <w:p w14:paraId="7C9CBEDF" w14:textId="77777777" w:rsidR="00DB180D" w:rsidRDefault="00DB180D" w:rsidP="00DB180D">
      <w:pPr>
        <w:spacing w:line="276" w:lineRule="auto"/>
        <w:rPr>
          <w:lang w:eastAsia="en-US"/>
        </w:rPr>
      </w:pPr>
    </w:p>
    <w:p w14:paraId="245371AA" w14:textId="74A30469" w:rsidR="00DB180D" w:rsidRDefault="00DB180D" w:rsidP="00DB180D">
      <w:pPr>
        <w:spacing w:line="276" w:lineRule="auto"/>
        <w:rPr>
          <w:lang w:eastAsia="en-US"/>
        </w:rPr>
      </w:pPr>
      <w:r w:rsidRPr="00E045BE">
        <w:rPr>
          <w:lang w:eastAsia="en-US"/>
        </w:rPr>
        <w:t>We conducted a review of the available school disciplinary absence statistics in Australian jurisdictions other than Queensland for comparison</w:t>
      </w:r>
      <w:r w:rsidR="00C42970">
        <w:rPr>
          <w:lang w:eastAsia="en-US"/>
        </w:rPr>
        <w:t>,</w:t>
      </w:r>
      <w:r w:rsidRPr="00E045BE">
        <w:rPr>
          <w:lang w:eastAsia="en-US"/>
        </w:rPr>
        <w:t xml:space="preserve"> however </w:t>
      </w:r>
      <w:r w:rsidR="00C42970">
        <w:rPr>
          <w:lang w:eastAsia="en-US"/>
        </w:rPr>
        <w:t xml:space="preserve">we </w:t>
      </w:r>
      <w:r w:rsidRPr="00E045BE">
        <w:rPr>
          <w:lang w:eastAsia="en-US"/>
        </w:rPr>
        <w:t xml:space="preserve">were unable to obtain sufficient data to provide a comprehensive summary. School disciplinary absence statistics appear to only be publicly available in the Australian Capital Territory, New South Wales, the Northern Territory, and South Australia. Of these jurisdictions, the only jurisdiction to provide some demographic information is New South Wales. However, the information is limited to schools in the state system. The other three jurisdictions do not include demographic information in their statistics. Victoria publishes expulsion statistics only. These statistics are </w:t>
      </w:r>
      <w:r w:rsidRPr="00E045BE">
        <w:rPr>
          <w:lang w:eastAsia="en-US"/>
        </w:rPr>
        <w:lastRenderedPageBreak/>
        <w:t>available from 2018 to 2020 and include some demographic information. Tasmania and Western Australia do not appear to publicly report any school disciplinary absence statistics</w:t>
      </w:r>
      <w:r>
        <w:rPr>
          <w:lang w:eastAsia="en-US"/>
        </w:rPr>
        <w:t xml:space="preserve"> at all</w:t>
      </w:r>
      <w:r w:rsidRPr="00E045BE">
        <w:rPr>
          <w:lang w:eastAsia="en-US"/>
        </w:rPr>
        <w:t>.</w:t>
      </w:r>
    </w:p>
    <w:p w14:paraId="303C5BF4" w14:textId="77777777" w:rsidR="00DB180D" w:rsidRDefault="00DB180D" w:rsidP="00DB180D">
      <w:pPr>
        <w:spacing w:line="276" w:lineRule="auto"/>
        <w:rPr>
          <w:lang w:eastAsia="en-US"/>
        </w:rPr>
      </w:pPr>
    </w:p>
    <w:p w14:paraId="16A06746" w14:textId="77777777" w:rsidR="00DB180D" w:rsidRPr="00455194" w:rsidRDefault="00DB180D" w:rsidP="00DB180D">
      <w:pPr>
        <w:spacing w:line="276" w:lineRule="auto"/>
        <w:rPr>
          <w:i/>
          <w:iCs/>
          <w:lang w:eastAsia="en-US"/>
        </w:rPr>
      </w:pPr>
      <w:r w:rsidRPr="00455194">
        <w:rPr>
          <w:i/>
          <w:iCs/>
          <w:lang w:eastAsia="en-US"/>
        </w:rPr>
        <w:t>New South Wales</w:t>
      </w:r>
    </w:p>
    <w:p w14:paraId="22A6B4C9" w14:textId="77777777" w:rsidR="00DB180D" w:rsidRDefault="00DB180D" w:rsidP="00DB180D">
      <w:pPr>
        <w:spacing w:line="276" w:lineRule="auto"/>
        <w:rPr>
          <w:lang w:eastAsia="en-US"/>
        </w:rPr>
      </w:pPr>
    </w:p>
    <w:p w14:paraId="70723A04" w14:textId="77777777" w:rsidR="00DB180D" w:rsidRDefault="00DB180D" w:rsidP="00DB180D">
      <w:pPr>
        <w:spacing w:line="276" w:lineRule="auto"/>
        <w:rPr>
          <w:lang w:eastAsia="en-US"/>
        </w:rPr>
      </w:pPr>
      <w:r>
        <w:rPr>
          <w:lang w:eastAsia="en-US"/>
        </w:rPr>
        <w:t>In New South Wales, advocacy groups have been concerned for some time regarding the overrepresentation of students with disability and Aboriginal and Torres Strait Islander students in school disciplinary absence statistics. During the Budget Estimates 2020-2021 hearing for Education and Early Childhood Learning, questions regarding suspensions and exclusions of students with disability and First Nations students were taken on notice. The supplementary answers showed that in 2020, from a total of 63,604 suspensions, 32,608 were given to students with disability</w:t>
      </w:r>
      <w:r>
        <w:rPr>
          <w:rStyle w:val="FootnoteReference"/>
          <w:lang w:eastAsia="en-US"/>
        </w:rPr>
        <w:footnoteReference w:id="57"/>
      </w:r>
      <w:r>
        <w:rPr>
          <w:lang w:eastAsia="en-US"/>
        </w:rPr>
        <w:t xml:space="preserve"> and 18.465 were given to Aboriginal students.</w:t>
      </w:r>
      <w:r>
        <w:rPr>
          <w:rStyle w:val="FootnoteReference"/>
          <w:lang w:eastAsia="en-US"/>
        </w:rPr>
        <w:footnoteReference w:id="58"/>
      </w:r>
      <w:r>
        <w:rPr>
          <w:lang w:eastAsia="en-US"/>
        </w:rPr>
        <w:t xml:space="preserve"> In terms of the number of students suspended, 32,576 students with disability attending mainstream schools were suspended in 2020. </w:t>
      </w:r>
    </w:p>
    <w:p w14:paraId="692891BA" w14:textId="77777777" w:rsidR="00DB180D" w:rsidRDefault="00DB180D" w:rsidP="00DB180D">
      <w:pPr>
        <w:spacing w:line="276" w:lineRule="auto"/>
        <w:rPr>
          <w:lang w:eastAsia="en-US"/>
        </w:rPr>
      </w:pPr>
    </w:p>
    <w:p w14:paraId="546B8A86" w14:textId="77777777" w:rsidR="00DB180D" w:rsidRDefault="00DB180D" w:rsidP="00DB180D">
      <w:pPr>
        <w:spacing w:line="276" w:lineRule="auto"/>
        <w:rPr>
          <w:lang w:eastAsia="en-US"/>
        </w:rPr>
      </w:pPr>
      <w:r>
        <w:rPr>
          <w:lang w:eastAsia="en-US"/>
        </w:rPr>
        <w:t>When asked about the Department’s response to the concern regarding the disproportionate exclusion of vulnerable children in New South Wales state schools, the New South Wales Department of Education cited their commitment to their partnership with the NSW Aboriginal Education Consultative Group and their new Student Behaviour Strategy, released in March 2021.</w:t>
      </w:r>
      <w:r>
        <w:rPr>
          <w:rStyle w:val="FootnoteReference"/>
          <w:lang w:eastAsia="en-US"/>
        </w:rPr>
        <w:footnoteReference w:id="59"/>
      </w:r>
      <w:r>
        <w:rPr>
          <w:lang w:eastAsia="en-US"/>
        </w:rPr>
        <w:t xml:space="preserve"> </w:t>
      </w:r>
    </w:p>
    <w:p w14:paraId="3CAE1D7B" w14:textId="77777777" w:rsidR="00DB180D" w:rsidRDefault="00DB180D" w:rsidP="00DB180D">
      <w:pPr>
        <w:spacing w:line="276" w:lineRule="auto"/>
        <w:rPr>
          <w:lang w:eastAsia="en-US"/>
        </w:rPr>
      </w:pPr>
    </w:p>
    <w:p w14:paraId="7EADD99D" w14:textId="77777777" w:rsidR="00DB180D" w:rsidRDefault="00DB180D" w:rsidP="00DB180D">
      <w:pPr>
        <w:spacing w:line="276" w:lineRule="auto"/>
        <w:rPr>
          <w:lang w:eastAsia="en-US"/>
        </w:rPr>
      </w:pPr>
      <w:r>
        <w:rPr>
          <w:lang w:eastAsia="en-US"/>
        </w:rPr>
        <w:t xml:space="preserve">The new Student Behaviour Strategy is reportedly based upon evidence presented from independent reviews, data analysis and stakeholder engagement over a three-year period. It has a greater emphasis on prevention and early intervention and includes behaviour support resources such as new behaviour specialist positions in schools. It is too early to determine the success of this strategy, but it is a welcome change in direction and is in stark contrast to the ‘zero tolerance’ approach to anti-social behaviour cited by Queensland’s Minister for Education, Grace </w:t>
      </w:r>
      <w:proofErr w:type="spellStart"/>
      <w:r>
        <w:rPr>
          <w:lang w:eastAsia="en-US"/>
        </w:rPr>
        <w:t>Grace</w:t>
      </w:r>
      <w:proofErr w:type="spellEnd"/>
      <w:r>
        <w:rPr>
          <w:lang w:eastAsia="en-US"/>
        </w:rPr>
        <w:t>.</w:t>
      </w:r>
      <w:r>
        <w:rPr>
          <w:rStyle w:val="FootnoteReference"/>
          <w:lang w:eastAsia="en-US"/>
        </w:rPr>
        <w:footnoteReference w:id="60"/>
      </w:r>
    </w:p>
    <w:p w14:paraId="6E824562" w14:textId="77777777" w:rsidR="00DB180D" w:rsidRDefault="00DB180D" w:rsidP="00DB180D">
      <w:pPr>
        <w:spacing w:line="276" w:lineRule="auto"/>
        <w:rPr>
          <w:lang w:eastAsia="en-US"/>
        </w:rPr>
      </w:pPr>
    </w:p>
    <w:p w14:paraId="16ACA96E" w14:textId="77777777" w:rsidR="00DB180D" w:rsidRDefault="00DB180D" w:rsidP="00DB180D">
      <w:pPr>
        <w:spacing w:line="276" w:lineRule="auto"/>
        <w:rPr>
          <w:i/>
          <w:iCs/>
          <w:lang w:eastAsia="en-US"/>
        </w:rPr>
      </w:pPr>
      <w:r w:rsidRPr="0072205A">
        <w:rPr>
          <w:i/>
          <w:iCs/>
          <w:lang w:eastAsia="en-US"/>
        </w:rPr>
        <w:t>South Australia</w:t>
      </w:r>
    </w:p>
    <w:p w14:paraId="78EC98EE" w14:textId="77777777" w:rsidR="00DB180D" w:rsidRDefault="00DB180D" w:rsidP="00DB180D">
      <w:pPr>
        <w:spacing w:line="276" w:lineRule="auto"/>
        <w:rPr>
          <w:i/>
          <w:iCs/>
          <w:lang w:eastAsia="en-US"/>
        </w:rPr>
      </w:pPr>
    </w:p>
    <w:p w14:paraId="27B3D69A" w14:textId="77777777" w:rsidR="00DB180D" w:rsidRDefault="00DB180D" w:rsidP="00DB180D">
      <w:pPr>
        <w:spacing w:line="276" w:lineRule="auto"/>
        <w:rPr>
          <w:lang w:eastAsia="en-US"/>
        </w:rPr>
      </w:pPr>
      <w:r>
        <w:rPr>
          <w:lang w:eastAsia="en-US"/>
        </w:rPr>
        <w:t>In 2019, the South Australian government established an inquiry into whether their Department for Education was complying with international conventions, legislative requirements, and departmental policies in its use of suspensions, exclusions and expulsions.</w:t>
      </w:r>
      <w:r>
        <w:rPr>
          <w:rStyle w:val="FootnoteReference"/>
          <w:lang w:eastAsia="en-US"/>
        </w:rPr>
        <w:footnoteReference w:id="61"/>
      </w:r>
      <w:r>
        <w:rPr>
          <w:lang w:eastAsia="en-US"/>
        </w:rPr>
        <w:t xml:space="preserve"> The terms of reference included a focus on whether vulnerable students were overrepresented in suspension, exclusion and expulsion numbers and whether the department was effectively addressing such issues.</w:t>
      </w:r>
      <w:r>
        <w:rPr>
          <w:rStyle w:val="FootnoteReference"/>
          <w:lang w:eastAsia="en-US"/>
        </w:rPr>
        <w:footnoteReference w:id="62"/>
      </w:r>
      <w:r>
        <w:rPr>
          <w:lang w:eastAsia="en-US"/>
        </w:rPr>
        <w:t xml:space="preserve"> The inquiry found many disturbing trends. For example, the majority of suspensions in 2019, 71.3%, went to students who were suspended two or more times</w:t>
      </w:r>
      <w:r w:rsidRPr="00C509EA">
        <w:rPr>
          <w:lang w:eastAsia="en-US"/>
        </w:rPr>
        <w:t>.</w:t>
      </w:r>
      <w:r w:rsidRPr="00C509EA">
        <w:rPr>
          <w:rStyle w:val="FootnoteReference"/>
          <w:lang w:eastAsia="en-US"/>
        </w:rPr>
        <w:footnoteReference w:id="63"/>
      </w:r>
      <w:r w:rsidRPr="00C509EA">
        <w:rPr>
          <w:lang w:eastAsia="en-US"/>
        </w:rPr>
        <w:t xml:space="preserve"> </w:t>
      </w:r>
      <w:r>
        <w:rPr>
          <w:lang w:eastAsia="en-US"/>
        </w:rPr>
        <w:t>O</w:t>
      </w:r>
      <w:r w:rsidRPr="00C509EA">
        <w:rPr>
          <w:lang w:eastAsia="en-US"/>
        </w:rPr>
        <w:t>f the 42 students who received ten or more suspensions in 2019, 88% of these students were students with a disability.</w:t>
      </w:r>
      <w:r w:rsidRPr="00C509EA">
        <w:rPr>
          <w:rStyle w:val="FootnoteReference"/>
          <w:lang w:eastAsia="en-US"/>
        </w:rPr>
        <w:footnoteReference w:id="64"/>
      </w:r>
      <w:r w:rsidRPr="00C509EA">
        <w:rPr>
          <w:lang w:eastAsia="en-US"/>
        </w:rPr>
        <w:t xml:space="preserve"> </w:t>
      </w:r>
      <w:r>
        <w:rPr>
          <w:lang w:eastAsia="en-US"/>
        </w:rPr>
        <w:t>T</w:t>
      </w:r>
      <w:r w:rsidRPr="00C509EA">
        <w:rPr>
          <w:lang w:eastAsia="en-US"/>
        </w:rPr>
        <w:t>wo in three suspensions went to Indigenous students with a disability.</w:t>
      </w:r>
      <w:r w:rsidRPr="00C509EA">
        <w:rPr>
          <w:rStyle w:val="FootnoteReference"/>
          <w:lang w:eastAsia="en-US"/>
        </w:rPr>
        <w:footnoteReference w:id="65"/>
      </w:r>
      <w:r>
        <w:rPr>
          <w:lang w:eastAsia="en-US"/>
        </w:rPr>
        <w:t xml:space="preserve"> And perhaps most alarmingly, only one </w:t>
      </w:r>
      <w:r>
        <w:rPr>
          <w:lang w:eastAsia="en-US"/>
        </w:rPr>
        <w:lastRenderedPageBreak/>
        <w:t xml:space="preserve">in every ten school disciplinary absence was issued to a student who was </w:t>
      </w:r>
      <w:r>
        <w:rPr>
          <w:i/>
          <w:iCs/>
          <w:lang w:eastAsia="en-US"/>
        </w:rPr>
        <w:t>not</w:t>
      </w:r>
      <w:r>
        <w:rPr>
          <w:lang w:eastAsia="en-US"/>
        </w:rPr>
        <w:t xml:space="preserve"> Indigenous, a student with disability, a student in residential care or a student experiencing relatively high levels of socioeconomic disadvantage.</w:t>
      </w:r>
      <w:r>
        <w:rPr>
          <w:rStyle w:val="FootnoteReference"/>
          <w:lang w:eastAsia="en-US"/>
        </w:rPr>
        <w:footnoteReference w:id="66"/>
      </w:r>
    </w:p>
    <w:p w14:paraId="393C9A67" w14:textId="77777777" w:rsidR="00DB180D" w:rsidRPr="00B249C7" w:rsidRDefault="00DB180D" w:rsidP="00DB180D">
      <w:pPr>
        <w:spacing w:before="240" w:line="276" w:lineRule="auto"/>
        <w:rPr>
          <w:lang w:eastAsia="en-US"/>
        </w:rPr>
      </w:pPr>
      <w:r>
        <w:rPr>
          <w:lang w:eastAsia="en-US"/>
        </w:rPr>
        <w:t xml:space="preserve">Since the inquiry, the Minister for Education in South Australia has announced an increase in government funding </w:t>
      </w:r>
      <w:r w:rsidRPr="00E142E7">
        <w:rPr>
          <w:lang w:eastAsia="en-US"/>
        </w:rPr>
        <w:t>"to support the development and implementation of a systemic strategy to drive a significant reduction in exclusionary discipline in South Australia's public schools and provide increased access to accountability".</w:t>
      </w:r>
      <w:r w:rsidRPr="00E142E7">
        <w:rPr>
          <w:vertAlign w:val="superscript"/>
          <w:lang w:eastAsia="en-US"/>
        </w:rPr>
        <w:footnoteReference w:id="67"/>
      </w:r>
      <w:r>
        <w:rPr>
          <w:lang w:eastAsia="en-US"/>
        </w:rPr>
        <w:t xml:space="preserve"> </w:t>
      </w:r>
      <w:r w:rsidRPr="00B249C7">
        <w:t>As recommended in the Inquiry report, the government will implement new data dashboards to enable system monitoring and will “set reduction targets to stop the use of suspensions for minor reasons, such as not following instructions, minor physical acts and talking in class. Both Flexible Learning Options (FLOs) and exclusions will be abolished, communication to parents and students about their rights will be improved, and complaints and appeals processes strengthened”.</w:t>
      </w:r>
      <w:r>
        <w:rPr>
          <w:rStyle w:val="FootnoteReference"/>
        </w:rPr>
        <w:footnoteReference w:id="68"/>
      </w:r>
    </w:p>
    <w:p w14:paraId="396B5CA4" w14:textId="45871327" w:rsidR="006C5DAC" w:rsidRDefault="00DB180D" w:rsidP="00DB180D">
      <w:pPr>
        <w:spacing w:before="240" w:line="276" w:lineRule="auto"/>
        <w:rPr>
          <w:lang w:eastAsia="en-US"/>
        </w:rPr>
      </w:pPr>
      <w:r>
        <w:rPr>
          <w:lang w:eastAsia="en-US"/>
        </w:rPr>
        <w:t xml:space="preserve">The new approach will include </w:t>
      </w:r>
      <w:r w:rsidRPr="00491E0C">
        <w:rPr>
          <w:lang w:eastAsia="en-US"/>
        </w:rPr>
        <w:t>"changes to policy to minimise, as far as possible, the use of exclusionary discipline for all children, and especially for Aboriginal children and young people</w:t>
      </w:r>
      <w:r>
        <w:rPr>
          <w:lang w:eastAsia="en-US"/>
        </w:rPr>
        <w:t xml:space="preserve"> and</w:t>
      </w:r>
      <w:r w:rsidRPr="00491E0C">
        <w:rPr>
          <w:lang w:eastAsia="en-US"/>
        </w:rPr>
        <w:t xml:space="preserve"> students with a disability".</w:t>
      </w:r>
      <w:r>
        <w:rPr>
          <w:lang w:eastAsia="en-US"/>
        </w:rPr>
        <w:t xml:space="preserve"> The Minister has advised that a draft strategic roadmap with targets for reform would be released for consultation in early 2022, however details of this are yet to be released. Further, there is yet to be any legislative reform </w:t>
      </w:r>
      <w:proofErr w:type="gramStart"/>
      <w:r>
        <w:rPr>
          <w:lang w:eastAsia="en-US"/>
        </w:rPr>
        <w:t>as a result of</w:t>
      </w:r>
      <w:proofErr w:type="gramEnd"/>
      <w:r>
        <w:rPr>
          <w:lang w:eastAsia="en-US"/>
        </w:rPr>
        <w:t xml:space="preserve"> the inquiry, despite many of the report’s recommendations pertaining to this.</w:t>
      </w:r>
    </w:p>
    <w:p w14:paraId="767EB86E" w14:textId="294F25C3" w:rsidR="001E6597" w:rsidRPr="00072671" w:rsidRDefault="001E6597" w:rsidP="001D43FA">
      <w:pPr>
        <w:pStyle w:val="Heading1"/>
        <w:rPr>
          <w:color w:val="404040" w:themeColor="text1" w:themeTint="BF"/>
        </w:rPr>
      </w:pPr>
      <w:r w:rsidRPr="00072671">
        <w:rPr>
          <w:color w:val="404040" w:themeColor="text1" w:themeTint="BF"/>
        </w:rPr>
        <w:t xml:space="preserve">What </w:t>
      </w:r>
      <w:r w:rsidR="00E174E8" w:rsidRPr="00072671">
        <w:rPr>
          <w:color w:val="404040" w:themeColor="text1" w:themeTint="BF"/>
        </w:rPr>
        <w:t>needs to happen</w:t>
      </w:r>
    </w:p>
    <w:p w14:paraId="6660CFD0" w14:textId="77777777" w:rsidR="00A87EB4" w:rsidRDefault="00A87EB4" w:rsidP="00A87EB4">
      <w:pPr>
        <w:pStyle w:val="NoSpacing"/>
      </w:pPr>
    </w:p>
    <w:p w14:paraId="43E1F53F" w14:textId="79A9BE9A" w:rsidR="00A327F7" w:rsidRDefault="00A327F7" w:rsidP="001D43FA">
      <w:pPr>
        <w:tabs>
          <w:tab w:val="clear" w:pos="288"/>
        </w:tabs>
        <w:spacing w:after="240" w:line="276" w:lineRule="auto"/>
        <w:rPr>
          <w:rFonts w:cs="Arial"/>
        </w:rPr>
      </w:pPr>
      <w:r w:rsidRPr="28BFB73C">
        <w:rPr>
          <w:rFonts w:cs="Arial"/>
        </w:rPr>
        <w:t xml:space="preserve">High numbers of SDAs in Queensland state schools could suggest a lack of reasonable adjustments and/or inadequate behaviour management strategies. It is imperative that schools can successfully </w:t>
      </w:r>
      <w:r w:rsidRPr="4D3E2CA3">
        <w:rPr>
          <w:rFonts w:cs="Arial"/>
        </w:rPr>
        <w:t xml:space="preserve">support appropriate student </w:t>
      </w:r>
      <w:r w:rsidRPr="28BFB73C">
        <w:rPr>
          <w:rFonts w:cs="Arial"/>
        </w:rPr>
        <w:t>behaviour whilst upholding the human rights of their students and fulfilling the</w:t>
      </w:r>
      <w:r w:rsidRPr="4D3E2CA3">
        <w:rPr>
          <w:rFonts w:cs="Arial"/>
        </w:rPr>
        <w:t>ir</w:t>
      </w:r>
      <w:r w:rsidRPr="28BFB73C">
        <w:rPr>
          <w:rFonts w:cs="Arial"/>
        </w:rPr>
        <w:t xml:space="preserve"> legal obligations</w:t>
      </w:r>
      <w:r w:rsidRPr="4D3E2CA3">
        <w:rPr>
          <w:rFonts w:cs="Arial"/>
        </w:rPr>
        <w:t>, including obligations to provide a safe working environment for staff</w:t>
      </w:r>
      <w:r w:rsidRPr="28BFB73C">
        <w:rPr>
          <w:rFonts w:cs="Arial"/>
        </w:rPr>
        <w:t xml:space="preserve">. The 2017 Deloitte review into Queensland education found that effective behaviour management would reduce the incidence of SDAs and </w:t>
      </w:r>
      <w:r w:rsidR="008A094E">
        <w:rPr>
          <w:rFonts w:cs="Arial"/>
        </w:rPr>
        <w:t>r</w:t>
      </w:r>
      <w:r w:rsidRPr="28BFB73C">
        <w:rPr>
          <w:rFonts w:cs="Arial"/>
        </w:rPr>
        <w:t xml:space="preserve">estrictive </w:t>
      </w:r>
      <w:r w:rsidR="008A094E">
        <w:rPr>
          <w:rFonts w:cs="Arial"/>
        </w:rPr>
        <w:t>p</w:t>
      </w:r>
      <w:r w:rsidRPr="28BFB73C">
        <w:rPr>
          <w:rFonts w:cs="Arial"/>
        </w:rPr>
        <w:t>ractices, and that schools needed to understand ‘…</w:t>
      </w:r>
      <w:r w:rsidRPr="00BC34DC">
        <w:rPr>
          <w:rFonts w:cs="Arial"/>
          <w:i/>
          <w:iCs/>
        </w:rPr>
        <w:t>when difficult behaviour may be a manifestation of a child’s impairment that may be altered through environmental adjustments’</w:t>
      </w:r>
      <w:r w:rsidRPr="28BFB73C">
        <w:rPr>
          <w:rFonts w:cs="Arial"/>
        </w:rPr>
        <w:t>.</w:t>
      </w:r>
      <w:r w:rsidRPr="28BFB73C">
        <w:rPr>
          <w:rStyle w:val="FootnoteReference"/>
          <w:rFonts w:cs="Arial"/>
        </w:rPr>
        <w:footnoteReference w:id="69"/>
      </w:r>
      <w:r w:rsidRPr="28BFB73C">
        <w:rPr>
          <w:rFonts w:cs="Arial"/>
        </w:rPr>
        <w:t xml:space="preserve"> Yet levels of SDAs remain high in Queensland state schools and continue to disproportionately impede the education of many students with disability</w:t>
      </w:r>
      <w:r w:rsidR="009F15E1">
        <w:rPr>
          <w:rFonts w:cs="Arial"/>
        </w:rPr>
        <w:t xml:space="preserve"> </w:t>
      </w:r>
      <w:r w:rsidR="00A87EB4">
        <w:rPr>
          <w:rFonts w:cs="Arial"/>
        </w:rPr>
        <w:t>and</w:t>
      </w:r>
      <w:r w:rsidR="00777195">
        <w:rPr>
          <w:rFonts w:cs="Arial"/>
        </w:rPr>
        <w:t xml:space="preserve"> Aboriginal and Torres Strait Islander </w:t>
      </w:r>
      <w:r w:rsidR="00A87EB4">
        <w:rPr>
          <w:rFonts w:cs="Arial"/>
        </w:rPr>
        <w:t>students</w:t>
      </w:r>
      <w:r w:rsidRPr="28BFB73C">
        <w:rPr>
          <w:rFonts w:cs="Arial"/>
        </w:rPr>
        <w:t>.</w:t>
      </w:r>
    </w:p>
    <w:p w14:paraId="137FC990" w14:textId="0614E994" w:rsidR="00A87EB4" w:rsidRDefault="002B2778" w:rsidP="001D43FA">
      <w:pPr>
        <w:tabs>
          <w:tab w:val="clear" w:pos="288"/>
        </w:tabs>
        <w:spacing w:after="240" w:line="276" w:lineRule="auto"/>
        <w:rPr>
          <w:rFonts w:cs="Arial"/>
        </w:rPr>
      </w:pPr>
      <w:r>
        <w:rPr>
          <w:rFonts w:cs="Arial"/>
        </w:rPr>
        <w:t>We need alternative solutions to SDAs that</w:t>
      </w:r>
      <w:r w:rsidR="00DB5F1E">
        <w:rPr>
          <w:rFonts w:cs="Arial"/>
        </w:rPr>
        <w:t xml:space="preserve"> effectively address behaviours of concerns whilst keeping students engaged in </w:t>
      </w:r>
      <w:r w:rsidR="000971B6">
        <w:rPr>
          <w:rFonts w:cs="Arial"/>
        </w:rPr>
        <w:t xml:space="preserve">the </w:t>
      </w:r>
      <w:r w:rsidR="00DB5F1E">
        <w:rPr>
          <w:rFonts w:cs="Arial"/>
        </w:rPr>
        <w:t xml:space="preserve">education </w:t>
      </w:r>
      <w:r w:rsidR="000971B6">
        <w:rPr>
          <w:rFonts w:cs="Arial"/>
        </w:rPr>
        <w:t>system. We need to change our language around discipline</w:t>
      </w:r>
      <w:r w:rsidR="007C6EAE">
        <w:rPr>
          <w:rFonts w:cs="Arial"/>
        </w:rPr>
        <w:t xml:space="preserve">, by ceasing to ‘punish’ </w:t>
      </w:r>
      <w:r w:rsidR="006365BE">
        <w:rPr>
          <w:rFonts w:cs="Arial"/>
        </w:rPr>
        <w:t>students</w:t>
      </w:r>
      <w:r w:rsidR="007C6EAE">
        <w:rPr>
          <w:rFonts w:cs="Arial"/>
        </w:rPr>
        <w:t xml:space="preserve"> and</w:t>
      </w:r>
      <w:r w:rsidR="00D43E96">
        <w:rPr>
          <w:rFonts w:cs="Arial"/>
        </w:rPr>
        <w:t xml:space="preserve"> </w:t>
      </w:r>
      <w:r w:rsidR="007C6EAE">
        <w:rPr>
          <w:rFonts w:cs="Arial"/>
        </w:rPr>
        <w:t>‘support</w:t>
      </w:r>
      <w:r w:rsidR="00B9226A">
        <w:rPr>
          <w:rFonts w:cs="Arial"/>
        </w:rPr>
        <w:t>ing</w:t>
      </w:r>
      <w:r w:rsidR="007C6EAE">
        <w:rPr>
          <w:rFonts w:cs="Arial"/>
        </w:rPr>
        <w:t>’ them</w:t>
      </w:r>
      <w:r w:rsidR="006365BE">
        <w:rPr>
          <w:rFonts w:cs="Arial"/>
        </w:rPr>
        <w:t xml:space="preserve"> instead</w:t>
      </w:r>
      <w:r w:rsidR="007C6EAE">
        <w:rPr>
          <w:rFonts w:cs="Arial"/>
        </w:rPr>
        <w:t>.</w:t>
      </w:r>
      <w:r w:rsidR="00C12DED">
        <w:rPr>
          <w:rFonts w:cs="Arial"/>
        </w:rPr>
        <w:t xml:space="preserve"> </w:t>
      </w:r>
      <w:r w:rsidR="009476A3">
        <w:rPr>
          <w:rFonts w:cs="Arial"/>
        </w:rPr>
        <w:t xml:space="preserve">We </w:t>
      </w:r>
      <w:r w:rsidR="004A01F5">
        <w:rPr>
          <w:rFonts w:cs="Arial"/>
        </w:rPr>
        <w:t>need</w:t>
      </w:r>
      <w:r w:rsidR="009476A3">
        <w:rPr>
          <w:rFonts w:cs="Arial"/>
        </w:rPr>
        <w:t xml:space="preserve"> holistic, evidenced-based supports that</w:t>
      </w:r>
      <w:r w:rsidR="00DE5775">
        <w:rPr>
          <w:rFonts w:cs="Arial"/>
        </w:rPr>
        <w:t xml:space="preserve"> </w:t>
      </w:r>
      <w:r w:rsidR="000C2A34">
        <w:rPr>
          <w:rFonts w:cs="Arial"/>
        </w:rPr>
        <w:t xml:space="preserve">successfully address challenging behaviours whilst </w:t>
      </w:r>
      <w:r w:rsidR="00D43E96">
        <w:rPr>
          <w:rFonts w:cs="Arial"/>
        </w:rPr>
        <w:t>ensuring</w:t>
      </w:r>
      <w:r w:rsidR="00DE5775">
        <w:rPr>
          <w:rFonts w:cs="Arial"/>
        </w:rPr>
        <w:t xml:space="preserve"> student safe</w:t>
      </w:r>
      <w:r w:rsidR="000E5A08">
        <w:rPr>
          <w:rFonts w:cs="Arial"/>
        </w:rPr>
        <w:t xml:space="preserve">ty, </w:t>
      </w:r>
      <w:r w:rsidR="006D50A9">
        <w:rPr>
          <w:rFonts w:cs="Arial"/>
        </w:rPr>
        <w:t>both</w:t>
      </w:r>
      <w:r w:rsidR="000E5A08">
        <w:rPr>
          <w:rFonts w:cs="Arial"/>
        </w:rPr>
        <w:t xml:space="preserve"> physically </w:t>
      </w:r>
      <w:r w:rsidR="006D50A9">
        <w:rPr>
          <w:rFonts w:cs="Arial"/>
        </w:rPr>
        <w:t>and</w:t>
      </w:r>
      <w:r w:rsidR="000E5A08">
        <w:rPr>
          <w:rFonts w:cs="Arial"/>
        </w:rPr>
        <w:t xml:space="preserve"> mentally</w:t>
      </w:r>
      <w:r w:rsidR="00BE74E2">
        <w:rPr>
          <w:rFonts w:cs="Arial"/>
        </w:rPr>
        <w:t>.</w:t>
      </w:r>
      <w:r w:rsidR="008B6CF1">
        <w:rPr>
          <w:rFonts w:cs="Arial"/>
        </w:rPr>
        <w:t xml:space="preserve"> </w:t>
      </w:r>
    </w:p>
    <w:p w14:paraId="4305315B" w14:textId="1A403CA0" w:rsidR="000864E7" w:rsidRDefault="001E72DA" w:rsidP="001D43FA">
      <w:pPr>
        <w:tabs>
          <w:tab w:val="clear" w:pos="288"/>
        </w:tabs>
        <w:spacing w:after="240" w:line="276" w:lineRule="auto"/>
        <w:rPr>
          <w:rFonts w:cs="Arial"/>
        </w:rPr>
      </w:pPr>
      <w:r>
        <w:rPr>
          <w:rFonts w:cs="Arial"/>
        </w:rPr>
        <w:t>There are better alternatives that are more consistent</w:t>
      </w:r>
      <w:r w:rsidR="006C772D">
        <w:rPr>
          <w:rFonts w:cs="Arial"/>
        </w:rPr>
        <w:t xml:space="preserve"> with the observance of </w:t>
      </w:r>
      <w:r w:rsidR="00937813">
        <w:rPr>
          <w:rFonts w:cs="Arial"/>
        </w:rPr>
        <w:t xml:space="preserve">the </w:t>
      </w:r>
      <w:r w:rsidR="006C772D">
        <w:rPr>
          <w:rFonts w:cs="Arial"/>
        </w:rPr>
        <w:t xml:space="preserve">human rights </w:t>
      </w:r>
      <w:r w:rsidR="00937813">
        <w:rPr>
          <w:rFonts w:cs="Arial"/>
        </w:rPr>
        <w:t>of</w:t>
      </w:r>
      <w:r w:rsidR="002934DB">
        <w:rPr>
          <w:rFonts w:cs="Arial"/>
        </w:rPr>
        <w:t xml:space="preserve"> Queensland</w:t>
      </w:r>
      <w:r w:rsidR="006C772D">
        <w:rPr>
          <w:rFonts w:cs="Arial"/>
        </w:rPr>
        <w:t xml:space="preserve"> </w:t>
      </w:r>
      <w:r w:rsidR="00EB2DEC">
        <w:rPr>
          <w:rFonts w:cs="Arial"/>
        </w:rPr>
        <w:t xml:space="preserve">school </w:t>
      </w:r>
      <w:r w:rsidR="006C772D">
        <w:rPr>
          <w:rFonts w:cs="Arial"/>
        </w:rPr>
        <w:t>stude</w:t>
      </w:r>
      <w:r w:rsidR="002370C9">
        <w:rPr>
          <w:rFonts w:cs="Arial"/>
        </w:rPr>
        <w:t>n</w:t>
      </w:r>
      <w:r w:rsidR="006C772D">
        <w:rPr>
          <w:rFonts w:cs="Arial"/>
        </w:rPr>
        <w:t>t</w:t>
      </w:r>
      <w:r w:rsidR="002370C9">
        <w:rPr>
          <w:rFonts w:cs="Arial"/>
        </w:rPr>
        <w:t xml:space="preserve">s. The overuse of a punitive approach instead of </w:t>
      </w:r>
      <w:r w:rsidR="00614C0D">
        <w:rPr>
          <w:rFonts w:cs="Arial"/>
        </w:rPr>
        <w:t xml:space="preserve">a </w:t>
      </w:r>
      <w:r w:rsidR="002370C9">
        <w:rPr>
          <w:rFonts w:cs="Arial"/>
        </w:rPr>
        <w:t xml:space="preserve">greater use of </w:t>
      </w:r>
      <w:r w:rsidR="002934DB">
        <w:rPr>
          <w:rFonts w:cs="Arial"/>
        </w:rPr>
        <w:t>more supportive</w:t>
      </w:r>
      <w:r w:rsidR="002370C9">
        <w:rPr>
          <w:rFonts w:cs="Arial"/>
        </w:rPr>
        <w:t xml:space="preserve"> model</w:t>
      </w:r>
      <w:r w:rsidR="00614C0D">
        <w:rPr>
          <w:rFonts w:cs="Arial"/>
        </w:rPr>
        <w:t xml:space="preserve">s is neither necessary nor </w:t>
      </w:r>
      <w:r w:rsidR="007A7CFF">
        <w:rPr>
          <w:rFonts w:cs="Arial"/>
        </w:rPr>
        <w:t>proportionate.</w:t>
      </w:r>
      <w:r w:rsidR="006E7BEF">
        <w:rPr>
          <w:rFonts w:cs="Arial"/>
        </w:rPr>
        <w:t xml:space="preserve"> </w:t>
      </w:r>
      <w:r w:rsidR="000864E7">
        <w:rPr>
          <w:rFonts w:cs="Arial"/>
        </w:rPr>
        <w:t xml:space="preserve">The lack of oversight of such practices and the absence of </w:t>
      </w:r>
      <w:r w:rsidR="00487240">
        <w:rPr>
          <w:rFonts w:cs="Arial"/>
        </w:rPr>
        <w:t xml:space="preserve">detailed data </w:t>
      </w:r>
      <w:r w:rsidR="00267613">
        <w:rPr>
          <w:rFonts w:cs="Arial"/>
        </w:rPr>
        <w:t xml:space="preserve">further </w:t>
      </w:r>
      <w:r w:rsidR="00487240">
        <w:rPr>
          <w:rFonts w:cs="Arial"/>
        </w:rPr>
        <w:t xml:space="preserve">suggests a failure to </w:t>
      </w:r>
      <w:r w:rsidR="00D5027F">
        <w:rPr>
          <w:rFonts w:cs="Arial"/>
        </w:rPr>
        <w:t>properly</w:t>
      </w:r>
      <w:r w:rsidR="00487240">
        <w:rPr>
          <w:rFonts w:cs="Arial"/>
        </w:rPr>
        <w:t xml:space="preserve"> consider and adhere to the rights of the chi</w:t>
      </w:r>
      <w:r w:rsidR="00D5027F">
        <w:rPr>
          <w:rFonts w:cs="Arial"/>
        </w:rPr>
        <w:t>ld</w:t>
      </w:r>
      <w:r w:rsidR="00267613">
        <w:rPr>
          <w:rFonts w:cs="Arial"/>
        </w:rPr>
        <w:t>.</w:t>
      </w:r>
    </w:p>
    <w:p w14:paraId="030664F1" w14:textId="63B499BD" w:rsidR="006C5DAC" w:rsidRDefault="00CC2A72" w:rsidP="00CC2A72">
      <w:pPr>
        <w:tabs>
          <w:tab w:val="clear" w:pos="288"/>
          <w:tab w:val="left" w:pos="0"/>
        </w:tabs>
        <w:spacing w:after="240" w:line="276" w:lineRule="auto"/>
        <w:rPr>
          <w:rFonts w:cs="Arial"/>
          <w:szCs w:val="22"/>
        </w:rPr>
      </w:pPr>
      <w:r>
        <w:rPr>
          <w:rFonts w:cs="Arial"/>
          <w:szCs w:val="22"/>
        </w:rPr>
        <w:lastRenderedPageBreak/>
        <w:t>QAI</w:t>
      </w:r>
      <w:r w:rsidR="00576FC2">
        <w:rPr>
          <w:rFonts w:cs="Arial"/>
          <w:szCs w:val="22"/>
        </w:rPr>
        <w:t xml:space="preserve"> and</w:t>
      </w:r>
      <w:r w:rsidR="007400E0">
        <w:rPr>
          <w:rFonts w:cs="Arial"/>
          <w:szCs w:val="22"/>
        </w:rPr>
        <w:t xml:space="preserve"> ATSILS </w:t>
      </w:r>
      <w:r>
        <w:rPr>
          <w:rFonts w:cs="Arial"/>
          <w:szCs w:val="22"/>
        </w:rPr>
        <w:t>therefore bring this matter to the attention of the Queensland Human Rights Commission</w:t>
      </w:r>
      <w:r w:rsidR="00162367">
        <w:rPr>
          <w:rFonts w:cs="Arial"/>
          <w:szCs w:val="22"/>
        </w:rPr>
        <w:t>er</w:t>
      </w:r>
      <w:r>
        <w:rPr>
          <w:rFonts w:cs="Arial"/>
          <w:szCs w:val="22"/>
        </w:rPr>
        <w:t xml:space="preserve"> and urge the Commission to utilise its investigatory powers to shine </w:t>
      </w:r>
      <w:r w:rsidR="000B4C29">
        <w:rPr>
          <w:rFonts w:cs="Arial"/>
          <w:szCs w:val="22"/>
        </w:rPr>
        <w:t xml:space="preserve">a </w:t>
      </w:r>
      <w:r>
        <w:rPr>
          <w:rFonts w:cs="Arial"/>
          <w:szCs w:val="22"/>
        </w:rPr>
        <w:t xml:space="preserve">light on the alarmingly high levels of school disciplinary absences issued to students enrolled at Queensland state schools, as well as the complex and convoluted review and appeal mechanisms in place. </w:t>
      </w:r>
      <w:r w:rsidR="00BF12E7">
        <w:rPr>
          <w:rFonts w:cs="Arial"/>
          <w:szCs w:val="22"/>
        </w:rPr>
        <w:t xml:space="preserve">We need to understand why </w:t>
      </w:r>
      <w:r w:rsidR="00944AC5">
        <w:rPr>
          <w:rFonts w:cs="Arial"/>
          <w:szCs w:val="22"/>
        </w:rPr>
        <w:t>students</w:t>
      </w:r>
      <w:r w:rsidR="00BF12E7">
        <w:rPr>
          <w:rFonts w:cs="Arial"/>
          <w:szCs w:val="22"/>
        </w:rPr>
        <w:t xml:space="preserve"> with </w:t>
      </w:r>
      <w:r w:rsidR="00182B8C">
        <w:rPr>
          <w:rFonts w:cs="Arial"/>
          <w:szCs w:val="22"/>
        </w:rPr>
        <w:t xml:space="preserve">disability and Aboriginal and Torres Strait Islander students </w:t>
      </w:r>
      <w:r w:rsidR="00724B6D">
        <w:rPr>
          <w:rFonts w:cs="Arial"/>
          <w:szCs w:val="22"/>
        </w:rPr>
        <w:t xml:space="preserve">are being disproportionately excluded from schools and </w:t>
      </w:r>
      <w:r w:rsidR="00503E3B">
        <w:rPr>
          <w:rFonts w:cs="Arial"/>
          <w:szCs w:val="22"/>
        </w:rPr>
        <w:t>realise</w:t>
      </w:r>
      <w:r w:rsidR="00724B6D">
        <w:rPr>
          <w:rFonts w:cs="Arial"/>
          <w:szCs w:val="22"/>
        </w:rPr>
        <w:t xml:space="preserve"> the broader implications of th</w:t>
      </w:r>
      <w:r w:rsidR="00A92E40">
        <w:rPr>
          <w:rFonts w:cs="Arial"/>
          <w:szCs w:val="22"/>
        </w:rPr>
        <w:t>ese practices</w:t>
      </w:r>
      <w:r w:rsidR="00724B6D">
        <w:rPr>
          <w:rFonts w:cs="Arial"/>
          <w:szCs w:val="22"/>
        </w:rPr>
        <w:t>.</w:t>
      </w:r>
      <w:r w:rsidR="00BF12E7">
        <w:rPr>
          <w:rFonts w:cs="Arial"/>
          <w:szCs w:val="22"/>
        </w:rPr>
        <w:t xml:space="preserve"> </w:t>
      </w:r>
      <w:r>
        <w:rPr>
          <w:rFonts w:cs="Arial"/>
          <w:szCs w:val="22"/>
        </w:rPr>
        <w:t xml:space="preserve">This is vital if Queensland is to successfully ensure that </w:t>
      </w:r>
      <w:r w:rsidRPr="00920670">
        <w:rPr>
          <w:rFonts w:cs="Arial"/>
          <w:i/>
          <w:iCs/>
          <w:szCs w:val="22"/>
        </w:rPr>
        <w:t>all</w:t>
      </w:r>
      <w:r>
        <w:rPr>
          <w:rFonts w:cs="Arial"/>
          <w:szCs w:val="22"/>
        </w:rPr>
        <w:t xml:space="preserve"> students have access to </w:t>
      </w:r>
      <w:r w:rsidR="00600B32">
        <w:rPr>
          <w:rFonts w:cs="Arial"/>
          <w:szCs w:val="22"/>
        </w:rPr>
        <w:t>an</w:t>
      </w:r>
      <w:r>
        <w:rPr>
          <w:rFonts w:cs="Arial"/>
          <w:szCs w:val="22"/>
        </w:rPr>
        <w:t xml:space="preserve"> education</w:t>
      </w:r>
      <w:r w:rsidR="00EC5EBE">
        <w:rPr>
          <w:rFonts w:cs="Arial"/>
          <w:szCs w:val="22"/>
        </w:rPr>
        <w:t xml:space="preserve"> that meets their needs</w:t>
      </w:r>
      <w:r w:rsidR="00B41AC7">
        <w:rPr>
          <w:rFonts w:cs="Arial"/>
          <w:szCs w:val="22"/>
        </w:rPr>
        <w:t xml:space="preserve"> and </w:t>
      </w:r>
      <w:r w:rsidR="005E5331">
        <w:rPr>
          <w:rFonts w:cs="Arial"/>
          <w:szCs w:val="22"/>
        </w:rPr>
        <w:t xml:space="preserve">that </w:t>
      </w:r>
      <w:r w:rsidR="00A92E40">
        <w:rPr>
          <w:rFonts w:cs="Arial"/>
          <w:szCs w:val="22"/>
        </w:rPr>
        <w:t>certain</w:t>
      </w:r>
      <w:r w:rsidR="005E5331">
        <w:rPr>
          <w:rFonts w:cs="Arial"/>
          <w:szCs w:val="22"/>
        </w:rPr>
        <w:t xml:space="preserve"> students </w:t>
      </w:r>
      <w:r w:rsidR="00B41AC7">
        <w:rPr>
          <w:rFonts w:cs="Arial"/>
          <w:szCs w:val="22"/>
        </w:rPr>
        <w:t>are not unfairly and disproportionately disadvantaged in the</w:t>
      </w:r>
      <w:r w:rsidR="002042D5">
        <w:rPr>
          <w:rFonts w:cs="Arial"/>
          <w:szCs w:val="22"/>
        </w:rPr>
        <w:t xml:space="preserve"> realisation of th</w:t>
      </w:r>
      <w:r w:rsidR="00920670">
        <w:rPr>
          <w:rFonts w:cs="Arial"/>
          <w:szCs w:val="22"/>
        </w:rPr>
        <w:t>is</w:t>
      </w:r>
      <w:r w:rsidR="00B41AC7">
        <w:rPr>
          <w:rFonts w:cs="Arial"/>
          <w:szCs w:val="22"/>
        </w:rPr>
        <w:t xml:space="preserve"> most fundamental of human rights</w:t>
      </w:r>
      <w:r w:rsidR="005E5331">
        <w:rPr>
          <w:rFonts w:cs="Arial"/>
          <w:szCs w:val="22"/>
        </w:rPr>
        <w:t xml:space="preserve">. </w:t>
      </w:r>
    </w:p>
    <w:p w14:paraId="3D88EC2B" w14:textId="3633C791" w:rsidR="00E80FE2" w:rsidRPr="00E80FE2" w:rsidRDefault="00E80FE2" w:rsidP="00E80FE2">
      <w:pPr>
        <w:pStyle w:val="Heading1"/>
        <w:spacing w:after="240"/>
        <w:rPr>
          <w:color w:val="404040" w:themeColor="text1" w:themeTint="BF"/>
        </w:rPr>
      </w:pPr>
      <w:r w:rsidRPr="00E80FE2">
        <w:rPr>
          <w:color w:val="404040" w:themeColor="text1" w:themeTint="BF"/>
        </w:rPr>
        <w:t>Suggested focus for inquiry</w:t>
      </w:r>
    </w:p>
    <w:p w14:paraId="7BD5B256" w14:textId="0C589641" w:rsidR="00756CE3" w:rsidRDefault="00756CE3" w:rsidP="00CC2A72">
      <w:pPr>
        <w:tabs>
          <w:tab w:val="clear" w:pos="288"/>
          <w:tab w:val="left" w:pos="0"/>
        </w:tabs>
        <w:spacing w:after="240" w:line="276" w:lineRule="auto"/>
        <w:rPr>
          <w:rFonts w:cs="Arial"/>
          <w:szCs w:val="22"/>
        </w:rPr>
      </w:pPr>
      <w:r w:rsidRPr="00781F7D">
        <w:rPr>
          <w:rFonts w:cs="Arial"/>
          <w:szCs w:val="22"/>
        </w:rPr>
        <w:t xml:space="preserve">We therefore </w:t>
      </w:r>
      <w:r w:rsidR="002A11F1">
        <w:rPr>
          <w:rFonts w:cs="Arial"/>
          <w:szCs w:val="22"/>
        </w:rPr>
        <w:t>recommend</w:t>
      </w:r>
      <w:r w:rsidR="000E4303" w:rsidRPr="00781F7D">
        <w:rPr>
          <w:rFonts w:cs="Arial"/>
          <w:szCs w:val="22"/>
        </w:rPr>
        <w:t xml:space="preserve"> the</w:t>
      </w:r>
      <w:r w:rsidRPr="00781F7D">
        <w:rPr>
          <w:rFonts w:cs="Arial"/>
          <w:szCs w:val="22"/>
        </w:rPr>
        <w:t xml:space="preserve"> following as</w:t>
      </w:r>
      <w:r w:rsidR="00081968">
        <w:rPr>
          <w:rFonts w:cs="Arial"/>
          <w:szCs w:val="22"/>
        </w:rPr>
        <w:t xml:space="preserve"> a</w:t>
      </w:r>
      <w:r w:rsidR="00FA0E22" w:rsidRPr="00781F7D">
        <w:rPr>
          <w:rFonts w:cs="Arial"/>
          <w:szCs w:val="22"/>
        </w:rPr>
        <w:t xml:space="preserve"> suggested</w:t>
      </w:r>
      <w:r w:rsidRPr="00781F7D">
        <w:rPr>
          <w:rFonts w:cs="Arial"/>
          <w:szCs w:val="22"/>
        </w:rPr>
        <w:t xml:space="preserve"> </w:t>
      </w:r>
      <w:r w:rsidR="00081968">
        <w:rPr>
          <w:rFonts w:cs="Arial"/>
          <w:szCs w:val="22"/>
        </w:rPr>
        <w:t xml:space="preserve">focus for </w:t>
      </w:r>
      <w:r w:rsidR="00E16D3A">
        <w:rPr>
          <w:rFonts w:cs="Arial"/>
          <w:szCs w:val="22"/>
        </w:rPr>
        <w:t xml:space="preserve">an </w:t>
      </w:r>
      <w:r w:rsidRPr="00781F7D">
        <w:rPr>
          <w:rFonts w:cs="Arial"/>
          <w:szCs w:val="22"/>
        </w:rPr>
        <w:t>inquiry:</w:t>
      </w:r>
    </w:p>
    <w:p w14:paraId="02E40962" w14:textId="590CCCF8" w:rsidR="0051136E" w:rsidRDefault="00EC7EE8" w:rsidP="00A73377">
      <w:pPr>
        <w:tabs>
          <w:tab w:val="clear" w:pos="288"/>
          <w:tab w:val="left" w:pos="0"/>
        </w:tabs>
        <w:spacing w:after="240" w:line="276" w:lineRule="auto"/>
        <w:rPr>
          <w:rFonts w:cs="Arial"/>
          <w:szCs w:val="22"/>
        </w:rPr>
      </w:pPr>
      <w:r w:rsidRPr="00FC12C6">
        <w:rPr>
          <w:rFonts w:cs="Arial"/>
          <w:szCs w:val="22"/>
        </w:rPr>
        <w:t>Consider whether the Department of Education</w:t>
      </w:r>
      <w:r w:rsidR="005E3B77" w:rsidRPr="00FC12C6">
        <w:rPr>
          <w:rFonts w:cs="Arial"/>
          <w:szCs w:val="22"/>
        </w:rPr>
        <w:t xml:space="preserve"> is complying with international conventions, legislative </w:t>
      </w:r>
      <w:r w:rsidR="00DE0812" w:rsidRPr="00FC12C6">
        <w:rPr>
          <w:rFonts w:cs="Arial"/>
          <w:szCs w:val="22"/>
        </w:rPr>
        <w:t>requirements,</w:t>
      </w:r>
      <w:r w:rsidR="005E3B77" w:rsidRPr="00FC12C6">
        <w:rPr>
          <w:rFonts w:cs="Arial"/>
          <w:szCs w:val="22"/>
        </w:rPr>
        <w:t xml:space="preserve"> and departmental directives in its use of suspensions, </w:t>
      </w:r>
      <w:r w:rsidR="00E16D3A" w:rsidRPr="00FC12C6">
        <w:rPr>
          <w:rFonts w:cs="Arial"/>
          <w:szCs w:val="22"/>
        </w:rPr>
        <w:t>exclusions,</w:t>
      </w:r>
      <w:r w:rsidR="009619D8" w:rsidRPr="00FC12C6">
        <w:rPr>
          <w:rFonts w:cs="Arial"/>
          <w:szCs w:val="22"/>
        </w:rPr>
        <w:t xml:space="preserve"> and cancelled enrolments</w:t>
      </w:r>
      <w:r w:rsidR="004F6620">
        <w:rPr>
          <w:rFonts w:cs="Arial"/>
          <w:szCs w:val="22"/>
        </w:rPr>
        <w:t xml:space="preserve"> a</w:t>
      </w:r>
      <w:r w:rsidR="003C2CA3">
        <w:rPr>
          <w:rFonts w:cs="Arial"/>
          <w:szCs w:val="22"/>
        </w:rPr>
        <w:t xml:space="preserve">nd whether </w:t>
      </w:r>
      <w:r w:rsidR="00DA251B">
        <w:rPr>
          <w:rFonts w:cs="Arial"/>
          <w:szCs w:val="22"/>
        </w:rPr>
        <w:t xml:space="preserve">its practices </w:t>
      </w:r>
      <w:r w:rsidR="008E65B4">
        <w:rPr>
          <w:rFonts w:cs="Arial"/>
          <w:szCs w:val="22"/>
        </w:rPr>
        <w:t>lead to the disproportionate use of SDAs on students with disability and Aboriginal and Torres Strait Islander students.</w:t>
      </w:r>
      <w:r w:rsidR="00DB7199" w:rsidRPr="001163D8">
        <w:rPr>
          <w:rFonts w:cs="Arial"/>
          <w:szCs w:val="22"/>
        </w:rPr>
        <w:t xml:space="preserve"> </w:t>
      </w:r>
    </w:p>
    <w:p w14:paraId="0F3897B7" w14:textId="60F61CFB" w:rsidR="00901D3B" w:rsidRDefault="00901D3B" w:rsidP="0051136E">
      <w:pPr>
        <w:tabs>
          <w:tab w:val="clear" w:pos="288"/>
          <w:tab w:val="left" w:pos="0"/>
        </w:tabs>
        <w:spacing w:after="240" w:line="276" w:lineRule="auto"/>
        <w:rPr>
          <w:rFonts w:cs="Arial"/>
          <w:szCs w:val="22"/>
        </w:rPr>
      </w:pPr>
      <w:r>
        <w:rPr>
          <w:rFonts w:cs="Arial"/>
          <w:szCs w:val="22"/>
        </w:rPr>
        <w:t>This should include consideration of the following:</w:t>
      </w:r>
    </w:p>
    <w:p w14:paraId="1151D147" w14:textId="5B9B40CD" w:rsidR="009619D8" w:rsidRPr="00901D3B" w:rsidRDefault="00901D3B" w:rsidP="00371F08">
      <w:pPr>
        <w:pStyle w:val="ListParagraph"/>
        <w:numPr>
          <w:ilvl w:val="0"/>
          <w:numId w:val="14"/>
        </w:numPr>
        <w:tabs>
          <w:tab w:val="clear" w:pos="288"/>
          <w:tab w:val="left" w:pos="0"/>
        </w:tabs>
        <w:spacing w:after="240" w:line="276" w:lineRule="auto"/>
        <w:rPr>
          <w:rFonts w:cs="Arial"/>
          <w:szCs w:val="22"/>
        </w:rPr>
      </w:pPr>
      <w:r w:rsidRPr="00901D3B">
        <w:rPr>
          <w:rFonts w:cs="Arial"/>
          <w:szCs w:val="22"/>
        </w:rPr>
        <w:t>W</w:t>
      </w:r>
      <w:r>
        <w:rPr>
          <w:rFonts w:cs="Arial"/>
          <w:szCs w:val="22"/>
        </w:rPr>
        <w:t>h</w:t>
      </w:r>
      <w:r w:rsidR="00DB7199" w:rsidRPr="00901D3B">
        <w:rPr>
          <w:rFonts w:cs="Arial"/>
          <w:szCs w:val="22"/>
        </w:rPr>
        <w:t>ether the Department</w:t>
      </w:r>
      <w:r w:rsidR="00B3142F">
        <w:rPr>
          <w:rFonts w:cs="Arial"/>
          <w:szCs w:val="22"/>
        </w:rPr>
        <w:t xml:space="preserve"> is taking sufficient action to protect the human rights of all student</w:t>
      </w:r>
      <w:r w:rsidR="00DB7199" w:rsidRPr="00901D3B">
        <w:rPr>
          <w:rFonts w:cs="Arial"/>
          <w:szCs w:val="22"/>
        </w:rPr>
        <w:t>s</w:t>
      </w:r>
      <w:r w:rsidR="00B3142F">
        <w:rPr>
          <w:rFonts w:cs="Arial"/>
          <w:szCs w:val="22"/>
        </w:rPr>
        <w:t>, including whether its</w:t>
      </w:r>
      <w:r w:rsidR="00DB7199" w:rsidRPr="00901D3B">
        <w:rPr>
          <w:rFonts w:cs="Arial"/>
          <w:szCs w:val="22"/>
        </w:rPr>
        <w:t xml:space="preserve"> Positive Behaviour Intervention S</w:t>
      </w:r>
      <w:r w:rsidR="00822799" w:rsidRPr="00901D3B">
        <w:rPr>
          <w:rFonts w:cs="Arial"/>
          <w:szCs w:val="22"/>
        </w:rPr>
        <w:t>upport</w:t>
      </w:r>
      <w:r w:rsidR="00DB7199" w:rsidRPr="00901D3B">
        <w:rPr>
          <w:rFonts w:cs="Arial"/>
          <w:szCs w:val="22"/>
        </w:rPr>
        <w:t>s (PBIS)</w:t>
      </w:r>
      <w:r w:rsidR="000273F8">
        <w:rPr>
          <w:rFonts w:cs="Arial"/>
          <w:szCs w:val="22"/>
        </w:rPr>
        <w:t xml:space="preserve"> is sufficient to</w:t>
      </w:r>
      <w:r w:rsidR="00DB7199" w:rsidRPr="00901D3B">
        <w:rPr>
          <w:rFonts w:cs="Arial"/>
          <w:szCs w:val="22"/>
        </w:rPr>
        <w:t xml:space="preserve"> address the disproportionate rate at which</w:t>
      </w:r>
      <w:r w:rsidR="001163D8" w:rsidRPr="00901D3B">
        <w:rPr>
          <w:rFonts w:cs="Arial"/>
          <w:szCs w:val="22"/>
        </w:rPr>
        <w:t xml:space="preserve"> students with disability and Aboriginal and Torres Strait Islander students receive SDAs</w:t>
      </w:r>
      <w:r w:rsidR="00953F4A">
        <w:rPr>
          <w:rFonts w:cs="Arial"/>
          <w:szCs w:val="22"/>
        </w:rPr>
        <w:t>;</w:t>
      </w:r>
    </w:p>
    <w:p w14:paraId="114F3927" w14:textId="5918F616" w:rsidR="00E65509" w:rsidRPr="00997DD7" w:rsidRDefault="00B412EE" w:rsidP="00A31A30">
      <w:pPr>
        <w:pStyle w:val="ListParagraph"/>
        <w:numPr>
          <w:ilvl w:val="0"/>
          <w:numId w:val="13"/>
        </w:numPr>
        <w:tabs>
          <w:tab w:val="clear" w:pos="288"/>
          <w:tab w:val="left" w:pos="0"/>
        </w:tabs>
        <w:spacing w:after="240" w:line="276" w:lineRule="auto"/>
        <w:rPr>
          <w:rFonts w:cs="Arial"/>
          <w:szCs w:val="22"/>
        </w:rPr>
      </w:pPr>
      <w:r w:rsidRPr="00997DD7">
        <w:rPr>
          <w:rFonts w:cs="Arial"/>
          <w:szCs w:val="22"/>
        </w:rPr>
        <w:t>Whether current levels of</w:t>
      </w:r>
      <w:r w:rsidR="00E65509" w:rsidRPr="00997DD7">
        <w:rPr>
          <w:rFonts w:cs="Arial"/>
          <w:szCs w:val="22"/>
        </w:rPr>
        <w:t xml:space="preserve"> record keeping </w:t>
      </w:r>
      <w:r w:rsidRPr="00997DD7">
        <w:rPr>
          <w:rFonts w:cs="Arial"/>
          <w:szCs w:val="22"/>
        </w:rPr>
        <w:t>are adequate to inform decision-making</w:t>
      </w:r>
      <w:r w:rsidR="0079263B" w:rsidRPr="00997DD7">
        <w:rPr>
          <w:rFonts w:cs="Arial"/>
          <w:szCs w:val="22"/>
        </w:rPr>
        <w:t xml:space="preserve"> so that decision-making </w:t>
      </w:r>
      <w:r w:rsidR="007F4309">
        <w:rPr>
          <w:rFonts w:cs="Arial"/>
          <w:szCs w:val="22"/>
        </w:rPr>
        <w:t>occurs</w:t>
      </w:r>
      <w:r w:rsidR="0079263B" w:rsidRPr="00997DD7">
        <w:rPr>
          <w:rFonts w:cs="Arial"/>
          <w:szCs w:val="22"/>
        </w:rPr>
        <w:t xml:space="preserve"> in a way that is compatible with human rights</w:t>
      </w:r>
      <w:r w:rsidR="00D04D05">
        <w:rPr>
          <w:rFonts w:cs="Arial"/>
          <w:szCs w:val="22"/>
        </w:rPr>
        <w:t>. For example, does</w:t>
      </w:r>
      <w:r w:rsidR="003E0B43">
        <w:rPr>
          <w:rFonts w:cs="Arial"/>
          <w:szCs w:val="22"/>
        </w:rPr>
        <w:t xml:space="preserve"> the</w:t>
      </w:r>
      <w:r w:rsidR="00884385">
        <w:rPr>
          <w:rFonts w:cs="Arial"/>
          <w:szCs w:val="22"/>
        </w:rPr>
        <w:t xml:space="preserve"> Department</w:t>
      </w:r>
      <w:r w:rsidR="003E0B43">
        <w:rPr>
          <w:rFonts w:cs="Arial"/>
          <w:szCs w:val="22"/>
        </w:rPr>
        <w:t>’s</w:t>
      </w:r>
      <w:r w:rsidR="00884385">
        <w:rPr>
          <w:rFonts w:cs="Arial"/>
          <w:szCs w:val="22"/>
        </w:rPr>
        <w:t xml:space="preserve"> record keeping</w:t>
      </w:r>
      <w:r w:rsidR="00997DD7" w:rsidRPr="00997DD7">
        <w:rPr>
          <w:rFonts w:cs="Arial"/>
          <w:szCs w:val="22"/>
        </w:rPr>
        <w:t xml:space="preserve"> identif</w:t>
      </w:r>
      <w:r w:rsidR="00884385">
        <w:rPr>
          <w:rFonts w:cs="Arial"/>
          <w:szCs w:val="22"/>
        </w:rPr>
        <w:t>y</w:t>
      </w:r>
      <w:r w:rsidR="00997DD7" w:rsidRPr="00997DD7">
        <w:rPr>
          <w:rFonts w:cs="Arial"/>
          <w:szCs w:val="22"/>
        </w:rPr>
        <w:t xml:space="preserve"> the</w:t>
      </w:r>
      <w:r w:rsidR="00E65509" w:rsidRPr="00997DD7">
        <w:rPr>
          <w:rFonts w:cs="Arial"/>
          <w:szCs w:val="22"/>
        </w:rPr>
        <w:t xml:space="preserve"> prevalence of school disciplinary absences </w:t>
      </w:r>
      <w:r w:rsidR="00953F4A">
        <w:rPr>
          <w:rFonts w:cs="Arial"/>
          <w:szCs w:val="22"/>
        </w:rPr>
        <w:t>and their impacts on</w:t>
      </w:r>
      <w:r w:rsidR="00E65509" w:rsidRPr="00997DD7">
        <w:rPr>
          <w:rFonts w:cs="Arial"/>
          <w:szCs w:val="22"/>
        </w:rPr>
        <w:t xml:space="preserve"> different cohorts of students, including students with disability and Aboriginal and Torres Strait Islander students</w:t>
      </w:r>
      <w:r w:rsidR="00953F4A">
        <w:rPr>
          <w:rFonts w:cs="Arial"/>
          <w:szCs w:val="22"/>
        </w:rPr>
        <w:t>;</w:t>
      </w:r>
    </w:p>
    <w:p w14:paraId="3D3CAF51" w14:textId="46DD23A8" w:rsidR="00524086" w:rsidRPr="00FC12C6" w:rsidRDefault="00884385" w:rsidP="00FC12C6">
      <w:pPr>
        <w:pStyle w:val="ListParagraph"/>
        <w:numPr>
          <w:ilvl w:val="0"/>
          <w:numId w:val="13"/>
        </w:numPr>
        <w:tabs>
          <w:tab w:val="clear" w:pos="288"/>
          <w:tab w:val="left" w:pos="0"/>
        </w:tabs>
        <w:spacing w:after="240" w:line="276" w:lineRule="auto"/>
        <w:rPr>
          <w:rFonts w:cs="Arial"/>
          <w:szCs w:val="22"/>
        </w:rPr>
      </w:pPr>
      <w:r>
        <w:rPr>
          <w:rFonts w:cs="Arial"/>
          <w:szCs w:val="22"/>
        </w:rPr>
        <w:t xml:space="preserve">Whether students </w:t>
      </w:r>
      <w:r w:rsidR="00E87664">
        <w:rPr>
          <w:rFonts w:cs="Arial"/>
          <w:szCs w:val="22"/>
        </w:rPr>
        <w:t>receive adequate s</w:t>
      </w:r>
      <w:r w:rsidR="00066343">
        <w:rPr>
          <w:rFonts w:cs="Arial"/>
          <w:szCs w:val="22"/>
        </w:rPr>
        <w:t>upport following a school disciplinary</w:t>
      </w:r>
      <w:r w:rsidR="009252FF">
        <w:rPr>
          <w:rFonts w:cs="Arial"/>
          <w:szCs w:val="22"/>
        </w:rPr>
        <w:t xml:space="preserve"> absence</w:t>
      </w:r>
      <w:r w:rsidR="00066343">
        <w:rPr>
          <w:rFonts w:cs="Arial"/>
          <w:szCs w:val="22"/>
        </w:rPr>
        <w:t>, such as</w:t>
      </w:r>
      <w:r w:rsidR="00704192">
        <w:rPr>
          <w:rFonts w:cs="Arial"/>
          <w:szCs w:val="22"/>
        </w:rPr>
        <w:t xml:space="preserve"> appropriate</w:t>
      </w:r>
      <w:r w:rsidR="00C724E8" w:rsidRPr="00FC12C6">
        <w:rPr>
          <w:rFonts w:cs="Arial"/>
          <w:szCs w:val="22"/>
        </w:rPr>
        <w:t xml:space="preserve"> educational materials, behavioural </w:t>
      </w:r>
      <w:r w:rsidR="00076781" w:rsidRPr="00FC12C6">
        <w:rPr>
          <w:rFonts w:cs="Arial"/>
          <w:szCs w:val="22"/>
        </w:rPr>
        <w:t>support,</w:t>
      </w:r>
      <w:r w:rsidR="00C724E8" w:rsidRPr="00FC12C6">
        <w:rPr>
          <w:rFonts w:cs="Arial"/>
          <w:szCs w:val="22"/>
        </w:rPr>
        <w:t xml:space="preserve"> and assistance to return to school or </w:t>
      </w:r>
      <w:r w:rsidR="00883E71">
        <w:rPr>
          <w:rFonts w:cs="Arial"/>
          <w:szCs w:val="22"/>
        </w:rPr>
        <w:t xml:space="preserve">enrol </w:t>
      </w:r>
      <w:r w:rsidR="00704192">
        <w:rPr>
          <w:rFonts w:cs="Arial"/>
          <w:szCs w:val="22"/>
        </w:rPr>
        <w:t xml:space="preserve">in an alternative </w:t>
      </w:r>
      <w:r w:rsidR="002A0B1B">
        <w:rPr>
          <w:rFonts w:cs="Arial"/>
          <w:szCs w:val="22"/>
        </w:rPr>
        <w:t>school</w:t>
      </w:r>
      <w:r w:rsidR="00883E71">
        <w:rPr>
          <w:rFonts w:cs="Arial"/>
          <w:szCs w:val="22"/>
        </w:rPr>
        <w:t>;</w:t>
      </w:r>
    </w:p>
    <w:p w14:paraId="4BA37934" w14:textId="04AB923E" w:rsidR="00524086" w:rsidRPr="00FC12C6" w:rsidRDefault="000A712A" w:rsidP="00FC12C6">
      <w:pPr>
        <w:pStyle w:val="ListParagraph"/>
        <w:numPr>
          <w:ilvl w:val="0"/>
          <w:numId w:val="13"/>
        </w:numPr>
        <w:tabs>
          <w:tab w:val="clear" w:pos="288"/>
          <w:tab w:val="left" w:pos="0"/>
        </w:tabs>
        <w:spacing w:after="240" w:line="276" w:lineRule="auto"/>
        <w:rPr>
          <w:rFonts w:cs="Arial"/>
          <w:szCs w:val="22"/>
        </w:rPr>
      </w:pPr>
      <w:r>
        <w:rPr>
          <w:rFonts w:cs="Arial"/>
          <w:szCs w:val="22"/>
        </w:rPr>
        <w:t>Whether students and their families have access to</w:t>
      </w:r>
      <w:r w:rsidR="00524086" w:rsidRPr="00FC12C6">
        <w:rPr>
          <w:rFonts w:cs="Arial"/>
          <w:szCs w:val="22"/>
        </w:rPr>
        <w:t xml:space="preserve"> an effective, </w:t>
      </w:r>
      <w:r w:rsidR="00076781" w:rsidRPr="00FC12C6">
        <w:rPr>
          <w:rFonts w:cs="Arial"/>
          <w:szCs w:val="22"/>
        </w:rPr>
        <w:t>accessible,</w:t>
      </w:r>
      <w:r w:rsidR="00524086" w:rsidRPr="00FC12C6">
        <w:rPr>
          <w:rFonts w:cs="Arial"/>
          <w:szCs w:val="22"/>
        </w:rPr>
        <w:t xml:space="preserve"> and independent appeals</w:t>
      </w:r>
      <w:r w:rsidR="009D4C43">
        <w:rPr>
          <w:rFonts w:cs="Arial"/>
          <w:szCs w:val="22"/>
        </w:rPr>
        <w:t xml:space="preserve"> and review</w:t>
      </w:r>
      <w:r w:rsidR="00524086" w:rsidRPr="00FC12C6">
        <w:rPr>
          <w:rFonts w:cs="Arial"/>
          <w:szCs w:val="22"/>
        </w:rPr>
        <w:t xml:space="preserve"> process</w:t>
      </w:r>
      <w:r w:rsidR="00E539C3">
        <w:rPr>
          <w:rFonts w:cs="Arial"/>
          <w:szCs w:val="22"/>
        </w:rPr>
        <w:t>;</w:t>
      </w:r>
    </w:p>
    <w:p w14:paraId="24F034AA" w14:textId="743826B1" w:rsidR="00464899" w:rsidRDefault="00DA5D2D" w:rsidP="00FC12C6">
      <w:pPr>
        <w:pStyle w:val="ListParagraph"/>
        <w:numPr>
          <w:ilvl w:val="0"/>
          <w:numId w:val="13"/>
        </w:numPr>
        <w:tabs>
          <w:tab w:val="clear" w:pos="288"/>
          <w:tab w:val="left" w:pos="0"/>
        </w:tabs>
        <w:spacing w:after="240" w:line="276" w:lineRule="auto"/>
        <w:rPr>
          <w:rFonts w:cs="Arial"/>
          <w:szCs w:val="22"/>
        </w:rPr>
      </w:pPr>
      <w:r>
        <w:rPr>
          <w:rFonts w:cs="Arial"/>
          <w:szCs w:val="22"/>
        </w:rPr>
        <w:t>Whether there are</w:t>
      </w:r>
      <w:r w:rsidR="00464899" w:rsidRPr="00FC12C6">
        <w:rPr>
          <w:rFonts w:cs="Arial"/>
          <w:szCs w:val="22"/>
        </w:rPr>
        <w:t xml:space="preserve"> adequate</w:t>
      </w:r>
      <w:r w:rsidR="001A0948" w:rsidRPr="00FC12C6">
        <w:rPr>
          <w:rFonts w:cs="Arial"/>
          <w:szCs w:val="22"/>
        </w:rPr>
        <w:t xml:space="preserve"> safeguards </w:t>
      </w:r>
      <w:r w:rsidR="00597A62">
        <w:rPr>
          <w:rFonts w:cs="Arial"/>
          <w:szCs w:val="22"/>
        </w:rPr>
        <w:t>that</w:t>
      </w:r>
      <w:r w:rsidR="001A0948" w:rsidRPr="00FC12C6">
        <w:rPr>
          <w:rFonts w:cs="Arial"/>
          <w:szCs w:val="22"/>
        </w:rPr>
        <w:t xml:space="preserve"> avoid</w:t>
      </w:r>
      <w:r w:rsidR="00420DD5" w:rsidRPr="00FC12C6">
        <w:rPr>
          <w:rFonts w:cs="Arial"/>
          <w:szCs w:val="22"/>
        </w:rPr>
        <w:t xml:space="preserve"> inappropriate recourse to school disciplinary </w:t>
      </w:r>
      <w:proofErr w:type="gramStart"/>
      <w:r w:rsidR="00420DD5" w:rsidRPr="00FC12C6">
        <w:rPr>
          <w:rFonts w:cs="Arial"/>
          <w:szCs w:val="22"/>
        </w:rPr>
        <w:t>absences</w:t>
      </w:r>
      <w:proofErr w:type="gramEnd"/>
      <w:r w:rsidR="00E539C3">
        <w:rPr>
          <w:rFonts w:cs="Arial"/>
          <w:szCs w:val="22"/>
        </w:rPr>
        <w:t xml:space="preserve"> and</w:t>
      </w:r>
      <w:r w:rsidR="00597A62">
        <w:rPr>
          <w:rFonts w:cs="Arial"/>
          <w:szCs w:val="22"/>
        </w:rPr>
        <w:t xml:space="preserve"> which</w:t>
      </w:r>
      <w:r w:rsidR="00E539C3">
        <w:rPr>
          <w:rFonts w:cs="Arial"/>
          <w:szCs w:val="22"/>
        </w:rPr>
        <w:t xml:space="preserve"> ensure procedural fairness in decision-making that</w:t>
      </w:r>
      <w:r w:rsidR="007D45DF">
        <w:rPr>
          <w:rFonts w:cs="Arial"/>
          <w:szCs w:val="22"/>
        </w:rPr>
        <w:t xml:space="preserve"> can</w:t>
      </w:r>
      <w:r w:rsidR="00E539C3">
        <w:rPr>
          <w:rFonts w:cs="Arial"/>
          <w:szCs w:val="22"/>
        </w:rPr>
        <w:t xml:space="preserve"> adversely impact on human rights</w:t>
      </w:r>
      <w:r w:rsidR="00C73159">
        <w:rPr>
          <w:rFonts w:cs="Arial"/>
          <w:szCs w:val="22"/>
        </w:rPr>
        <w:t>, including a right of explanation for the affected student;</w:t>
      </w:r>
    </w:p>
    <w:p w14:paraId="09A0B9FE" w14:textId="13942C61" w:rsidR="00F5256C" w:rsidRDefault="00F5256C" w:rsidP="00FC12C6">
      <w:pPr>
        <w:pStyle w:val="ListParagraph"/>
        <w:numPr>
          <w:ilvl w:val="0"/>
          <w:numId w:val="13"/>
        </w:numPr>
        <w:tabs>
          <w:tab w:val="clear" w:pos="288"/>
          <w:tab w:val="left" w:pos="0"/>
        </w:tabs>
        <w:spacing w:after="240" w:line="276" w:lineRule="auto"/>
        <w:rPr>
          <w:rFonts w:cs="Arial"/>
          <w:szCs w:val="22"/>
        </w:rPr>
      </w:pPr>
      <w:r>
        <w:rPr>
          <w:rFonts w:cs="Arial"/>
          <w:szCs w:val="22"/>
        </w:rPr>
        <w:t>Whether legislative amendments are required</w:t>
      </w:r>
      <w:r w:rsidR="0050391D">
        <w:rPr>
          <w:rFonts w:cs="Arial"/>
          <w:szCs w:val="22"/>
        </w:rPr>
        <w:t xml:space="preserve"> to ensure natural justice, such as those which would avoid the use of rolling and repeated short-term suspensions;</w:t>
      </w:r>
    </w:p>
    <w:p w14:paraId="13752C12" w14:textId="6AC9A069" w:rsidR="007E1F04" w:rsidRPr="004F3E26" w:rsidRDefault="00F0653C" w:rsidP="004F3E26">
      <w:pPr>
        <w:tabs>
          <w:tab w:val="clear" w:pos="288"/>
        </w:tabs>
        <w:spacing w:after="240" w:line="276" w:lineRule="auto"/>
        <w:rPr>
          <w:rFonts w:ascii="Calibri" w:hAnsi="Calibri" w:cs="Arial"/>
        </w:rPr>
      </w:pPr>
      <w:r>
        <w:rPr>
          <w:rFonts w:ascii="Calibri" w:hAnsi="Calibri" w:cs="Arial"/>
        </w:rPr>
        <w:t xml:space="preserve">The Inquiry could </w:t>
      </w:r>
      <w:r w:rsidR="00A61F00">
        <w:rPr>
          <w:rFonts w:ascii="Calibri" w:hAnsi="Calibri" w:cs="Arial"/>
        </w:rPr>
        <w:t xml:space="preserve">also </w:t>
      </w:r>
      <w:r>
        <w:rPr>
          <w:rFonts w:ascii="Calibri" w:hAnsi="Calibri" w:cs="Arial"/>
        </w:rPr>
        <w:t xml:space="preserve">examine </w:t>
      </w:r>
      <w:r w:rsidR="00500A6F">
        <w:rPr>
          <w:rFonts w:ascii="Calibri" w:hAnsi="Calibri" w:cs="Arial"/>
        </w:rPr>
        <w:t xml:space="preserve">some of </w:t>
      </w:r>
      <w:r>
        <w:rPr>
          <w:rFonts w:ascii="Calibri" w:hAnsi="Calibri" w:cs="Arial"/>
        </w:rPr>
        <w:t xml:space="preserve">the broader implications </w:t>
      </w:r>
      <w:r w:rsidR="00D61619">
        <w:rPr>
          <w:rFonts w:ascii="Calibri" w:hAnsi="Calibri" w:cs="Arial"/>
        </w:rPr>
        <w:t>of school disciplinary absences</w:t>
      </w:r>
      <w:r w:rsidR="00ED0550">
        <w:rPr>
          <w:rFonts w:ascii="Calibri" w:hAnsi="Calibri" w:cs="Arial"/>
        </w:rPr>
        <w:t xml:space="preserve">. For example, the economic </w:t>
      </w:r>
      <w:r w:rsidR="00E80923">
        <w:rPr>
          <w:rFonts w:ascii="Calibri" w:hAnsi="Calibri" w:cs="Arial"/>
        </w:rPr>
        <w:t>co</w:t>
      </w:r>
      <w:r w:rsidR="00B05EA1">
        <w:rPr>
          <w:rFonts w:ascii="Calibri" w:hAnsi="Calibri" w:cs="Arial"/>
        </w:rPr>
        <w:t>st</w:t>
      </w:r>
      <w:r w:rsidR="00E80923">
        <w:rPr>
          <w:rFonts w:ascii="Calibri" w:hAnsi="Calibri" w:cs="Arial"/>
        </w:rPr>
        <w:t xml:space="preserve">s </w:t>
      </w:r>
      <w:r w:rsidR="002746ED">
        <w:rPr>
          <w:rFonts w:ascii="Calibri" w:hAnsi="Calibri" w:cs="Arial"/>
        </w:rPr>
        <w:t>of</w:t>
      </w:r>
      <w:r w:rsidR="00E80923">
        <w:rPr>
          <w:rFonts w:ascii="Calibri" w:hAnsi="Calibri" w:cs="Arial"/>
        </w:rPr>
        <w:t xml:space="preserve"> </w:t>
      </w:r>
      <w:r w:rsidR="00DE10D0">
        <w:rPr>
          <w:rFonts w:ascii="Calibri" w:hAnsi="Calibri" w:cs="Arial"/>
        </w:rPr>
        <w:t>poor</w:t>
      </w:r>
      <w:r w:rsidR="00D61619">
        <w:rPr>
          <w:rFonts w:ascii="Calibri" w:hAnsi="Calibri" w:cs="Arial"/>
        </w:rPr>
        <w:t xml:space="preserve"> mental health, </w:t>
      </w:r>
      <w:r w:rsidR="00500BE0">
        <w:rPr>
          <w:rFonts w:ascii="Calibri" w:hAnsi="Calibri" w:cs="Arial"/>
        </w:rPr>
        <w:t>reduced employment of parents</w:t>
      </w:r>
      <w:r w:rsidR="00523393">
        <w:rPr>
          <w:rFonts w:ascii="Calibri" w:hAnsi="Calibri" w:cs="Arial"/>
        </w:rPr>
        <w:t xml:space="preserve"> and the increased </w:t>
      </w:r>
      <w:r w:rsidR="002746ED">
        <w:rPr>
          <w:rFonts w:ascii="Calibri" w:hAnsi="Calibri" w:cs="Arial"/>
        </w:rPr>
        <w:t>burden on</w:t>
      </w:r>
      <w:r w:rsidR="00523393">
        <w:rPr>
          <w:rFonts w:ascii="Calibri" w:hAnsi="Calibri" w:cs="Arial"/>
        </w:rPr>
        <w:t xml:space="preserve"> the criminal justice system</w:t>
      </w:r>
      <w:r w:rsidR="002746ED">
        <w:rPr>
          <w:rFonts w:ascii="Calibri" w:hAnsi="Calibri" w:cs="Arial"/>
        </w:rPr>
        <w:t xml:space="preserve"> that occur </w:t>
      </w:r>
      <w:proofErr w:type="gramStart"/>
      <w:r w:rsidR="002746ED">
        <w:rPr>
          <w:rFonts w:ascii="Calibri" w:hAnsi="Calibri" w:cs="Arial"/>
        </w:rPr>
        <w:t>as a result of</w:t>
      </w:r>
      <w:proofErr w:type="gramEnd"/>
      <w:r w:rsidR="00CE2720">
        <w:rPr>
          <w:rFonts w:ascii="Calibri" w:hAnsi="Calibri" w:cs="Arial"/>
        </w:rPr>
        <w:t xml:space="preserve"> </w:t>
      </w:r>
      <w:r w:rsidR="002746ED">
        <w:rPr>
          <w:rFonts w:ascii="Calibri" w:hAnsi="Calibri" w:cs="Arial"/>
        </w:rPr>
        <w:t>SDAs</w:t>
      </w:r>
      <w:r w:rsidR="00523393">
        <w:rPr>
          <w:rFonts w:ascii="Calibri" w:hAnsi="Calibri" w:cs="Arial"/>
        </w:rPr>
        <w:t>.</w:t>
      </w:r>
      <w:r w:rsidR="0018793F">
        <w:rPr>
          <w:rFonts w:ascii="Calibri" w:hAnsi="Calibri" w:cs="Arial"/>
        </w:rPr>
        <w:t xml:space="preserve"> </w:t>
      </w:r>
      <w:r w:rsidR="002E1D7B" w:rsidRPr="002E1D7B">
        <w:rPr>
          <w:rFonts w:ascii="Calibri" w:hAnsi="Calibri" w:cs="Arial"/>
        </w:rPr>
        <w:t xml:space="preserve">Consideration </w:t>
      </w:r>
      <w:r w:rsidR="0018793F">
        <w:rPr>
          <w:rFonts w:ascii="Calibri" w:hAnsi="Calibri" w:cs="Arial"/>
        </w:rPr>
        <w:t>c</w:t>
      </w:r>
      <w:r w:rsidR="002E1D7B" w:rsidRPr="002E1D7B">
        <w:rPr>
          <w:rFonts w:ascii="Calibri" w:hAnsi="Calibri" w:cs="Arial"/>
        </w:rPr>
        <w:t>ould</w:t>
      </w:r>
      <w:r w:rsidR="006E4E74">
        <w:rPr>
          <w:rFonts w:ascii="Calibri" w:hAnsi="Calibri" w:cs="Arial"/>
        </w:rPr>
        <w:t xml:space="preserve"> also</w:t>
      </w:r>
      <w:r w:rsidR="002E1D7B" w:rsidRPr="002E1D7B">
        <w:rPr>
          <w:rFonts w:ascii="Calibri" w:hAnsi="Calibri" w:cs="Arial"/>
        </w:rPr>
        <w:t xml:space="preserve"> be </w:t>
      </w:r>
      <w:r w:rsidR="00870C9D">
        <w:rPr>
          <w:rFonts w:ascii="Calibri" w:hAnsi="Calibri" w:cs="Arial"/>
        </w:rPr>
        <w:t>given to</w:t>
      </w:r>
      <w:r w:rsidR="002E1D7B" w:rsidRPr="002E1D7B">
        <w:rPr>
          <w:rFonts w:ascii="Calibri" w:hAnsi="Calibri" w:cs="Arial"/>
        </w:rPr>
        <w:t xml:space="preserve"> the Department’s Aboriginal and Torres Strait Islander Strategy and whether monitoring and reducing the use of exclusionary discipline for these students is of sufficient prominence </w:t>
      </w:r>
      <w:r w:rsidR="00250D23">
        <w:rPr>
          <w:rFonts w:ascii="Calibri" w:hAnsi="Calibri" w:cs="Arial"/>
        </w:rPr>
        <w:t xml:space="preserve">in the Strategy for it </w:t>
      </w:r>
      <w:r w:rsidR="002E1D7B" w:rsidRPr="002E1D7B">
        <w:rPr>
          <w:rFonts w:ascii="Calibri" w:hAnsi="Calibri" w:cs="Arial"/>
        </w:rPr>
        <w:t xml:space="preserve">to achieve </w:t>
      </w:r>
      <w:r w:rsidR="00343E80">
        <w:rPr>
          <w:rFonts w:ascii="Calibri" w:hAnsi="Calibri" w:cs="Arial"/>
        </w:rPr>
        <w:t>its</w:t>
      </w:r>
      <w:r w:rsidR="002E1D7B" w:rsidRPr="002E1D7B">
        <w:rPr>
          <w:rFonts w:ascii="Calibri" w:hAnsi="Calibri" w:cs="Arial"/>
        </w:rPr>
        <w:t xml:space="preserve"> goal. Further, given </w:t>
      </w:r>
      <w:r w:rsidR="002E1D7B" w:rsidRPr="002E1D7B">
        <w:rPr>
          <w:rFonts w:ascii="Calibri" w:hAnsi="Calibri" w:cs="Arial"/>
        </w:rPr>
        <w:lastRenderedPageBreak/>
        <w:t xml:space="preserve">the intersectionalities between Indigenous status, disability, and out-of-home care, the Inquiry </w:t>
      </w:r>
      <w:r w:rsidR="00EE4087">
        <w:rPr>
          <w:rFonts w:ascii="Calibri" w:hAnsi="Calibri" w:cs="Arial"/>
        </w:rPr>
        <w:t>sh</w:t>
      </w:r>
      <w:r w:rsidR="002E1D7B" w:rsidRPr="002E1D7B">
        <w:rPr>
          <w:rFonts w:ascii="Calibri" w:hAnsi="Calibri" w:cs="Arial"/>
        </w:rPr>
        <w:t xml:space="preserve">ould consider whether the Department’s structures, strategies, </w:t>
      </w:r>
      <w:r w:rsidR="004F3E26" w:rsidRPr="002E1D7B">
        <w:rPr>
          <w:rFonts w:ascii="Calibri" w:hAnsi="Calibri" w:cs="Arial"/>
        </w:rPr>
        <w:t>policies,</w:t>
      </w:r>
      <w:r w:rsidR="002E1D7B" w:rsidRPr="002E1D7B">
        <w:rPr>
          <w:rFonts w:ascii="Calibri" w:hAnsi="Calibri" w:cs="Arial"/>
        </w:rPr>
        <w:t xml:space="preserve"> and procedures obscure important relationships </w:t>
      </w:r>
      <w:r w:rsidR="00EE4087">
        <w:rPr>
          <w:rFonts w:ascii="Calibri" w:hAnsi="Calibri" w:cs="Arial"/>
        </w:rPr>
        <w:t>by</w:t>
      </w:r>
      <w:r w:rsidR="002E1D7B" w:rsidRPr="002E1D7B">
        <w:rPr>
          <w:rFonts w:ascii="Calibri" w:hAnsi="Calibri" w:cs="Arial"/>
        </w:rPr>
        <w:t xml:space="preserve"> </w:t>
      </w:r>
      <w:r w:rsidR="00011297">
        <w:rPr>
          <w:rFonts w:ascii="Calibri" w:hAnsi="Calibri" w:cs="Arial"/>
        </w:rPr>
        <w:t>siloing</w:t>
      </w:r>
      <w:r w:rsidR="002E1D7B" w:rsidRPr="002E1D7B">
        <w:rPr>
          <w:rFonts w:ascii="Calibri" w:hAnsi="Calibri" w:cs="Arial"/>
        </w:rPr>
        <w:t xml:space="preserve"> </w:t>
      </w:r>
      <w:r w:rsidR="007C78ED">
        <w:rPr>
          <w:rFonts w:ascii="Calibri" w:hAnsi="Calibri" w:cs="Arial"/>
        </w:rPr>
        <w:t xml:space="preserve">these issues </w:t>
      </w:r>
      <w:r w:rsidR="002E1D7B" w:rsidRPr="002E1D7B">
        <w:rPr>
          <w:rFonts w:ascii="Calibri" w:hAnsi="Calibri" w:cs="Arial"/>
        </w:rPr>
        <w:t>and potentially prevent</w:t>
      </w:r>
      <w:r w:rsidR="00EE4087">
        <w:rPr>
          <w:rFonts w:ascii="Calibri" w:hAnsi="Calibri" w:cs="Arial"/>
        </w:rPr>
        <w:t>ing</w:t>
      </w:r>
      <w:r w:rsidR="002E1D7B" w:rsidRPr="002E1D7B">
        <w:rPr>
          <w:rFonts w:ascii="Calibri" w:hAnsi="Calibri" w:cs="Arial"/>
        </w:rPr>
        <w:t xml:space="preserve"> the development of holistic solutions. The Terms of Reference guiding previous Inquiries, such as the most recent one in South Australia, could helpfully inform the development of the Terms of Reference for an Inquiry in Queensland.</w:t>
      </w:r>
    </w:p>
    <w:p w14:paraId="4AF3DE0D" w14:textId="66DE95B8" w:rsidR="00B9008D" w:rsidRPr="00B9008D" w:rsidRDefault="008C19D8" w:rsidP="0088498D">
      <w:pPr>
        <w:pStyle w:val="Heading1"/>
        <w:spacing w:after="120"/>
        <w:rPr>
          <w:rFonts w:cstheme="minorHAnsi"/>
          <w:color w:val="404040" w:themeColor="text1" w:themeTint="BF"/>
        </w:rPr>
      </w:pPr>
      <w:r w:rsidRPr="00072671">
        <w:rPr>
          <w:rFonts w:cstheme="minorHAnsi"/>
          <w:color w:val="404040" w:themeColor="text1" w:themeTint="BF"/>
        </w:rPr>
        <w:t>Conclusion</w:t>
      </w:r>
    </w:p>
    <w:p w14:paraId="3C80C8A1" w14:textId="6C539F51" w:rsidR="00593B54" w:rsidRDefault="00593B54" w:rsidP="001D43FA">
      <w:pPr>
        <w:spacing w:line="276" w:lineRule="auto"/>
      </w:pPr>
      <w:r>
        <w:t>In the words of Professor Graham</w:t>
      </w:r>
      <w:r w:rsidR="004F3E26">
        <w:t>, Director of QUT’s Centre for Inclusive Education</w:t>
      </w:r>
      <w:r>
        <w:t>:</w:t>
      </w:r>
    </w:p>
    <w:p w14:paraId="6C10ED0B" w14:textId="7DAEF884" w:rsidR="00B4506D" w:rsidRDefault="00593B54" w:rsidP="001D43FA">
      <w:pPr>
        <w:spacing w:line="276" w:lineRule="auto"/>
      </w:pPr>
      <w:r>
        <w:t xml:space="preserve"> </w:t>
      </w:r>
    </w:p>
    <w:p w14:paraId="48D64AF7" w14:textId="67FF04C0" w:rsidR="00CF72F3" w:rsidRPr="00593B54" w:rsidRDefault="00CA0B6B" w:rsidP="00593B54">
      <w:pPr>
        <w:spacing w:line="276" w:lineRule="auto"/>
        <w:ind w:left="284" w:right="337"/>
        <w:rPr>
          <w:i/>
          <w:iCs/>
        </w:rPr>
      </w:pPr>
      <w:r w:rsidRPr="00593B54">
        <w:rPr>
          <w:i/>
          <w:iCs/>
        </w:rPr>
        <w:t>“Taken together, the bulk of the research</w:t>
      </w:r>
      <w:r w:rsidR="00C27D6F" w:rsidRPr="00593B54">
        <w:rPr>
          <w:i/>
          <w:iCs/>
        </w:rPr>
        <w:t xml:space="preserve"> evidence indicates that suspension does not help to address the reasons for student disengagement and may in fact accelerate vulnerable students’ disconnection from school”</w:t>
      </w:r>
      <w:r w:rsidR="00D66F66" w:rsidRPr="00593B54">
        <w:rPr>
          <w:i/>
          <w:iCs/>
        </w:rPr>
        <w:t>.</w:t>
      </w:r>
      <w:r w:rsidR="00D66F66" w:rsidRPr="00593B54">
        <w:rPr>
          <w:rStyle w:val="FootnoteReference"/>
          <w:i/>
          <w:iCs/>
        </w:rPr>
        <w:footnoteReference w:id="70"/>
      </w:r>
    </w:p>
    <w:p w14:paraId="29E9AB9E" w14:textId="04699981" w:rsidR="002933C5" w:rsidRDefault="002933C5" w:rsidP="001D43FA">
      <w:pPr>
        <w:spacing w:line="276" w:lineRule="auto"/>
      </w:pPr>
    </w:p>
    <w:p w14:paraId="6FCD3961" w14:textId="49CC937B" w:rsidR="002933C5" w:rsidRDefault="25A9C45B" w:rsidP="001D43FA">
      <w:pPr>
        <w:spacing w:line="276" w:lineRule="auto"/>
      </w:pPr>
      <w:r>
        <w:t>Q</w:t>
      </w:r>
      <w:r w:rsidR="69628964">
        <w:t>ueensland Advocacy Incorporated</w:t>
      </w:r>
      <w:r w:rsidR="00576FC2">
        <w:t xml:space="preserve"> and</w:t>
      </w:r>
      <w:r w:rsidR="005F2872">
        <w:t xml:space="preserve"> the Aboriginal and Torres Strait Islander </w:t>
      </w:r>
      <w:r w:rsidR="000F01DC">
        <w:t xml:space="preserve">Legal </w:t>
      </w:r>
      <w:r w:rsidR="005F2872">
        <w:t>Service (Qld) Ltd</w:t>
      </w:r>
      <w:r w:rsidR="00576FC2">
        <w:t xml:space="preserve"> </w:t>
      </w:r>
      <w:r w:rsidR="005F2872">
        <w:t>call upon the Queensland Human Rights Commission</w:t>
      </w:r>
      <w:r w:rsidR="0039352F">
        <w:t>er</w:t>
      </w:r>
      <w:r w:rsidR="005F2872">
        <w:t xml:space="preserve"> to conduct an inquiry into the </w:t>
      </w:r>
      <w:r w:rsidR="007F369F">
        <w:t xml:space="preserve">use of </w:t>
      </w:r>
      <w:r w:rsidR="00B40D5E">
        <w:t xml:space="preserve">suspensions, </w:t>
      </w:r>
      <w:proofErr w:type="gramStart"/>
      <w:r w:rsidR="00B40D5E">
        <w:t>exclusions</w:t>
      </w:r>
      <w:proofErr w:type="gramEnd"/>
      <w:r w:rsidR="00B40D5E">
        <w:t xml:space="preserve"> and cancelled enrolments in Queensland state schools and to review the </w:t>
      </w:r>
      <w:r w:rsidR="005F2872">
        <w:t>disproportionate rates of school disciplinary absences for students with disabilit</w:t>
      </w:r>
      <w:r w:rsidR="00E474E3">
        <w:t>y</w:t>
      </w:r>
      <w:r w:rsidR="005F2872">
        <w:t xml:space="preserve"> and Aboriginal and Torres Strait Islander students.</w:t>
      </w:r>
    </w:p>
    <w:p w14:paraId="23E2DA1A" w14:textId="77777777" w:rsidR="006C5DAC" w:rsidRDefault="006C5DAC" w:rsidP="001D43FA">
      <w:pPr>
        <w:spacing w:line="276" w:lineRule="auto"/>
      </w:pPr>
    </w:p>
    <w:p w14:paraId="4123A690" w14:textId="77777777" w:rsidR="00FC23B0" w:rsidRDefault="00FC23B0" w:rsidP="00FC23B0">
      <w:pPr>
        <w:pStyle w:val="Heading1"/>
      </w:pPr>
      <w:r>
        <w:rPr>
          <w:color w:val="404040" w:themeColor="text1" w:themeTint="BF"/>
        </w:rPr>
        <w:t>E</w:t>
      </w:r>
      <w:r w:rsidRPr="003E3932">
        <w:rPr>
          <w:color w:val="404040" w:themeColor="text1" w:themeTint="BF"/>
        </w:rPr>
        <w:t>ndorse</w:t>
      </w:r>
      <w:r>
        <w:rPr>
          <w:color w:val="404040" w:themeColor="text1" w:themeTint="BF"/>
        </w:rPr>
        <w:t>ments</w:t>
      </w:r>
    </w:p>
    <w:p w14:paraId="0FB9AFB7" w14:textId="77777777" w:rsidR="00FC23B0" w:rsidRDefault="00FC23B0" w:rsidP="00FC23B0"/>
    <w:p w14:paraId="5D81C8E2" w14:textId="71DBE589" w:rsidR="007E1F04" w:rsidRDefault="007E1F04" w:rsidP="001D43FA">
      <w:pPr>
        <w:spacing w:line="276" w:lineRule="auto"/>
      </w:pPr>
    </w:p>
    <w:p w14:paraId="21A9C090" w14:textId="49377AA2" w:rsidR="001E5E2A" w:rsidRDefault="008D3C4C" w:rsidP="001D43FA">
      <w:pPr>
        <w:spacing w:line="276" w:lineRule="auto"/>
      </w:pPr>
      <w:r>
        <w:rPr>
          <w:noProof/>
        </w:rPr>
        <w:drawing>
          <wp:anchor distT="0" distB="0" distL="114300" distR="114300" simplePos="0" relativeHeight="251659264" behindDoc="0" locked="0" layoutInCell="1" allowOverlap="1" wp14:anchorId="0B0F96D0" wp14:editId="6BC6FB88">
            <wp:simplePos x="0" y="0"/>
            <wp:positionH relativeFrom="column">
              <wp:posOffset>444500</wp:posOffset>
            </wp:positionH>
            <wp:positionV relativeFrom="paragraph">
              <wp:posOffset>98425</wp:posOffset>
            </wp:positionV>
            <wp:extent cx="1917700" cy="1076960"/>
            <wp:effectExtent l="0" t="0" r="6350" b="889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1917700" cy="1076960"/>
                    </a:xfrm>
                    <a:prstGeom prst="rect">
                      <a:avLst/>
                    </a:prstGeom>
                  </pic:spPr>
                </pic:pic>
              </a:graphicData>
            </a:graphic>
          </wp:anchor>
        </w:drawing>
      </w:r>
      <w:r w:rsidR="00700C00">
        <w:rPr>
          <w:noProof/>
        </w:rPr>
        <w:drawing>
          <wp:anchor distT="0" distB="0" distL="114300" distR="114300" simplePos="0" relativeHeight="251657216" behindDoc="0" locked="0" layoutInCell="1" allowOverlap="1" wp14:anchorId="3E044559" wp14:editId="27F32228">
            <wp:simplePos x="0" y="0"/>
            <wp:positionH relativeFrom="margin">
              <wp:posOffset>3153410</wp:posOffset>
            </wp:positionH>
            <wp:positionV relativeFrom="paragraph">
              <wp:posOffset>34925</wp:posOffset>
            </wp:positionV>
            <wp:extent cx="2202815" cy="1168400"/>
            <wp:effectExtent l="0" t="0" r="6985"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2815" cy="1168400"/>
                    </a:xfrm>
                    <a:prstGeom prst="rect">
                      <a:avLst/>
                    </a:prstGeom>
                  </pic:spPr>
                </pic:pic>
              </a:graphicData>
            </a:graphic>
          </wp:anchor>
        </w:drawing>
      </w:r>
    </w:p>
    <w:p w14:paraId="7BC62EBC" w14:textId="40009167" w:rsidR="00700C00" w:rsidRDefault="00700C00" w:rsidP="001D43FA">
      <w:pPr>
        <w:spacing w:line="276" w:lineRule="auto"/>
      </w:pPr>
    </w:p>
    <w:p w14:paraId="61B885FE" w14:textId="77777777" w:rsidR="007E1F04" w:rsidRDefault="007E1F04" w:rsidP="001D43FA">
      <w:pPr>
        <w:spacing w:line="276" w:lineRule="auto"/>
      </w:pPr>
    </w:p>
    <w:p w14:paraId="3BCD88A7" w14:textId="77777777" w:rsidR="007E1F04" w:rsidRDefault="007E1F04" w:rsidP="001D43FA">
      <w:pPr>
        <w:spacing w:line="276" w:lineRule="auto"/>
      </w:pPr>
    </w:p>
    <w:p w14:paraId="424EE4DD" w14:textId="77777777" w:rsidR="007E1F04" w:rsidRDefault="007E1F04" w:rsidP="001D43FA">
      <w:pPr>
        <w:spacing w:line="276" w:lineRule="auto"/>
      </w:pPr>
    </w:p>
    <w:p w14:paraId="35F10F48" w14:textId="77777777" w:rsidR="007E1F04" w:rsidRDefault="007E1F04" w:rsidP="001D43FA">
      <w:pPr>
        <w:spacing w:line="276" w:lineRule="auto"/>
      </w:pPr>
    </w:p>
    <w:p w14:paraId="79C2F5C0" w14:textId="77777777" w:rsidR="007E1F04" w:rsidRDefault="007E1F04" w:rsidP="001D43FA">
      <w:pPr>
        <w:spacing w:line="276" w:lineRule="auto"/>
      </w:pPr>
    </w:p>
    <w:p w14:paraId="28F1A67D" w14:textId="77777777" w:rsidR="00FC23B0" w:rsidRDefault="00FC23B0" w:rsidP="001D43FA">
      <w:pPr>
        <w:spacing w:line="276" w:lineRule="auto"/>
      </w:pPr>
    </w:p>
    <w:p w14:paraId="09BB052C" w14:textId="77777777" w:rsidR="00FC23B0" w:rsidRDefault="00FC23B0" w:rsidP="001D43FA">
      <w:pPr>
        <w:spacing w:line="276" w:lineRule="auto"/>
      </w:pPr>
    </w:p>
    <w:p w14:paraId="3F5D7174" w14:textId="77777777" w:rsidR="00FC23B0" w:rsidRDefault="00FC23B0" w:rsidP="001D43FA">
      <w:pPr>
        <w:spacing w:line="276" w:lineRule="auto"/>
      </w:pPr>
    </w:p>
    <w:p w14:paraId="6F94FE09" w14:textId="77777777" w:rsidR="008D3C4C" w:rsidRDefault="008D3C4C" w:rsidP="001D43FA">
      <w:pPr>
        <w:spacing w:line="276" w:lineRule="auto"/>
      </w:pPr>
    </w:p>
    <w:p w14:paraId="5A815196" w14:textId="77777777" w:rsidR="008D3C4C" w:rsidRDefault="008D3C4C" w:rsidP="001D43FA">
      <w:pPr>
        <w:spacing w:line="276" w:lineRule="auto"/>
      </w:pPr>
    </w:p>
    <w:p w14:paraId="7E221232" w14:textId="77777777" w:rsidR="00FC23B0" w:rsidRDefault="00FC23B0" w:rsidP="001D43FA">
      <w:pPr>
        <w:spacing w:line="276" w:lineRule="auto"/>
      </w:pPr>
    </w:p>
    <w:p w14:paraId="1B02C79F" w14:textId="77777777" w:rsidR="00FC23B0" w:rsidRDefault="00FC23B0" w:rsidP="001D43FA">
      <w:pPr>
        <w:spacing w:line="276" w:lineRule="auto"/>
      </w:pPr>
    </w:p>
    <w:p w14:paraId="20332C2D" w14:textId="77777777" w:rsidR="00FC23B0" w:rsidRDefault="00FC23B0" w:rsidP="001D43FA">
      <w:pPr>
        <w:spacing w:line="276" w:lineRule="auto"/>
      </w:pPr>
    </w:p>
    <w:p w14:paraId="7F3A1B53" w14:textId="75F860DA" w:rsidR="00D07746" w:rsidRPr="00B9008D" w:rsidRDefault="00B10631" w:rsidP="00D07746">
      <w:pPr>
        <w:pStyle w:val="Heading1"/>
        <w:spacing w:after="120"/>
        <w:rPr>
          <w:rFonts w:cstheme="minorHAnsi"/>
          <w:color w:val="404040" w:themeColor="text1" w:themeTint="BF"/>
        </w:rPr>
      </w:pPr>
      <w:r>
        <w:rPr>
          <w:rFonts w:cstheme="minorHAnsi"/>
          <w:color w:val="404040" w:themeColor="text1" w:themeTint="BF"/>
        </w:rPr>
        <w:lastRenderedPageBreak/>
        <w:t>R</w:t>
      </w:r>
      <w:r w:rsidR="00D07746">
        <w:rPr>
          <w:rFonts w:cstheme="minorHAnsi"/>
          <w:color w:val="404040" w:themeColor="text1" w:themeTint="BF"/>
        </w:rPr>
        <w:t>eferences</w:t>
      </w:r>
    </w:p>
    <w:p w14:paraId="5BE1B9EC" w14:textId="29BE62ED" w:rsidR="008F672C" w:rsidRPr="00A45347" w:rsidRDefault="008F672C" w:rsidP="003045FF">
      <w:pPr>
        <w:spacing w:before="240" w:line="276" w:lineRule="auto"/>
        <w:rPr>
          <w:szCs w:val="22"/>
          <w:lang w:val="en-US"/>
        </w:rPr>
      </w:pPr>
      <w:r w:rsidRPr="00A45347">
        <w:rPr>
          <w:i/>
          <w:iCs/>
          <w:szCs w:val="22"/>
        </w:rPr>
        <w:t>Anti-Discrimination Act 1991</w:t>
      </w:r>
      <w:r w:rsidRPr="00A45347">
        <w:rPr>
          <w:szCs w:val="22"/>
        </w:rPr>
        <w:t xml:space="preserve"> (Qld)</w:t>
      </w:r>
    </w:p>
    <w:p w14:paraId="7DA674E3" w14:textId="77777777" w:rsidR="008F672C" w:rsidRPr="00A45347" w:rsidRDefault="008F672C" w:rsidP="003045FF">
      <w:pPr>
        <w:spacing w:before="240" w:line="276" w:lineRule="auto"/>
        <w:rPr>
          <w:szCs w:val="22"/>
          <w:lang w:val="en-US"/>
        </w:rPr>
      </w:pPr>
      <w:r w:rsidRPr="00A45347">
        <w:rPr>
          <w:szCs w:val="22"/>
          <w:lang w:val="en-US"/>
        </w:rPr>
        <w:t>Australian Institute of Criminology (2017) Trends and issues in crime and criminal justice; https://www.aic.gov.au/sites/default/files/2020-05/tandi531.pdf</w:t>
      </w:r>
    </w:p>
    <w:p w14:paraId="75DF26B7" w14:textId="77777777" w:rsidR="008F672C" w:rsidRPr="008C14DD" w:rsidRDefault="008F672C" w:rsidP="003045FF">
      <w:pPr>
        <w:spacing w:before="240" w:line="276" w:lineRule="auto"/>
        <w:rPr>
          <w:szCs w:val="22"/>
          <w:lang w:val="en-US"/>
        </w:rPr>
      </w:pPr>
      <w:r w:rsidRPr="008C14DD">
        <w:rPr>
          <w:szCs w:val="22"/>
        </w:rPr>
        <w:t xml:space="preserve">Bower C, Watkins RE, </w:t>
      </w:r>
      <w:proofErr w:type="spellStart"/>
      <w:r w:rsidRPr="008C14DD">
        <w:rPr>
          <w:szCs w:val="22"/>
        </w:rPr>
        <w:t>Mutch</w:t>
      </w:r>
      <w:proofErr w:type="spellEnd"/>
      <w:r w:rsidRPr="008C14DD">
        <w:rPr>
          <w:szCs w:val="22"/>
        </w:rPr>
        <w:t xml:space="preserve"> RC et al. Fetal alcohol spectrum disorder and youth justice: a prevalence study among young people sentenced to detention in Western Australia. BMJ Open 2018;</w:t>
      </w:r>
      <w:proofErr w:type="gramStart"/>
      <w:r w:rsidRPr="008C14DD">
        <w:rPr>
          <w:szCs w:val="22"/>
        </w:rPr>
        <w:t>8:e</w:t>
      </w:r>
      <w:proofErr w:type="gramEnd"/>
      <w:r w:rsidRPr="008C14DD">
        <w:rPr>
          <w:szCs w:val="22"/>
        </w:rPr>
        <w:t>019605.</w:t>
      </w:r>
    </w:p>
    <w:p w14:paraId="0CDD3D3C" w14:textId="77777777" w:rsidR="008F672C" w:rsidRPr="00201EB5" w:rsidRDefault="008F672C" w:rsidP="003045FF">
      <w:pPr>
        <w:spacing w:before="240" w:line="276" w:lineRule="auto"/>
        <w:rPr>
          <w:szCs w:val="22"/>
          <w:lang w:val="en-US"/>
        </w:rPr>
      </w:pPr>
      <w:r w:rsidRPr="00201EB5">
        <w:rPr>
          <w:szCs w:val="22"/>
        </w:rPr>
        <w:t>Budget Estimates 2020-2021 Questions taken on notice during the hearing; Education and Early Childhood Learning, p75</w:t>
      </w:r>
    </w:p>
    <w:p w14:paraId="1E82D8ED" w14:textId="77777777" w:rsidR="008F672C" w:rsidRPr="00201EB5" w:rsidRDefault="008F672C" w:rsidP="003045FF">
      <w:pPr>
        <w:spacing w:before="240" w:line="276" w:lineRule="auto"/>
        <w:rPr>
          <w:szCs w:val="22"/>
          <w:lang w:val="en-US"/>
        </w:rPr>
      </w:pPr>
      <w:r w:rsidRPr="00201EB5">
        <w:rPr>
          <w:szCs w:val="22"/>
        </w:rPr>
        <w:t>Budget Estimates 2020-2021 Supplementary Questions; Education and Early Childhood Learning, p16</w:t>
      </w:r>
    </w:p>
    <w:p w14:paraId="1CC8C36F" w14:textId="0ABCD508" w:rsidR="008F672C" w:rsidRPr="00B6734D" w:rsidRDefault="008F672C" w:rsidP="003045FF">
      <w:pPr>
        <w:spacing w:before="240" w:line="276" w:lineRule="auto"/>
        <w:rPr>
          <w:szCs w:val="22"/>
          <w:lang w:val="en-US"/>
        </w:rPr>
      </w:pPr>
      <w:r w:rsidRPr="00B6734D">
        <w:rPr>
          <w:szCs w:val="22"/>
        </w:rPr>
        <w:t xml:space="preserve">Deloitte Access Economics (February 2017) </w:t>
      </w:r>
      <w:r w:rsidRPr="00B6734D">
        <w:rPr>
          <w:i/>
          <w:iCs/>
          <w:szCs w:val="22"/>
        </w:rPr>
        <w:t>Review of education for students with disability in Queensland state schools</w:t>
      </w:r>
    </w:p>
    <w:p w14:paraId="3F2EBB7E" w14:textId="77777777" w:rsidR="008F672C" w:rsidRPr="00B6734D" w:rsidRDefault="008F672C" w:rsidP="003045FF">
      <w:pPr>
        <w:spacing w:before="240" w:line="276" w:lineRule="auto"/>
        <w:rPr>
          <w:szCs w:val="22"/>
          <w:lang w:val="en-US"/>
        </w:rPr>
      </w:pPr>
      <w:r w:rsidRPr="00B6734D">
        <w:rPr>
          <w:szCs w:val="22"/>
          <w:lang w:val="en-US"/>
        </w:rPr>
        <w:t>Department of Children, Youth Justice and Multicultural Affairs (March 2016</w:t>
      </w:r>
      <w:r w:rsidRPr="00B6734D">
        <w:rPr>
          <w:i/>
          <w:iCs/>
          <w:szCs w:val="22"/>
          <w:lang w:val="en-US"/>
        </w:rPr>
        <w:t>) Practice Resource: School Disciplinary Absence; https://www.cyjma.qld.gov.au/resources/childsafety/practice-manual/practice-resource-sda.pdf</w:t>
      </w:r>
    </w:p>
    <w:p w14:paraId="4DED8688" w14:textId="77777777" w:rsidR="008F672C" w:rsidRPr="00201EB5" w:rsidRDefault="008F672C" w:rsidP="003045FF">
      <w:pPr>
        <w:spacing w:before="240" w:line="276" w:lineRule="auto"/>
        <w:rPr>
          <w:szCs w:val="22"/>
          <w:lang w:val="en-US"/>
        </w:rPr>
      </w:pPr>
      <w:r w:rsidRPr="00201EB5">
        <w:rPr>
          <w:szCs w:val="22"/>
          <w:lang w:val="en-US"/>
        </w:rPr>
        <w:t xml:space="preserve">Department of Education (January 2021); https://behaviour.education.qld.gov.au/procedures-guidelines-and-forms/disciplinary-consequences/appeals. </w:t>
      </w:r>
    </w:p>
    <w:p w14:paraId="6BAFD80A" w14:textId="77777777" w:rsidR="008F672C" w:rsidRPr="00B6734D" w:rsidRDefault="008F672C" w:rsidP="003045FF">
      <w:pPr>
        <w:spacing w:before="240" w:line="276" w:lineRule="auto"/>
        <w:rPr>
          <w:szCs w:val="22"/>
          <w:lang w:val="en-US"/>
        </w:rPr>
      </w:pPr>
      <w:r w:rsidRPr="00B6734D">
        <w:rPr>
          <w:szCs w:val="22"/>
          <w:lang w:val="en-US"/>
        </w:rPr>
        <w:t xml:space="preserve">Department of Education and Training (August 2020), </w:t>
      </w:r>
      <w:r w:rsidRPr="00B6734D">
        <w:rPr>
          <w:i/>
          <w:iCs/>
          <w:szCs w:val="22"/>
          <w:lang w:val="en-US"/>
        </w:rPr>
        <w:t>School Disciplinary Absences by region 2015-19; https://qed.qld.gov.au/our-publications/reports/statistics/Documents/sda-by-region.pdf</w:t>
      </w:r>
    </w:p>
    <w:p w14:paraId="18A39A3D" w14:textId="77777777" w:rsidR="008F672C" w:rsidRPr="0010210A" w:rsidRDefault="008F672C" w:rsidP="003045FF">
      <w:pPr>
        <w:spacing w:before="240" w:line="276" w:lineRule="auto"/>
        <w:rPr>
          <w:szCs w:val="22"/>
          <w:lang w:val="en-US"/>
        </w:rPr>
      </w:pPr>
      <w:r w:rsidRPr="0010210A">
        <w:rPr>
          <w:szCs w:val="22"/>
          <w:lang w:val="en-US"/>
        </w:rPr>
        <w:t xml:space="preserve">Department of Education and Training (August 2020), </w:t>
      </w:r>
      <w:r w:rsidRPr="0010210A">
        <w:rPr>
          <w:i/>
          <w:iCs/>
          <w:szCs w:val="22"/>
          <w:lang w:val="en-US"/>
        </w:rPr>
        <w:t>School Disciplinary Absence by student demographics, 2015-19</w:t>
      </w:r>
      <w:r w:rsidRPr="0010210A">
        <w:rPr>
          <w:szCs w:val="22"/>
          <w:lang w:val="en-US"/>
        </w:rPr>
        <w:t xml:space="preserve">, </w:t>
      </w:r>
      <w:r w:rsidRPr="0010210A">
        <w:rPr>
          <w:i/>
          <w:iCs/>
          <w:szCs w:val="22"/>
          <w:lang w:val="en-US"/>
        </w:rPr>
        <w:t>https://qed.qld.gov.au/publications/reports/statistics/schooling/students</w:t>
      </w:r>
    </w:p>
    <w:p w14:paraId="3BBBEEFE" w14:textId="77777777" w:rsidR="008F672C" w:rsidRPr="0010210A" w:rsidRDefault="008F672C" w:rsidP="003045FF">
      <w:pPr>
        <w:spacing w:before="240" w:line="276" w:lineRule="auto"/>
        <w:rPr>
          <w:i/>
          <w:iCs/>
          <w:szCs w:val="22"/>
          <w:lang w:val="en-US"/>
        </w:rPr>
      </w:pPr>
      <w:r w:rsidRPr="0010210A">
        <w:rPr>
          <w:szCs w:val="22"/>
          <w:lang w:val="en-US"/>
        </w:rPr>
        <w:t xml:space="preserve">Department of Education and Training (November 2020) </w:t>
      </w:r>
      <w:r w:rsidRPr="0010210A">
        <w:rPr>
          <w:i/>
          <w:iCs/>
          <w:szCs w:val="22"/>
          <w:lang w:val="en-US"/>
        </w:rPr>
        <w:t xml:space="preserve">State school enrolments, 2016-20; </w:t>
      </w:r>
      <w:hyperlink r:id="rId17" w:history="1">
        <w:r w:rsidRPr="0010210A">
          <w:rPr>
            <w:rStyle w:val="Hyperlink"/>
            <w:i/>
            <w:iCs/>
            <w:szCs w:val="22"/>
            <w:lang w:val="en-US"/>
          </w:rPr>
          <w:t>https://qed.qld.gov.au/our-publications/reports/statistics/Documents/enrolments-summary.pdf</w:t>
        </w:r>
      </w:hyperlink>
    </w:p>
    <w:p w14:paraId="33CC6223" w14:textId="77777777" w:rsidR="008F672C" w:rsidRPr="00201EB5" w:rsidRDefault="008F672C" w:rsidP="00FC2FB6">
      <w:pPr>
        <w:spacing w:before="240" w:line="276" w:lineRule="auto"/>
        <w:jc w:val="left"/>
        <w:rPr>
          <w:szCs w:val="22"/>
          <w:lang w:val="en-US"/>
        </w:rPr>
      </w:pPr>
      <w:r w:rsidRPr="00201EB5">
        <w:rPr>
          <w:szCs w:val="22"/>
          <w:lang w:val="en-US"/>
        </w:rPr>
        <w:t xml:space="preserve">Department of Education; https://behaviour.education.qld.gov.au/procedures-guidelines-forms/disciplinary-consequences/Documents/reviews-against-refusal-of-enrolment-decision.pdf </w:t>
      </w:r>
    </w:p>
    <w:p w14:paraId="17B01375" w14:textId="77777777" w:rsidR="00BE566B" w:rsidRPr="00A45347" w:rsidRDefault="00BE566B" w:rsidP="00BE566B">
      <w:pPr>
        <w:spacing w:before="240" w:line="276" w:lineRule="auto"/>
        <w:rPr>
          <w:szCs w:val="22"/>
          <w:lang w:val="en-US"/>
        </w:rPr>
      </w:pPr>
      <w:r w:rsidRPr="00A45347">
        <w:rPr>
          <w:i/>
          <w:iCs/>
          <w:szCs w:val="22"/>
        </w:rPr>
        <w:t>Education and Children’s Services Act 2019</w:t>
      </w:r>
      <w:r w:rsidRPr="00A45347">
        <w:rPr>
          <w:szCs w:val="22"/>
        </w:rPr>
        <w:t xml:space="preserve"> (SA)</w:t>
      </w:r>
    </w:p>
    <w:p w14:paraId="42DDA6B7" w14:textId="5C785BC4" w:rsidR="008F672C" w:rsidRDefault="008F672C" w:rsidP="003045FF">
      <w:pPr>
        <w:spacing w:before="240" w:line="276" w:lineRule="auto"/>
        <w:rPr>
          <w:szCs w:val="22"/>
        </w:rPr>
      </w:pPr>
      <w:r w:rsidRPr="00201EB5">
        <w:rPr>
          <w:i/>
          <w:iCs/>
          <w:szCs w:val="22"/>
        </w:rPr>
        <w:t>Education (General Provisions) Act 2006</w:t>
      </w:r>
      <w:r w:rsidRPr="00201EB5">
        <w:rPr>
          <w:szCs w:val="22"/>
        </w:rPr>
        <w:t xml:space="preserve"> (Qld)</w:t>
      </w:r>
    </w:p>
    <w:p w14:paraId="713539A3" w14:textId="77777777" w:rsidR="008F672C" w:rsidRPr="008C14DD" w:rsidRDefault="008F672C" w:rsidP="003045FF">
      <w:pPr>
        <w:spacing w:before="240" w:line="276" w:lineRule="auto"/>
        <w:rPr>
          <w:szCs w:val="22"/>
          <w:lang w:val="en-US"/>
        </w:rPr>
      </w:pPr>
      <w:r w:rsidRPr="008C14DD">
        <w:rPr>
          <w:szCs w:val="22"/>
        </w:rPr>
        <w:t xml:space="preserve">Fitzpatrick JP, Latimer J, Olson HC et al. Prevalence and profile of neurodevelopment and fetal alcohol Spectrum disorder (FASD) amongst Australian aboriginal children living in remote communities. Res Dev </w:t>
      </w:r>
      <w:proofErr w:type="spellStart"/>
      <w:r w:rsidRPr="008C14DD">
        <w:rPr>
          <w:szCs w:val="22"/>
        </w:rPr>
        <w:t>Disabil</w:t>
      </w:r>
      <w:proofErr w:type="spellEnd"/>
      <w:r w:rsidRPr="008C14DD">
        <w:rPr>
          <w:szCs w:val="22"/>
        </w:rPr>
        <w:t xml:space="preserve"> </w:t>
      </w:r>
      <w:proofErr w:type="gramStart"/>
      <w:r w:rsidRPr="008C14DD">
        <w:rPr>
          <w:szCs w:val="22"/>
        </w:rPr>
        <w:t>2017;65:114</w:t>
      </w:r>
      <w:proofErr w:type="gramEnd"/>
      <w:r w:rsidRPr="008C14DD">
        <w:rPr>
          <w:szCs w:val="22"/>
        </w:rPr>
        <w:t>–26.</w:t>
      </w:r>
    </w:p>
    <w:p w14:paraId="21F12857" w14:textId="77777777" w:rsidR="008F672C" w:rsidRPr="00B6734D" w:rsidRDefault="008F672C" w:rsidP="003045FF">
      <w:pPr>
        <w:spacing w:before="240" w:line="276" w:lineRule="auto"/>
        <w:rPr>
          <w:szCs w:val="22"/>
          <w:lang w:val="en-US"/>
        </w:rPr>
      </w:pPr>
      <w:r w:rsidRPr="00B6734D">
        <w:rPr>
          <w:szCs w:val="22"/>
          <w:lang w:val="en-US"/>
        </w:rPr>
        <w:t xml:space="preserve">Graham et al. (2020). </w:t>
      </w:r>
      <w:r w:rsidRPr="00B6734D">
        <w:rPr>
          <w:i/>
          <w:iCs/>
          <w:szCs w:val="22"/>
          <w:lang w:val="en-US"/>
        </w:rPr>
        <w:t>Inquiry into Suspension, Exclusion and Expulsion Processes in South Australian government schools: Final Report</w:t>
      </w:r>
      <w:r w:rsidRPr="00B6734D">
        <w:rPr>
          <w:szCs w:val="22"/>
          <w:lang w:val="en-US"/>
        </w:rPr>
        <w:t>. The Centre for Inclusive Education, QUT: Brisbane, QLD</w:t>
      </w:r>
    </w:p>
    <w:p w14:paraId="78258B9B" w14:textId="77777777" w:rsidR="008F672C" w:rsidRPr="000979B0" w:rsidRDefault="008F672C" w:rsidP="003045FF">
      <w:pPr>
        <w:spacing w:before="240" w:line="276" w:lineRule="auto"/>
        <w:rPr>
          <w:rFonts w:cstheme="minorHAnsi"/>
          <w:szCs w:val="22"/>
          <w:lang w:val="en-US"/>
        </w:rPr>
      </w:pPr>
      <w:r w:rsidRPr="000979B0">
        <w:rPr>
          <w:rFonts w:cstheme="minorHAnsi"/>
          <w:szCs w:val="22"/>
          <w:lang w:val="en-US"/>
        </w:rPr>
        <w:lastRenderedPageBreak/>
        <w:t xml:space="preserve">Graham, L. (2020) </w:t>
      </w:r>
      <w:r w:rsidRPr="000979B0">
        <w:rPr>
          <w:rFonts w:cstheme="minorHAnsi"/>
          <w:i/>
          <w:iCs/>
          <w:szCs w:val="22"/>
          <w:lang w:val="en-US"/>
        </w:rPr>
        <w:t>Questioning the impacts of legislative change on the use of exclusionary discipline in the context of broader system reforms; a Queensland case study</w:t>
      </w:r>
      <w:r w:rsidRPr="000979B0">
        <w:rPr>
          <w:rFonts w:cstheme="minorHAnsi"/>
          <w:szCs w:val="22"/>
          <w:lang w:val="en-US"/>
        </w:rPr>
        <w:t>; International Journal of Inclusive Education, 24:14, 1473-1493</w:t>
      </w:r>
    </w:p>
    <w:p w14:paraId="7FEEE186" w14:textId="77777777" w:rsidR="008F672C" w:rsidRPr="00D6347D" w:rsidRDefault="008F672C" w:rsidP="003045FF">
      <w:pPr>
        <w:spacing w:before="240" w:line="276" w:lineRule="auto"/>
        <w:rPr>
          <w:szCs w:val="22"/>
          <w:lang w:val="en-US"/>
        </w:rPr>
      </w:pPr>
      <w:r w:rsidRPr="003045FF">
        <w:rPr>
          <w:szCs w:val="22"/>
        </w:rPr>
        <w:t xml:space="preserve">Graham, L. J., Killingly, C., Laurens, K. R., &amp; </w:t>
      </w:r>
      <w:proofErr w:type="spellStart"/>
      <w:r w:rsidRPr="003045FF">
        <w:rPr>
          <w:szCs w:val="22"/>
        </w:rPr>
        <w:t>Sweller</w:t>
      </w:r>
      <w:proofErr w:type="spellEnd"/>
      <w:r w:rsidRPr="003045FF">
        <w:rPr>
          <w:szCs w:val="22"/>
        </w:rPr>
        <w:t xml:space="preserve">, N. (2022). Overrepresentation of Indigenous students in school suspension, exclusion, and enrolment cancellation in Queensland: is there a case for systemic inclusive school </w:t>
      </w:r>
      <w:proofErr w:type="gramStart"/>
      <w:r w:rsidRPr="003045FF">
        <w:rPr>
          <w:szCs w:val="22"/>
        </w:rPr>
        <w:t>reform?.</w:t>
      </w:r>
      <w:proofErr w:type="gramEnd"/>
      <w:r w:rsidRPr="003045FF">
        <w:rPr>
          <w:szCs w:val="22"/>
        </w:rPr>
        <w:t> </w:t>
      </w:r>
      <w:r w:rsidRPr="003045FF">
        <w:rPr>
          <w:i/>
          <w:iCs/>
          <w:szCs w:val="22"/>
        </w:rPr>
        <w:t>The Australian Educational Researcher</w:t>
      </w:r>
      <w:r w:rsidRPr="003045FF">
        <w:rPr>
          <w:szCs w:val="22"/>
        </w:rPr>
        <w:t>, 1-35.</w:t>
      </w:r>
    </w:p>
    <w:p w14:paraId="0E2CAD89" w14:textId="77777777" w:rsidR="008F672C" w:rsidRPr="003045FF" w:rsidRDefault="008F672C" w:rsidP="003045FF">
      <w:pPr>
        <w:spacing w:before="240" w:line="276" w:lineRule="auto"/>
        <w:rPr>
          <w:szCs w:val="22"/>
        </w:rPr>
      </w:pPr>
      <w:r w:rsidRPr="003045FF">
        <w:rPr>
          <w:szCs w:val="22"/>
        </w:rPr>
        <w:t xml:space="preserve">Graham, L., Killingly, C., Laurens, K. R., &amp; </w:t>
      </w:r>
      <w:proofErr w:type="spellStart"/>
      <w:r w:rsidRPr="003045FF">
        <w:rPr>
          <w:szCs w:val="22"/>
        </w:rPr>
        <w:t>Sweller</w:t>
      </w:r>
      <w:proofErr w:type="spellEnd"/>
      <w:r w:rsidRPr="003045FF">
        <w:rPr>
          <w:szCs w:val="22"/>
        </w:rPr>
        <w:t xml:space="preserve">, N. (2021). Suspensions and expulsions could set our most vulnerable kids on a path to school drop-out, drug use and crime. </w:t>
      </w:r>
      <w:r w:rsidRPr="003045FF">
        <w:rPr>
          <w:i/>
          <w:iCs/>
          <w:szCs w:val="22"/>
        </w:rPr>
        <w:t>The Conversation</w:t>
      </w:r>
      <w:r w:rsidRPr="003045FF">
        <w:rPr>
          <w:szCs w:val="22"/>
        </w:rPr>
        <w:t>.</w:t>
      </w:r>
    </w:p>
    <w:p w14:paraId="630A2A0C" w14:textId="77777777" w:rsidR="008F672C" w:rsidRPr="003045FF" w:rsidRDefault="008F672C" w:rsidP="003045FF">
      <w:pPr>
        <w:spacing w:before="240" w:line="276" w:lineRule="auto"/>
        <w:rPr>
          <w:szCs w:val="22"/>
        </w:rPr>
      </w:pPr>
      <w:r w:rsidRPr="003045FF">
        <w:rPr>
          <w:szCs w:val="22"/>
        </w:rPr>
        <w:t xml:space="preserve">Hemphill S, Broderick D &amp; </w:t>
      </w:r>
      <w:proofErr w:type="spellStart"/>
      <w:r w:rsidRPr="003045FF">
        <w:rPr>
          <w:szCs w:val="22"/>
        </w:rPr>
        <w:t>Heerde</w:t>
      </w:r>
      <w:proofErr w:type="spellEnd"/>
      <w:r w:rsidRPr="003045FF">
        <w:rPr>
          <w:szCs w:val="22"/>
        </w:rPr>
        <w:t xml:space="preserve"> J 2017. Positive associations between school suspension and student problem behaviour: Recent Australian findings. </w:t>
      </w:r>
      <w:r w:rsidRPr="003045FF">
        <w:rPr>
          <w:i/>
          <w:iCs/>
          <w:szCs w:val="22"/>
        </w:rPr>
        <w:t>Trends &amp; issues in crime and criminal justice</w:t>
      </w:r>
      <w:r w:rsidRPr="003045FF">
        <w:rPr>
          <w:szCs w:val="22"/>
        </w:rPr>
        <w:t xml:space="preserve"> no. 531. Canberra: Australian Institute of Criminology. </w:t>
      </w:r>
      <w:hyperlink r:id="rId18" w:history="1">
        <w:r w:rsidRPr="003045FF">
          <w:rPr>
            <w:rStyle w:val="Hyperlink"/>
            <w:szCs w:val="22"/>
          </w:rPr>
          <w:t>https://www.aic.gov.au/publications/tandi/tandi531</w:t>
        </w:r>
      </w:hyperlink>
    </w:p>
    <w:p w14:paraId="17FC00ED" w14:textId="77777777" w:rsidR="008F672C" w:rsidRPr="00914235" w:rsidRDefault="008F672C" w:rsidP="003045FF">
      <w:pPr>
        <w:spacing w:before="240" w:line="276" w:lineRule="auto"/>
        <w:rPr>
          <w:szCs w:val="22"/>
          <w:lang w:val="en-US"/>
        </w:rPr>
      </w:pPr>
      <w:r w:rsidRPr="00914235">
        <w:rPr>
          <w:szCs w:val="22"/>
        </w:rPr>
        <w:t>https://acara.edu.au/reporting/national-report-on-schooling-in-australia/national-report-on-schooling-in-australia-data-portal/school-students-with-disability</w:t>
      </w:r>
    </w:p>
    <w:p w14:paraId="39BC5386" w14:textId="77777777" w:rsidR="008F672C" w:rsidRPr="00201EB5" w:rsidRDefault="008F672C" w:rsidP="003045FF">
      <w:pPr>
        <w:spacing w:before="240" w:line="276" w:lineRule="auto"/>
        <w:rPr>
          <w:szCs w:val="22"/>
          <w:lang w:val="en-US"/>
        </w:rPr>
      </w:pPr>
      <w:r w:rsidRPr="00201EB5">
        <w:rPr>
          <w:szCs w:val="22"/>
        </w:rPr>
        <w:t>https://www.brisbanetimes.com.au/politics/queensland/school-suspensions-expulsions-jump-12-per-cent-but-minister-says-that-s-good-20190503-p51jy4.html</w:t>
      </w:r>
    </w:p>
    <w:p w14:paraId="08DD03D7" w14:textId="5FFB34BB" w:rsidR="008F672C" w:rsidRPr="00A45347" w:rsidRDefault="008F672C" w:rsidP="003045FF">
      <w:pPr>
        <w:spacing w:before="240" w:line="276" w:lineRule="auto"/>
        <w:rPr>
          <w:szCs w:val="22"/>
        </w:rPr>
      </w:pPr>
      <w:r w:rsidRPr="00A45347">
        <w:rPr>
          <w:i/>
          <w:iCs/>
          <w:szCs w:val="22"/>
        </w:rPr>
        <w:t xml:space="preserve">Human Rights Act 2019 </w:t>
      </w:r>
      <w:r w:rsidRPr="00A45347">
        <w:rPr>
          <w:szCs w:val="22"/>
        </w:rPr>
        <w:t>(Qld)</w:t>
      </w:r>
    </w:p>
    <w:p w14:paraId="029F051B" w14:textId="77777777" w:rsidR="008F672C" w:rsidRPr="008C14DD" w:rsidRDefault="008F672C" w:rsidP="003045FF">
      <w:pPr>
        <w:spacing w:before="240" w:line="276" w:lineRule="auto"/>
        <w:rPr>
          <w:szCs w:val="22"/>
          <w:lang w:val="en-US"/>
        </w:rPr>
      </w:pPr>
      <w:r w:rsidRPr="008C14DD">
        <w:rPr>
          <w:szCs w:val="22"/>
          <w:lang w:val="en-US"/>
        </w:rPr>
        <w:t>Lange, S et al (2017) Global Prevalence of Fetal Alcohol Spectrum Disorder Among Children and Youth;</w:t>
      </w:r>
      <w:r w:rsidRPr="008C14DD">
        <w:rPr>
          <w:i/>
          <w:iCs/>
          <w:szCs w:val="22"/>
        </w:rPr>
        <w:t xml:space="preserve"> JAMA </w:t>
      </w:r>
      <w:proofErr w:type="spellStart"/>
      <w:r w:rsidRPr="008C14DD">
        <w:rPr>
          <w:i/>
          <w:iCs/>
          <w:szCs w:val="22"/>
        </w:rPr>
        <w:t>Pediatr</w:t>
      </w:r>
      <w:proofErr w:type="spellEnd"/>
      <w:r w:rsidRPr="008C14DD">
        <w:rPr>
          <w:szCs w:val="22"/>
        </w:rPr>
        <w:t>. 2017;171(10):948-956. doi:10.1001/jamapediatrics.2017.1919</w:t>
      </w:r>
    </w:p>
    <w:p w14:paraId="29939F59" w14:textId="77777777" w:rsidR="008F672C" w:rsidRPr="00D6347D" w:rsidRDefault="008F672C" w:rsidP="003045FF">
      <w:pPr>
        <w:spacing w:before="240" w:line="276" w:lineRule="auto"/>
        <w:rPr>
          <w:szCs w:val="22"/>
          <w:lang w:val="en-US"/>
        </w:rPr>
      </w:pPr>
      <w:r w:rsidRPr="00D6347D">
        <w:rPr>
          <w:szCs w:val="22"/>
          <w:lang w:val="en-US"/>
        </w:rPr>
        <w:t xml:space="preserve">Parsons (2018) cited in Graham, L. (2020) </w:t>
      </w:r>
      <w:r w:rsidRPr="00D6347D">
        <w:rPr>
          <w:i/>
          <w:iCs/>
          <w:szCs w:val="22"/>
          <w:lang w:val="en-US"/>
        </w:rPr>
        <w:t>Questioning the impacts of legislative change on the use of exclusionary discipline in the context of broader system reforms; a Queensland case study</w:t>
      </w:r>
      <w:r w:rsidRPr="00D6347D">
        <w:rPr>
          <w:szCs w:val="22"/>
          <w:lang w:val="en-US"/>
        </w:rPr>
        <w:t>; International Journal of Inclusive Education, 24:14, 1473-1493</w:t>
      </w:r>
    </w:p>
    <w:p w14:paraId="1F54D834" w14:textId="77777777" w:rsidR="008F672C" w:rsidRPr="0010210A" w:rsidRDefault="008F672C" w:rsidP="003045FF">
      <w:pPr>
        <w:spacing w:before="240" w:line="276" w:lineRule="auto"/>
        <w:rPr>
          <w:szCs w:val="22"/>
          <w:lang w:val="en-US"/>
        </w:rPr>
      </w:pPr>
      <w:r w:rsidRPr="0010210A">
        <w:rPr>
          <w:szCs w:val="22"/>
        </w:rPr>
        <w:t xml:space="preserve">Quin, D., &amp; Hemphill, S. A. (2014). Students’ experiences of school suspension. </w:t>
      </w:r>
      <w:r w:rsidRPr="0010210A">
        <w:rPr>
          <w:i/>
          <w:iCs/>
          <w:szCs w:val="22"/>
        </w:rPr>
        <w:t>Health Promotion Journal of Australia</w:t>
      </w:r>
      <w:r w:rsidRPr="0010210A">
        <w:rPr>
          <w:szCs w:val="22"/>
        </w:rPr>
        <w:t>, 25(1), 52-58.</w:t>
      </w:r>
    </w:p>
    <w:p w14:paraId="14F6F638" w14:textId="77777777" w:rsidR="008F672C" w:rsidRPr="008C14DD" w:rsidRDefault="008F672C" w:rsidP="003045FF">
      <w:pPr>
        <w:spacing w:before="240" w:line="276" w:lineRule="auto"/>
        <w:rPr>
          <w:szCs w:val="22"/>
          <w:lang w:val="en-US"/>
        </w:rPr>
      </w:pPr>
      <w:r w:rsidRPr="008C14DD">
        <w:rPr>
          <w:szCs w:val="22"/>
          <w:lang w:val="en-US"/>
        </w:rPr>
        <w:t xml:space="preserve">Reid, N (2018) </w:t>
      </w:r>
      <w:r w:rsidRPr="008C14DD">
        <w:rPr>
          <w:i/>
          <w:iCs/>
          <w:szCs w:val="22"/>
          <w:lang w:val="en-US"/>
        </w:rPr>
        <w:t xml:space="preserve">Fetal alcohol spectrum disorder in Australia: What is the current </w:t>
      </w:r>
      <w:proofErr w:type="gramStart"/>
      <w:r w:rsidRPr="008C14DD">
        <w:rPr>
          <w:i/>
          <w:iCs/>
          <w:szCs w:val="22"/>
          <w:lang w:val="en-US"/>
        </w:rPr>
        <w:t>state of affairs</w:t>
      </w:r>
      <w:proofErr w:type="gramEnd"/>
      <w:r w:rsidRPr="008C14DD">
        <w:rPr>
          <w:i/>
          <w:iCs/>
          <w:szCs w:val="22"/>
          <w:lang w:val="en-US"/>
        </w:rPr>
        <w:t>?</w:t>
      </w:r>
      <w:r w:rsidRPr="008C14DD">
        <w:rPr>
          <w:szCs w:val="22"/>
          <w:lang w:val="en-US"/>
        </w:rPr>
        <w:t xml:space="preserve"> Drug and Alcohol Review</w:t>
      </w:r>
    </w:p>
    <w:p w14:paraId="205ADB08" w14:textId="77777777" w:rsidR="008F672C" w:rsidRPr="00530685" w:rsidRDefault="008F672C" w:rsidP="003045FF">
      <w:pPr>
        <w:spacing w:before="240" w:line="276" w:lineRule="auto"/>
        <w:rPr>
          <w:szCs w:val="22"/>
          <w:lang w:val="en-US"/>
        </w:rPr>
      </w:pPr>
      <w:r w:rsidRPr="00530685">
        <w:rPr>
          <w:szCs w:val="22"/>
        </w:rPr>
        <w:t>Royal Commission. (2020). Chair Closing Address - Public hearing 7, Brisbane; https://disability.royalcommission.gov.au/publications/chair-closing-address-public-hearing-7-brisbane</w:t>
      </w:r>
    </w:p>
    <w:p w14:paraId="50C9F71E" w14:textId="77777777" w:rsidR="008F672C" w:rsidRPr="00201EB5" w:rsidRDefault="008F672C" w:rsidP="003045FF">
      <w:pPr>
        <w:spacing w:before="240" w:line="276" w:lineRule="auto"/>
        <w:rPr>
          <w:szCs w:val="22"/>
        </w:rPr>
      </w:pPr>
      <w:r w:rsidRPr="00201EB5">
        <w:rPr>
          <w:szCs w:val="22"/>
        </w:rPr>
        <w:t xml:space="preserve">South Australia, </w:t>
      </w:r>
      <w:r w:rsidRPr="00201EB5">
        <w:rPr>
          <w:i/>
          <w:iCs/>
          <w:szCs w:val="22"/>
        </w:rPr>
        <w:t>Parliamentary Debates</w:t>
      </w:r>
      <w:r w:rsidRPr="00201EB5">
        <w:rPr>
          <w:szCs w:val="22"/>
        </w:rPr>
        <w:t>, House of Assembly, 30 March 2021, 4796.</w:t>
      </w:r>
    </w:p>
    <w:p w14:paraId="6F1A0B45" w14:textId="77777777" w:rsidR="008F672C" w:rsidRPr="003045FF" w:rsidRDefault="008F672C" w:rsidP="003045FF">
      <w:pPr>
        <w:spacing w:before="240" w:line="276" w:lineRule="auto"/>
        <w:rPr>
          <w:szCs w:val="22"/>
        </w:rPr>
      </w:pPr>
      <w:r w:rsidRPr="003045FF">
        <w:rPr>
          <w:szCs w:val="22"/>
        </w:rPr>
        <w:t xml:space="preserve">Submissions of Counsel Assisting following </w:t>
      </w:r>
      <w:proofErr w:type="gramStart"/>
      <w:r w:rsidRPr="003045FF">
        <w:rPr>
          <w:szCs w:val="22"/>
        </w:rPr>
        <w:t>Public</w:t>
      </w:r>
      <w:proofErr w:type="gramEnd"/>
      <w:r w:rsidRPr="003045FF">
        <w:rPr>
          <w:szCs w:val="22"/>
        </w:rPr>
        <w:t xml:space="preserve"> hearing 7 – Barriers to a safe, quality and inclusive school education, p103</w:t>
      </w:r>
    </w:p>
    <w:p w14:paraId="552F39F2" w14:textId="77777777" w:rsidR="008F672C" w:rsidRPr="003045FF" w:rsidRDefault="008F672C" w:rsidP="003045FF">
      <w:pPr>
        <w:spacing w:before="240" w:line="276" w:lineRule="auto"/>
        <w:rPr>
          <w:szCs w:val="22"/>
          <w:lang w:val="en-US"/>
        </w:rPr>
      </w:pPr>
      <w:r w:rsidRPr="00201EB5">
        <w:rPr>
          <w:szCs w:val="22"/>
          <w:lang w:val="en-US"/>
        </w:rPr>
        <w:t xml:space="preserve">United Nations Educational, Scientific and Cultural Organisation; ‘Right to education’; https://en.unesco.org/themes/right-to-education </w:t>
      </w:r>
    </w:p>
    <w:sectPr w:rsidR="008F672C" w:rsidRPr="003045FF" w:rsidSect="00CF7410">
      <w:headerReference w:type="default" r:id="rId19"/>
      <w:footerReference w:type="even" r:id="rId20"/>
      <w:footerReference w:type="default" r:id="rId21"/>
      <w:headerReference w:type="first" r:id="rId22"/>
      <w:footerReference w:type="first" r:id="rId23"/>
      <w:pgSz w:w="11900" w:h="16840"/>
      <w:pgMar w:top="1440" w:right="1127" w:bottom="1134" w:left="1080" w:header="708" w:footer="5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607AF" w14:textId="77777777" w:rsidR="005D68A0" w:rsidRDefault="005D68A0" w:rsidP="007A3268">
      <w:r>
        <w:separator/>
      </w:r>
    </w:p>
  </w:endnote>
  <w:endnote w:type="continuationSeparator" w:id="0">
    <w:p w14:paraId="07C95C91" w14:textId="77777777" w:rsidR="005D68A0" w:rsidRDefault="005D68A0" w:rsidP="007A3268">
      <w:r>
        <w:continuationSeparator/>
      </w:r>
    </w:p>
  </w:endnote>
  <w:endnote w:type="continuationNotice" w:id="1">
    <w:p w14:paraId="7F2CC1F9" w14:textId="77777777" w:rsidR="005D68A0" w:rsidRDefault="005D6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6642823"/>
      <w:docPartObj>
        <w:docPartGallery w:val="Page Numbers (Bottom of Page)"/>
        <w:docPartUnique/>
      </w:docPartObj>
    </w:sdtPr>
    <w:sdtEndPr>
      <w:rPr>
        <w:rStyle w:val="PageNumber"/>
      </w:rPr>
    </w:sdtEndPr>
    <w:sdtContent>
      <w:p w14:paraId="3F07FD03" w14:textId="77777777" w:rsidR="00CF72F3" w:rsidRDefault="007A3268" w:rsidP="00CF72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22E4A" w14:textId="77777777" w:rsidR="00CF72F3" w:rsidRDefault="00CF72F3" w:rsidP="00CF72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77777777" w:rsidR="00CF72F3" w:rsidRPr="005079CE" w:rsidRDefault="007A3268" w:rsidP="00CF72F3">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7216" behindDoc="0" locked="0" layoutInCell="1" allowOverlap="1" wp14:anchorId="2673DD5D" wp14:editId="45FFFE3E">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96137" id="Rectangle 12" o:spid="_x0000_s1026" style="position:absolute;margin-left:0;margin-top:.15pt;width:6.1pt;height:616.5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" fillcolor="#c62b2e" stroked="f" strokeweight="1pt"/>
          </w:pict>
        </mc:Fallback>
      </mc:AlternateContent>
    </w: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CF72F3" w:rsidRPr="00475C02" w:rsidRDefault="007A3268" w:rsidP="00DD7B9C">
        <w:pPr>
          <w:pStyle w:val="Footer"/>
          <w:framePr w:w="255"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60014C">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157DB8F9" w:rsidR="00CF72F3" w:rsidRPr="00BC44D8" w:rsidRDefault="007A3268" w:rsidP="00CF72F3">
    <w:pPr>
      <w:pStyle w:val="Footer"/>
      <w:jc w:val="right"/>
    </w:pPr>
    <w:r w:rsidRPr="00486D82">
      <w:rPr>
        <w:rFonts w:ascii="Arial" w:hAnsi="Arial" w:cs="Arial"/>
        <w:noProof/>
        <w:szCs w:val="22"/>
        <w:lang w:eastAsia="en-AU"/>
      </w:rPr>
      <mc:AlternateContent>
        <mc:Choice Requires="wps">
          <w:drawing>
            <wp:anchor distT="0" distB="0" distL="114300" distR="114300" simplePos="0" relativeHeight="251655168" behindDoc="0" locked="0" layoutInCell="1" allowOverlap="1" wp14:anchorId="08C978FA" wp14:editId="3432CA3D">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8595D" id="Rectangle 10" o:spid="_x0000_s1026" style="position:absolute;margin-left:0;margin-top:.2pt;width:6.1pt;height:616.5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58240" behindDoc="0" locked="0" layoutInCell="1" allowOverlap="1" wp14:anchorId="1B856193" wp14:editId="66FD0EF4">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CBA5F" id="Rectangle 14" o:spid="_x0000_s1026" style="position:absolute;margin-left:24pt;margin-top:24.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" fillcolor="#c62b2e" stroked="f" strokeweight="1pt"/>
          </w:pict>
        </mc:Fallback>
      </mc:AlternateContent>
    </w:r>
    <w:r w:rsidRPr="00486D82">
      <w:rPr>
        <w:rFonts w:ascii="Arial" w:hAnsi="Arial" w:cs="Arial"/>
        <w:noProof/>
        <w:szCs w:val="22"/>
        <w:lang w:eastAsia="en-AU"/>
      </w:rPr>
      <mc:AlternateContent>
        <mc:Choice Requires="wps">
          <w:drawing>
            <wp:anchor distT="0" distB="0" distL="114300" distR="114300" simplePos="0" relativeHeight="251656192" behindDoc="0" locked="0" layoutInCell="1" allowOverlap="1" wp14:anchorId="15339C95" wp14:editId="780AAFDB">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D5FB9" id="Rectangle 11" o:spid="_x0000_s1026" style="position:absolute;margin-left:12pt;margin-top:12.2pt;width:6.1pt;height:616.5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" fillcolor="#c62b2e" stroked="f" strokeweight="1pt"/>
          </w:pict>
        </mc:Fallback>
      </mc:AlternateContent>
    </w: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0ADD" w14:textId="74F12C46" w:rsidR="00CF72F3" w:rsidRPr="00EF4028" w:rsidRDefault="00CF72F3" w:rsidP="00EF4028">
    <w:pPr>
      <w:tabs>
        <w:tab w:val="clear" w:pos="288"/>
      </w:tabs>
      <w:spacing w:after="120" w:line="276" w:lineRule="auto"/>
      <w:ind w:left="-426" w:right="-466"/>
      <w:rPr>
        <w:rFonts w:ascii="Arial" w:hAnsi="Arial" w:cs="Arial"/>
        <w:color w:val="595959" w:themeColor="text1" w:themeTint="A6"/>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1311" w14:textId="77777777" w:rsidR="005D68A0" w:rsidRDefault="005D68A0" w:rsidP="007A3268">
      <w:r>
        <w:separator/>
      </w:r>
    </w:p>
  </w:footnote>
  <w:footnote w:type="continuationSeparator" w:id="0">
    <w:p w14:paraId="5A01D2E2" w14:textId="77777777" w:rsidR="005D68A0" w:rsidRDefault="005D68A0" w:rsidP="007A3268">
      <w:r>
        <w:continuationSeparator/>
      </w:r>
    </w:p>
  </w:footnote>
  <w:footnote w:type="continuationNotice" w:id="1">
    <w:p w14:paraId="1E241132" w14:textId="77777777" w:rsidR="005D68A0" w:rsidRDefault="005D68A0"/>
  </w:footnote>
  <w:footnote w:id="2">
    <w:p w14:paraId="5009647D" w14:textId="77777777" w:rsidR="0063473D" w:rsidRPr="00961AB4" w:rsidRDefault="0063473D" w:rsidP="0063473D">
      <w:pPr>
        <w:pStyle w:val="FootnoteText"/>
        <w:rPr>
          <w:rFonts w:asciiTheme="majorHAnsi" w:hAnsiTheme="majorHAnsi" w:cstheme="majorHAnsi"/>
          <w:sz w:val="18"/>
          <w:szCs w:val="18"/>
          <w:lang w:val="en-US"/>
        </w:rPr>
      </w:pPr>
      <w:r w:rsidRPr="00CE080C">
        <w:rPr>
          <w:rStyle w:val="FootnoteReference"/>
          <w:sz w:val="18"/>
          <w:szCs w:val="18"/>
        </w:rPr>
        <w:footnoteRef/>
      </w:r>
      <w:r w:rsidRPr="00CE080C">
        <w:rPr>
          <w:sz w:val="18"/>
          <w:szCs w:val="18"/>
        </w:rPr>
        <w:t xml:space="preserve"> </w:t>
      </w:r>
      <w:r w:rsidRPr="00961AB4">
        <w:rPr>
          <w:rFonts w:asciiTheme="majorHAnsi" w:hAnsiTheme="majorHAnsi" w:cstheme="majorHAnsi"/>
          <w:sz w:val="18"/>
          <w:szCs w:val="18"/>
          <w:lang w:val="en-US"/>
        </w:rPr>
        <w:t>Department of Children, Youth Justice and Multicultural Affairs (March 2016</w:t>
      </w:r>
      <w:r w:rsidRPr="00961AB4">
        <w:rPr>
          <w:rFonts w:asciiTheme="majorHAnsi" w:hAnsiTheme="majorHAnsi" w:cstheme="majorHAnsi"/>
          <w:i/>
          <w:iCs/>
          <w:sz w:val="18"/>
          <w:szCs w:val="18"/>
          <w:lang w:val="en-US"/>
        </w:rPr>
        <w:t>) Practice Resource: School Disciplinary Absence; https://www.cyjma.qld.gov.au/resources/childsafety/practice-manual/practice-resource-sda.pdf</w:t>
      </w:r>
    </w:p>
  </w:footnote>
  <w:footnote w:id="3">
    <w:p w14:paraId="1360F3D1" w14:textId="77777777" w:rsidR="0063473D" w:rsidRPr="00961AB4" w:rsidRDefault="0063473D" w:rsidP="0063473D">
      <w:pPr>
        <w:pStyle w:val="FootnoteText"/>
        <w:rPr>
          <w:rFonts w:asciiTheme="majorHAnsi" w:hAnsiTheme="majorHAnsi" w:cstheme="majorHAnsi"/>
          <w:sz w:val="18"/>
          <w:szCs w:val="18"/>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Deloitte Access Economics (February 2017) </w:t>
      </w:r>
      <w:r w:rsidRPr="00961AB4">
        <w:rPr>
          <w:rFonts w:asciiTheme="majorHAnsi" w:hAnsiTheme="majorHAnsi" w:cstheme="majorHAnsi"/>
          <w:i/>
          <w:iCs/>
          <w:sz w:val="18"/>
          <w:szCs w:val="18"/>
        </w:rPr>
        <w:t>Review of education for students with disability in Queensland state schools</w:t>
      </w:r>
      <w:r w:rsidRPr="00961AB4">
        <w:rPr>
          <w:rFonts w:asciiTheme="majorHAnsi" w:hAnsiTheme="majorHAnsi" w:cstheme="majorHAnsi"/>
          <w:sz w:val="18"/>
          <w:szCs w:val="18"/>
        </w:rPr>
        <w:t xml:space="preserve">, p104  </w:t>
      </w:r>
    </w:p>
  </w:footnote>
  <w:footnote w:id="4">
    <w:p w14:paraId="09765BB1" w14:textId="77777777" w:rsidR="0063473D" w:rsidRPr="00961AB4" w:rsidRDefault="0063473D" w:rsidP="0063473D">
      <w:pPr>
        <w:pStyle w:val="FootnoteText"/>
        <w:rPr>
          <w:rFonts w:asciiTheme="majorHAnsi" w:hAnsiTheme="majorHAnsi" w:cstheme="majorHAnsi"/>
          <w:sz w:val="18"/>
          <w:szCs w:val="18"/>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Pr="00961AB4">
        <w:rPr>
          <w:rFonts w:asciiTheme="majorHAnsi" w:hAnsiTheme="majorHAnsi" w:cstheme="majorHAnsi"/>
          <w:sz w:val="18"/>
          <w:szCs w:val="18"/>
          <w:lang w:val="en-US"/>
        </w:rPr>
        <w:t xml:space="preserve">Department of Education and Training (August 2020), </w:t>
      </w:r>
      <w:r w:rsidRPr="00961AB4">
        <w:rPr>
          <w:rFonts w:asciiTheme="majorHAnsi" w:hAnsiTheme="majorHAnsi" w:cstheme="majorHAnsi"/>
          <w:i/>
          <w:iCs/>
          <w:sz w:val="18"/>
          <w:szCs w:val="18"/>
          <w:lang w:val="en-US"/>
        </w:rPr>
        <w:t>School Disciplinary Absences by region 2015-19; https://qed.qld.gov.au/our-publications/reports/statistics/Documents/sda-by-region.pdf</w:t>
      </w:r>
    </w:p>
  </w:footnote>
  <w:footnote w:id="5">
    <w:p w14:paraId="1CA842B6" w14:textId="77777777" w:rsidR="0063473D" w:rsidRPr="00961AB4" w:rsidRDefault="0063473D" w:rsidP="0063473D">
      <w:pPr>
        <w:pStyle w:val="FootnoteText"/>
        <w:rPr>
          <w:rFonts w:asciiTheme="majorHAnsi" w:hAnsiTheme="majorHAnsi" w:cstheme="majorHAnsi"/>
          <w:sz w:val="18"/>
          <w:szCs w:val="18"/>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Pr="00961AB4">
        <w:rPr>
          <w:rFonts w:asciiTheme="majorHAnsi" w:hAnsiTheme="majorHAnsi" w:cstheme="majorHAnsi"/>
          <w:sz w:val="18"/>
          <w:szCs w:val="18"/>
          <w:lang w:val="en-US"/>
        </w:rPr>
        <w:t xml:space="preserve">Department of Education and Training (August 2020), </w:t>
      </w:r>
      <w:r w:rsidRPr="00961AB4">
        <w:rPr>
          <w:rFonts w:asciiTheme="majorHAnsi" w:hAnsiTheme="majorHAnsi" w:cstheme="majorHAnsi"/>
          <w:i/>
          <w:iCs/>
          <w:sz w:val="18"/>
          <w:szCs w:val="18"/>
          <w:lang w:val="en-US"/>
        </w:rPr>
        <w:t>School Disciplinary Absence by school, 2015-19</w:t>
      </w:r>
      <w:r w:rsidRPr="00961AB4">
        <w:rPr>
          <w:rFonts w:asciiTheme="majorHAnsi" w:hAnsiTheme="majorHAnsi" w:cstheme="majorHAnsi"/>
          <w:sz w:val="18"/>
          <w:szCs w:val="18"/>
          <w:lang w:val="en-US"/>
        </w:rPr>
        <w:t xml:space="preserve">; </w:t>
      </w:r>
      <w:r w:rsidRPr="00961AB4">
        <w:rPr>
          <w:rFonts w:asciiTheme="majorHAnsi" w:hAnsiTheme="majorHAnsi" w:cstheme="majorHAnsi"/>
          <w:i/>
          <w:iCs/>
          <w:sz w:val="18"/>
          <w:szCs w:val="18"/>
          <w:lang w:val="en-US"/>
        </w:rPr>
        <w:t>https://www.data.qld.gov.au/dataset/school-disciplinary-absences</w:t>
      </w:r>
    </w:p>
  </w:footnote>
  <w:footnote w:id="6">
    <w:p w14:paraId="7E13F670" w14:textId="77777777" w:rsidR="0063473D" w:rsidRPr="00961AB4" w:rsidRDefault="0063473D" w:rsidP="0063473D">
      <w:pPr>
        <w:pStyle w:val="FootnoteText"/>
        <w:rPr>
          <w:rFonts w:asciiTheme="majorHAnsi" w:hAnsiTheme="majorHAnsi" w:cstheme="majorHAnsi"/>
          <w:sz w:val="18"/>
          <w:szCs w:val="18"/>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Pr="00961AB4">
        <w:rPr>
          <w:rFonts w:asciiTheme="majorHAnsi" w:hAnsiTheme="majorHAnsi" w:cstheme="majorHAnsi"/>
          <w:sz w:val="18"/>
          <w:szCs w:val="18"/>
          <w:lang w:val="en-US"/>
        </w:rPr>
        <w:t>Department of Children, Youth Justice and Multicultural Affairs (March 2016</w:t>
      </w:r>
      <w:r w:rsidRPr="00961AB4">
        <w:rPr>
          <w:rFonts w:asciiTheme="majorHAnsi" w:hAnsiTheme="majorHAnsi" w:cstheme="majorHAnsi"/>
          <w:i/>
          <w:iCs/>
          <w:sz w:val="18"/>
          <w:szCs w:val="18"/>
          <w:lang w:val="en-US"/>
        </w:rPr>
        <w:t>) Practice Resource: School Disciplinary Absence; https://www.cyjma.qld.gov.au/resources/childsafety/practice-manual/practice-resource-sda.pdf</w:t>
      </w:r>
    </w:p>
  </w:footnote>
  <w:footnote w:id="7">
    <w:p w14:paraId="5EE21AFA" w14:textId="77777777" w:rsidR="0063473D" w:rsidRPr="00961AB4" w:rsidRDefault="0063473D" w:rsidP="0063473D">
      <w:pPr>
        <w:pStyle w:val="FootnoteText"/>
        <w:rPr>
          <w:rFonts w:asciiTheme="majorHAnsi" w:hAnsiTheme="majorHAnsi" w:cstheme="majorHAnsi"/>
          <w:sz w:val="18"/>
          <w:szCs w:val="18"/>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Pr="00961AB4">
        <w:rPr>
          <w:rFonts w:asciiTheme="majorHAnsi" w:hAnsiTheme="majorHAnsi" w:cstheme="majorHAnsi"/>
          <w:sz w:val="18"/>
          <w:szCs w:val="18"/>
          <w:lang w:val="en-US"/>
        </w:rPr>
        <w:t xml:space="preserve">Department of Education and Training (August 2020), </w:t>
      </w:r>
      <w:r w:rsidRPr="00961AB4">
        <w:rPr>
          <w:rFonts w:asciiTheme="majorHAnsi" w:hAnsiTheme="majorHAnsi" w:cstheme="majorHAnsi"/>
          <w:i/>
          <w:iCs/>
          <w:sz w:val="18"/>
          <w:szCs w:val="18"/>
          <w:lang w:val="en-US"/>
        </w:rPr>
        <w:t>School Disciplinary Absence by student demographics, 2015-19</w:t>
      </w:r>
      <w:r w:rsidRPr="00961AB4">
        <w:rPr>
          <w:rFonts w:asciiTheme="majorHAnsi" w:hAnsiTheme="majorHAnsi" w:cstheme="majorHAnsi"/>
          <w:sz w:val="18"/>
          <w:szCs w:val="18"/>
          <w:lang w:val="en-US"/>
        </w:rPr>
        <w:t xml:space="preserve">, </w:t>
      </w:r>
      <w:r w:rsidRPr="00961AB4">
        <w:rPr>
          <w:rFonts w:asciiTheme="majorHAnsi" w:hAnsiTheme="majorHAnsi" w:cstheme="majorHAnsi"/>
          <w:i/>
          <w:iCs/>
          <w:sz w:val="18"/>
          <w:szCs w:val="18"/>
          <w:lang w:val="en-US"/>
        </w:rPr>
        <w:t>https://qed.qld.gov.au/publications/reports/statistics/schooling/students</w:t>
      </w:r>
    </w:p>
  </w:footnote>
  <w:footnote w:id="8">
    <w:p w14:paraId="2331BF11" w14:textId="77777777" w:rsidR="0063473D" w:rsidRPr="00CE080C" w:rsidRDefault="0063473D" w:rsidP="0063473D">
      <w:pPr>
        <w:pStyle w:val="FootnoteText"/>
        <w:rPr>
          <w:sz w:val="18"/>
          <w:szCs w:val="18"/>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Pr="00961AB4">
        <w:rPr>
          <w:rFonts w:asciiTheme="majorHAnsi" w:hAnsiTheme="majorHAnsi" w:cstheme="majorHAnsi"/>
          <w:sz w:val="18"/>
          <w:szCs w:val="18"/>
          <w:lang w:val="en-US"/>
        </w:rPr>
        <w:t xml:space="preserve">Department of Education and Training (November 2020) </w:t>
      </w:r>
      <w:r w:rsidRPr="00961AB4">
        <w:rPr>
          <w:rFonts w:asciiTheme="majorHAnsi" w:hAnsiTheme="majorHAnsi" w:cstheme="majorHAnsi"/>
          <w:i/>
          <w:iCs/>
          <w:sz w:val="18"/>
          <w:szCs w:val="18"/>
          <w:lang w:val="en-US"/>
        </w:rPr>
        <w:t>State school enrolments, 2016-20; https://qed.qld.gov.au/our-publications/reports/statistics/Documents/enrolments-summary.pdf</w:t>
      </w:r>
    </w:p>
  </w:footnote>
  <w:footnote w:id="9">
    <w:p w14:paraId="467BA546" w14:textId="77777777" w:rsidR="0063473D" w:rsidRPr="00961AB4" w:rsidRDefault="0063473D" w:rsidP="0063473D">
      <w:pPr>
        <w:pStyle w:val="FootnoteText"/>
        <w:rPr>
          <w:rFonts w:asciiTheme="majorHAnsi" w:hAnsiTheme="majorHAnsi" w:cstheme="majorHAnsi"/>
          <w:sz w:val="18"/>
          <w:szCs w:val="18"/>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Deloitte Access Economics (February 2017) </w:t>
      </w:r>
      <w:r w:rsidRPr="00961AB4">
        <w:rPr>
          <w:rFonts w:asciiTheme="majorHAnsi" w:hAnsiTheme="majorHAnsi" w:cstheme="majorHAnsi"/>
          <w:i/>
          <w:iCs/>
          <w:sz w:val="18"/>
          <w:szCs w:val="18"/>
        </w:rPr>
        <w:t>Review of education for students with disability in Queensland state schools</w:t>
      </w:r>
      <w:r w:rsidRPr="00961AB4">
        <w:rPr>
          <w:rFonts w:asciiTheme="majorHAnsi" w:hAnsiTheme="majorHAnsi" w:cstheme="majorHAnsi"/>
          <w:sz w:val="18"/>
          <w:szCs w:val="18"/>
        </w:rPr>
        <w:t xml:space="preserve">, p103  </w:t>
      </w:r>
    </w:p>
  </w:footnote>
  <w:footnote w:id="10">
    <w:p w14:paraId="10804DD1" w14:textId="77777777" w:rsidR="0063473D" w:rsidRPr="00961AB4" w:rsidRDefault="0063473D" w:rsidP="0063473D">
      <w:pPr>
        <w:pStyle w:val="FootnoteText"/>
        <w:rPr>
          <w:rFonts w:asciiTheme="majorHAnsi" w:hAnsiTheme="majorHAnsi" w:cstheme="majorHAnsi"/>
          <w:sz w:val="18"/>
          <w:szCs w:val="18"/>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Pr="00961AB4">
        <w:rPr>
          <w:rFonts w:asciiTheme="majorHAnsi" w:hAnsiTheme="majorHAnsi" w:cstheme="majorHAnsi"/>
          <w:sz w:val="18"/>
          <w:szCs w:val="18"/>
          <w:lang w:val="en-US"/>
        </w:rPr>
        <w:t>Ibid, p104</w:t>
      </w:r>
    </w:p>
  </w:footnote>
  <w:footnote w:id="11">
    <w:p w14:paraId="7E855383" w14:textId="77777777" w:rsidR="009F6B82" w:rsidRPr="00FD2E55" w:rsidRDefault="009F6B82" w:rsidP="009F6B82">
      <w:pPr>
        <w:pStyle w:val="FootnoteText"/>
        <w:rPr>
          <w:rFonts w:asciiTheme="majorHAnsi" w:hAnsiTheme="majorHAnsi" w:cstheme="majorHAnsi"/>
          <w:sz w:val="18"/>
          <w:szCs w:val="18"/>
          <w:lang w:val="en-US"/>
        </w:rPr>
      </w:pPr>
      <w:r w:rsidRPr="00FD2E55">
        <w:rPr>
          <w:rStyle w:val="FootnoteReference"/>
          <w:rFonts w:asciiTheme="majorHAnsi" w:hAnsiTheme="majorHAnsi" w:cstheme="majorHAnsi"/>
          <w:sz w:val="18"/>
          <w:szCs w:val="18"/>
        </w:rPr>
        <w:footnoteRef/>
      </w:r>
      <w:r w:rsidRPr="00FD2E55">
        <w:rPr>
          <w:rFonts w:asciiTheme="majorHAnsi" w:hAnsiTheme="majorHAnsi" w:cstheme="majorHAnsi"/>
          <w:sz w:val="18"/>
          <w:szCs w:val="18"/>
        </w:rPr>
        <w:t xml:space="preserve"> </w:t>
      </w:r>
      <w:r w:rsidRPr="00FD2E55">
        <w:rPr>
          <w:rFonts w:asciiTheme="majorHAnsi" w:hAnsiTheme="majorHAnsi" w:cstheme="majorHAnsi"/>
          <w:sz w:val="18"/>
          <w:szCs w:val="18"/>
          <w:lang w:val="en-US"/>
        </w:rPr>
        <w:t xml:space="preserve">Graham et al. (2020). </w:t>
      </w:r>
      <w:r w:rsidRPr="00FD2E55">
        <w:rPr>
          <w:rFonts w:asciiTheme="majorHAnsi" w:hAnsiTheme="majorHAnsi" w:cstheme="majorHAnsi"/>
          <w:i/>
          <w:iCs/>
          <w:sz w:val="18"/>
          <w:szCs w:val="18"/>
          <w:lang w:val="en-US"/>
        </w:rPr>
        <w:t>Inquiry into Suspension, Exclusion and Expulsion Processes in South Australian government schools: Final Report</w:t>
      </w:r>
      <w:r w:rsidRPr="00FD2E55">
        <w:rPr>
          <w:rFonts w:asciiTheme="majorHAnsi" w:hAnsiTheme="majorHAnsi" w:cstheme="majorHAnsi"/>
          <w:sz w:val="18"/>
          <w:szCs w:val="18"/>
          <w:lang w:val="en-US"/>
        </w:rPr>
        <w:t>. The Centre for Inclusive Education, QUT: Brisbane, QLD</w:t>
      </w:r>
    </w:p>
  </w:footnote>
  <w:footnote w:id="12">
    <w:p w14:paraId="7EF701EE" w14:textId="77777777" w:rsidR="00155BC9" w:rsidRPr="00997A80" w:rsidRDefault="00155BC9" w:rsidP="00155BC9">
      <w:pPr>
        <w:pStyle w:val="FootnoteText"/>
        <w:rPr>
          <w:rFonts w:asciiTheme="majorHAnsi" w:hAnsiTheme="majorHAnsi" w:cstheme="majorHAnsi"/>
          <w:sz w:val="18"/>
          <w:szCs w:val="18"/>
          <w:lang w:val="en-US"/>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i/>
          <w:iCs/>
          <w:sz w:val="18"/>
          <w:szCs w:val="18"/>
        </w:rPr>
        <w:t>Human Rights Act 2019</w:t>
      </w:r>
      <w:r w:rsidRPr="00997A80">
        <w:rPr>
          <w:rFonts w:asciiTheme="majorHAnsi" w:hAnsiTheme="majorHAnsi" w:cstheme="majorHAnsi"/>
          <w:sz w:val="18"/>
          <w:szCs w:val="18"/>
        </w:rPr>
        <w:t xml:space="preserve"> (Qld), s 36(1)</w:t>
      </w:r>
    </w:p>
  </w:footnote>
  <w:footnote w:id="13">
    <w:p w14:paraId="6897B763" w14:textId="77777777" w:rsidR="00CC49CF" w:rsidRPr="006C3441" w:rsidRDefault="00CC49CF" w:rsidP="00CC49CF">
      <w:pPr>
        <w:pStyle w:val="FootnoteText"/>
        <w:rPr>
          <w:rFonts w:asciiTheme="majorHAnsi" w:hAnsiTheme="majorHAnsi" w:cstheme="majorHAnsi"/>
          <w:lang w:val="en-US"/>
        </w:rPr>
      </w:pPr>
      <w:r w:rsidRPr="006C3441">
        <w:rPr>
          <w:rStyle w:val="FootnoteReference"/>
          <w:rFonts w:asciiTheme="majorHAnsi" w:hAnsiTheme="majorHAnsi" w:cstheme="majorHAnsi"/>
          <w:sz w:val="18"/>
          <w:szCs w:val="18"/>
        </w:rPr>
        <w:footnoteRef/>
      </w:r>
      <w:r w:rsidRPr="006C3441">
        <w:rPr>
          <w:rFonts w:asciiTheme="majorHAnsi" w:hAnsiTheme="majorHAnsi" w:cstheme="majorHAnsi"/>
          <w:sz w:val="18"/>
          <w:szCs w:val="18"/>
        </w:rPr>
        <w:t xml:space="preserve"> </w:t>
      </w:r>
      <w:r w:rsidRPr="006C3441">
        <w:rPr>
          <w:rFonts w:asciiTheme="majorHAnsi" w:hAnsiTheme="majorHAnsi" w:cstheme="majorHAnsi"/>
          <w:sz w:val="18"/>
          <w:szCs w:val="18"/>
          <w:lang w:val="en-US"/>
        </w:rPr>
        <w:t xml:space="preserve">Graham, L. (2020) </w:t>
      </w:r>
      <w:r w:rsidRPr="006C3441">
        <w:rPr>
          <w:rFonts w:asciiTheme="majorHAnsi" w:hAnsiTheme="majorHAnsi" w:cstheme="majorHAnsi"/>
          <w:i/>
          <w:iCs/>
          <w:sz w:val="18"/>
          <w:szCs w:val="18"/>
          <w:lang w:val="en-US"/>
        </w:rPr>
        <w:t>Questioning the impacts of legislative change on the use of exclusionary discipline in the context of broader system reforms; a Queensland case study</w:t>
      </w:r>
      <w:r w:rsidRPr="006C3441">
        <w:rPr>
          <w:rFonts w:asciiTheme="majorHAnsi" w:hAnsiTheme="majorHAnsi" w:cstheme="majorHAnsi"/>
          <w:sz w:val="18"/>
          <w:szCs w:val="18"/>
          <w:lang w:val="en-US"/>
        </w:rPr>
        <w:t>; International Journal of Inclusive Education, 24:14, 1473-1493</w:t>
      </w:r>
    </w:p>
  </w:footnote>
  <w:footnote w:id="14">
    <w:p w14:paraId="1F634C26" w14:textId="77777777" w:rsidR="00CC49CF" w:rsidRPr="004E3050" w:rsidRDefault="00CC49CF" w:rsidP="00CC49CF">
      <w:pPr>
        <w:pStyle w:val="FootnoteText"/>
        <w:rPr>
          <w:rFonts w:asciiTheme="majorHAnsi" w:hAnsiTheme="majorHAnsi" w:cstheme="majorHAnsi"/>
          <w:lang w:val="en-US"/>
        </w:rPr>
      </w:pPr>
      <w:r w:rsidRPr="004E3050">
        <w:rPr>
          <w:rStyle w:val="FootnoteReference"/>
          <w:rFonts w:asciiTheme="majorHAnsi" w:hAnsiTheme="majorHAnsi" w:cstheme="majorHAnsi"/>
          <w:sz w:val="18"/>
          <w:szCs w:val="18"/>
        </w:rPr>
        <w:footnoteRef/>
      </w:r>
      <w:r w:rsidRPr="004E3050">
        <w:rPr>
          <w:rFonts w:asciiTheme="majorHAnsi" w:hAnsiTheme="majorHAnsi" w:cstheme="majorHAnsi"/>
          <w:sz w:val="18"/>
          <w:szCs w:val="18"/>
        </w:rPr>
        <w:t xml:space="preserve"> </w:t>
      </w:r>
      <w:r w:rsidRPr="004E3050">
        <w:rPr>
          <w:rFonts w:asciiTheme="majorHAnsi" w:hAnsiTheme="majorHAnsi" w:cstheme="majorHAnsi"/>
          <w:sz w:val="18"/>
          <w:szCs w:val="18"/>
          <w:lang w:val="en-US"/>
        </w:rPr>
        <w:t>Ibid</w:t>
      </w:r>
    </w:p>
  </w:footnote>
  <w:footnote w:id="15">
    <w:p w14:paraId="3F6D18F5" w14:textId="77777777" w:rsidR="00CC49CF" w:rsidRPr="001B5369" w:rsidRDefault="00CC49CF" w:rsidP="00CC49CF">
      <w:pPr>
        <w:pStyle w:val="FootnoteText"/>
        <w:rPr>
          <w:lang w:val="en-US"/>
        </w:rPr>
      </w:pPr>
      <w:r>
        <w:rPr>
          <w:rStyle w:val="FootnoteReference"/>
        </w:rPr>
        <w:footnoteRef/>
      </w:r>
      <w:r>
        <w:t xml:space="preserve"> </w:t>
      </w:r>
      <w:r w:rsidRPr="001B5369">
        <w:rPr>
          <w:rFonts w:asciiTheme="majorHAnsi" w:hAnsiTheme="majorHAnsi" w:cstheme="majorHAnsi"/>
          <w:sz w:val="18"/>
          <w:szCs w:val="18"/>
          <w:lang w:val="en-US"/>
        </w:rPr>
        <w:t>Parsons (2018) cited in</w:t>
      </w:r>
      <w:r w:rsidRPr="001B5369">
        <w:rPr>
          <w:sz w:val="18"/>
          <w:szCs w:val="18"/>
          <w:lang w:val="en-US"/>
        </w:rPr>
        <w:t xml:space="preserve"> </w:t>
      </w:r>
      <w:r w:rsidRPr="006C3441">
        <w:rPr>
          <w:rFonts w:asciiTheme="majorHAnsi" w:hAnsiTheme="majorHAnsi" w:cstheme="majorHAnsi"/>
          <w:sz w:val="18"/>
          <w:szCs w:val="18"/>
          <w:lang w:val="en-US"/>
        </w:rPr>
        <w:t xml:space="preserve">Graham, L. (2020) </w:t>
      </w:r>
      <w:r w:rsidRPr="006C3441">
        <w:rPr>
          <w:rFonts w:asciiTheme="majorHAnsi" w:hAnsiTheme="majorHAnsi" w:cstheme="majorHAnsi"/>
          <w:i/>
          <w:iCs/>
          <w:sz w:val="18"/>
          <w:szCs w:val="18"/>
          <w:lang w:val="en-US"/>
        </w:rPr>
        <w:t>Questioning the impacts of legislative change on the use of exclusionary discipline in the context of broader system reforms; a Queensland case study</w:t>
      </w:r>
      <w:r w:rsidRPr="006C3441">
        <w:rPr>
          <w:rFonts w:asciiTheme="majorHAnsi" w:hAnsiTheme="majorHAnsi" w:cstheme="majorHAnsi"/>
          <w:sz w:val="18"/>
          <w:szCs w:val="18"/>
          <w:lang w:val="en-US"/>
        </w:rPr>
        <w:t>; International Journal of Inclusive Education, 24:14, 1473-1493</w:t>
      </w:r>
    </w:p>
  </w:footnote>
  <w:footnote w:id="16">
    <w:p w14:paraId="1570EAB9" w14:textId="7FDD4AA5" w:rsidR="0000388D" w:rsidRPr="0000388D" w:rsidRDefault="0000388D">
      <w:pPr>
        <w:pStyle w:val="FootnoteText"/>
        <w:rPr>
          <w:lang w:val="en-US"/>
        </w:rPr>
      </w:pPr>
      <w:r>
        <w:rPr>
          <w:rStyle w:val="FootnoteReference"/>
        </w:rPr>
        <w:footnoteRef/>
      </w:r>
      <w:r>
        <w:t xml:space="preserve"> </w:t>
      </w:r>
      <w:r w:rsidRPr="00290CDE">
        <w:rPr>
          <w:rFonts w:asciiTheme="majorHAnsi" w:hAnsiTheme="majorHAnsi" w:cs="Calibri Light"/>
          <w:sz w:val="18"/>
          <w:szCs w:val="18"/>
        </w:rPr>
        <w:t xml:space="preserve">Quin, D., &amp; Hemphill, S. A. (2014). Students’ experiences of school suspension. </w:t>
      </w:r>
      <w:r w:rsidRPr="00290CDE">
        <w:rPr>
          <w:rFonts w:asciiTheme="majorHAnsi" w:hAnsiTheme="majorHAnsi" w:cs="Calibri Light"/>
          <w:i/>
          <w:iCs/>
          <w:sz w:val="18"/>
          <w:szCs w:val="18"/>
        </w:rPr>
        <w:t>Health Promotion Journal of Australia</w:t>
      </w:r>
      <w:r w:rsidRPr="00290CDE">
        <w:rPr>
          <w:rFonts w:asciiTheme="majorHAnsi" w:hAnsiTheme="majorHAnsi" w:cs="Calibri Light"/>
          <w:sz w:val="18"/>
          <w:szCs w:val="18"/>
        </w:rPr>
        <w:t>, 25(1), 52-58.</w:t>
      </w:r>
    </w:p>
  </w:footnote>
  <w:footnote w:id="17">
    <w:p w14:paraId="695D9E32" w14:textId="70A4E601" w:rsidR="00DA1BCD" w:rsidRPr="00DA1BCD" w:rsidRDefault="00DA1BCD">
      <w:pPr>
        <w:pStyle w:val="FootnoteText"/>
        <w:rPr>
          <w:lang w:val="en-US"/>
        </w:rPr>
      </w:pPr>
      <w:r>
        <w:rPr>
          <w:rStyle w:val="FootnoteReference"/>
        </w:rPr>
        <w:footnoteRef/>
      </w:r>
      <w:r>
        <w:t xml:space="preserve"> </w:t>
      </w:r>
      <w:r w:rsidRPr="006C3441">
        <w:rPr>
          <w:rFonts w:asciiTheme="majorHAnsi" w:hAnsiTheme="majorHAnsi" w:cstheme="majorHAnsi"/>
          <w:sz w:val="18"/>
          <w:szCs w:val="18"/>
          <w:lang w:val="en-US"/>
        </w:rPr>
        <w:t xml:space="preserve">Graham, L. (2020) </w:t>
      </w:r>
      <w:r w:rsidRPr="006C3441">
        <w:rPr>
          <w:rFonts w:asciiTheme="majorHAnsi" w:hAnsiTheme="majorHAnsi" w:cstheme="majorHAnsi"/>
          <w:i/>
          <w:iCs/>
          <w:sz w:val="18"/>
          <w:szCs w:val="18"/>
          <w:lang w:val="en-US"/>
        </w:rPr>
        <w:t>Questioning the impacts of legislative change on the use of exclusionary discipline in the context of broader system reforms; a Queensland case study</w:t>
      </w:r>
      <w:r w:rsidRPr="006C3441">
        <w:rPr>
          <w:rFonts w:asciiTheme="majorHAnsi" w:hAnsiTheme="majorHAnsi" w:cstheme="majorHAnsi"/>
          <w:sz w:val="18"/>
          <w:szCs w:val="18"/>
          <w:lang w:val="en-US"/>
        </w:rPr>
        <w:t>; International Journal of Inclusive Education, 24:14, 1473-1493</w:t>
      </w:r>
    </w:p>
  </w:footnote>
  <w:footnote w:id="18">
    <w:p w14:paraId="7EF891A6" w14:textId="69DC73F6" w:rsidR="007A640A" w:rsidRPr="00C81655" w:rsidRDefault="007A640A" w:rsidP="007A640A">
      <w:pPr>
        <w:pStyle w:val="FootnoteText"/>
        <w:rPr>
          <w:sz w:val="18"/>
          <w:szCs w:val="18"/>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00080542" w:rsidRPr="00961AB4">
        <w:rPr>
          <w:rFonts w:asciiTheme="majorHAnsi" w:hAnsiTheme="majorHAnsi" w:cstheme="majorHAnsi"/>
          <w:sz w:val="18"/>
          <w:szCs w:val="18"/>
        </w:rPr>
        <w:t xml:space="preserve">Deloitte Access Economics (February 2017) </w:t>
      </w:r>
      <w:r w:rsidR="00080542" w:rsidRPr="00961AB4">
        <w:rPr>
          <w:rFonts w:asciiTheme="majorHAnsi" w:hAnsiTheme="majorHAnsi" w:cstheme="majorHAnsi"/>
          <w:i/>
          <w:iCs/>
          <w:sz w:val="18"/>
          <w:szCs w:val="18"/>
        </w:rPr>
        <w:t>Review of education for students with disability in Queensland state schools</w:t>
      </w:r>
      <w:r w:rsidR="00080542" w:rsidRPr="00961AB4">
        <w:rPr>
          <w:rFonts w:asciiTheme="majorHAnsi" w:hAnsiTheme="majorHAnsi" w:cstheme="majorHAnsi"/>
          <w:sz w:val="18"/>
          <w:szCs w:val="18"/>
        </w:rPr>
        <w:t>,</w:t>
      </w:r>
      <w:r w:rsidRPr="00961AB4">
        <w:rPr>
          <w:rFonts w:asciiTheme="majorHAnsi" w:hAnsiTheme="majorHAnsi" w:cstheme="majorHAnsi"/>
          <w:sz w:val="18"/>
          <w:szCs w:val="18"/>
        </w:rPr>
        <w:t xml:space="preserve"> p107</w:t>
      </w:r>
      <w:r w:rsidRPr="00C81655">
        <w:rPr>
          <w:sz w:val="18"/>
          <w:szCs w:val="18"/>
        </w:rPr>
        <w:t xml:space="preserve">  </w:t>
      </w:r>
    </w:p>
  </w:footnote>
  <w:footnote w:id="19">
    <w:p w14:paraId="6943EC1E" w14:textId="6D5B28F7" w:rsidR="000F0691" w:rsidRPr="00612E6B" w:rsidRDefault="000F0691">
      <w:pPr>
        <w:pStyle w:val="FootnoteText"/>
        <w:rPr>
          <w:rFonts w:asciiTheme="majorHAnsi" w:hAnsiTheme="majorHAnsi" w:cstheme="majorHAnsi"/>
          <w:lang w:val="en-US"/>
        </w:rPr>
      </w:pPr>
      <w:r w:rsidRPr="00612E6B">
        <w:rPr>
          <w:rStyle w:val="FootnoteReference"/>
          <w:rFonts w:asciiTheme="majorHAnsi" w:hAnsiTheme="majorHAnsi" w:cstheme="majorHAnsi"/>
          <w:sz w:val="18"/>
          <w:szCs w:val="18"/>
        </w:rPr>
        <w:footnoteRef/>
      </w:r>
      <w:r w:rsidRPr="00612E6B">
        <w:rPr>
          <w:rFonts w:asciiTheme="majorHAnsi" w:hAnsiTheme="majorHAnsi" w:cstheme="majorHAnsi"/>
          <w:sz w:val="18"/>
          <w:szCs w:val="18"/>
        </w:rPr>
        <w:t xml:space="preserve"> </w:t>
      </w:r>
      <w:r w:rsidR="00612E6B" w:rsidRPr="00612E6B">
        <w:rPr>
          <w:rFonts w:asciiTheme="majorHAnsi" w:hAnsiTheme="majorHAnsi" w:cstheme="majorHAnsi"/>
          <w:sz w:val="18"/>
          <w:szCs w:val="18"/>
        </w:rPr>
        <w:t xml:space="preserve">Convention on the Rights of the Child, </w:t>
      </w:r>
      <w:r w:rsidR="00612E6B" w:rsidRPr="00612E6B">
        <w:rPr>
          <w:rFonts w:asciiTheme="majorHAnsi" w:hAnsiTheme="majorHAnsi" w:cstheme="majorHAnsi"/>
          <w:sz w:val="18"/>
          <w:szCs w:val="18"/>
          <w:lang w:val="en-US"/>
        </w:rPr>
        <w:t>Article 3</w:t>
      </w:r>
    </w:p>
  </w:footnote>
  <w:footnote w:id="20">
    <w:p w14:paraId="12D25E85" w14:textId="0B5C1A82" w:rsidR="00610BC6" w:rsidRPr="00610BC6" w:rsidRDefault="00610BC6">
      <w:pPr>
        <w:pStyle w:val="FootnoteText"/>
        <w:rPr>
          <w:rFonts w:asciiTheme="majorHAnsi" w:hAnsiTheme="majorHAnsi" w:cstheme="majorHAnsi"/>
          <w:lang w:val="en-US"/>
        </w:rPr>
      </w:pPr>
      <w:r w:rsidRPr="00610BC6">
        <w:rPr>
          <w:rStyle w:val="FootnoteReference"/>
          <w:rFonts w:asciiTheme="majorHAnsi" w:hAnsiTheme="majorHAnsi" w:cstheme="majorHAnsi"/>
          <w:sz w:val="18"/>
          <w:szCs w:val="18"/>
        </w:rPr>
        <w:footnoteRef/>
      </w:r>
      <w:r w:rsidRPr="00610BC6">
        <w:rPr>
          <w:rFonts w:asciiTheme="majorHAnsi" w:hAnsiTheme="majorHAnsi" w:cstheme="majorHAnsi"/>
          <w:sz w:val="18"/>
          <w:szCs w:val="18"/>
        </w:rPr>
        <w:t xml:space="preserve"> </w:t>
      </w:r>
      <w:r w:rsidRPr="00610BC6">
        <w:rPr>
          <w:rFonts w:asciiTheme="majorHAnsi" w:hAnsiTheme="majorHAnsi" w:cstheme="majorHAnsi"/>
          <w:color w:val="222222"/>
          <w:sz w:val="18"/>
          <w:szCs w:val="18"/>
          <w:shd w:val="clear" w:color="auto" w:fill="FFFFFF"/>
        </w:rPr>
        <w:t xml:space="preserve">Graham, L. J., Killingly, C., Laurens, K. R., &amp; </w:t>
      </w:r>
      <w:proofErr w:type="spellStart"/>
      <w:r w:rsidRPr="00610BC6">
        <w:rPr>
          <w:rFonts w:asciiTheme="majorHAnsi" w:hAnsiTheme="majorHAnsi" w:cstheme="majorHAnsi"/>
          <w:color w:val="222222"/>
          <w:sz w:val="18"/>
          <w:szCs w:val="18"/>
          <w:shd w:val="clear" w:color="auto" w:fill="FFFFFF"/>
        </w:rPr>
        <w:t>Sweller</w:t>
      </w:r>
      <w:proofErr w:type="spellEnd"/>
      <w:r w:rsidRPr="00610BC6">
        <w:rPr>
          <w:rFonts w:asciiTheme="majorHAnsi" w:hAnsiTheme="majorHAnsi" w:cstheme="majorHAnsi"/>
          <w:color w:val="222222"/>
          <w:sz w:val="18"/>
          <w:szCs w:val="18"/>
          <w:shd w:val="clear" w:color="auto" w:fill="FFFFFF"/>
        </w:rPr>
        <w:t xml:space="preserve">, N. (2022). Overrepresentation of Indigenous students in school suspension, exclusion, and enrolment cancellation in Queensland: is there a case for systemic inclusive school </w:t>
      </w:r>
      <w:proofErr w:type="gramStart"/>
      <w:r w:rsidRPr="00610BC6">
        <w:rPr>
          <w:rFonts w:asciiTheme="majorHAnsi" w:hAnsiTheme="majorHAnsi" w:cstheme="majorHAnsi"/>
          <w:color w:val="222222"/>
          <w:sz w:val="18"/>
          <w:szCs w:val="18"/>
          <w:shd w:val="clear" w:color="auto" w:fill="FFFFFF"/>
        </w:rPr>
        <w:t>reform?.</w:t>
      </w:r>
      <w:proofErr w:type="gramEnd"/>
      <w:r w:rsidRPr="00610BC6">
        <w:rPr>
          <w:rFonts w:asciiTheme="majorHAnsi" w:hAnsiTheme="majorHAnsi" w:cstheme="majorHAnsi"/>
          <w:color w:val="222222"/>
          <w:sz w:val="18"/>
          <w:szCs w:val="18"/>
          <w:shd w:val="clear" w:color="auto" w:fill="FFFFFF"/>
        </w:rPr>
        <w:t> </w:t>
      </w:r>
      <w:r w:rsidRPr="00610BC6">
        <w:rPr>
          <w:rFonts w:asciiTheme="majorHAnsi" w:hAnsiTheme="majorHAnsi" w:cstheme="majorHAnsi"/>
          <w:i/>
          <w:iCs/>
          <w:color w:val="222222"/>
          <w:sz w:val="18"/>
          <w:szCs w:val="18"/>
          <w:shd w:val="clear" w:color="auto" w:fill="FFFFFF"/>
        </w:rPr>
        <w:t>The Australian Educational Researcher</w:t>
      </w:r>
      <w:r w:rsidRPr="00610BC6">
        <w:rPr>
          <w:rFonts w:asciiTheme="majorHAnsi" w:hAnsiTheme="majorHAnsi" w:cstheme="majorHAnsi"/>
          <w:color w:val="222222"/>
          <w:sz w:val="18"/>
          <w:szCs w:val="18"/>
          <w:shd w:val="clear" w:color="auto" w:fill="FFFFFF"/>
        </w:rPr>
        <w:t>, 1-35.</w:t>
      </w:r>
    </w:p>
  </w:footnote>
  <w:footnote w:id="21">
    <w:p w14:paraId="678CEB44" w14:textId="77777777" w:rsidR="00033A5F" w:rsidRPr="00997A80" w:rsidRDefault="00033A5F" w:rsidP="00033A5F">
      <w:pPr>
        <w:pStyle w:val="FootnoteText"/>
        <w:rPr>
          <w:rFonts w:asciiTheme="majorHAnsi" w:hAnsiTheme="majorHAnsi" w:cstheme="majorHAnsi"/>
          <w:sz w:val="18"/>
          <w:szCs w:val="18"/>
          <w:lang w:val="en-US"/>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i/>
          <w:iCs/>
          <w:sz w:val="18"/>
          <w:szCs w:val="18"/>
        </w:rPr>
        <w:t>Human Rights Act 2019</w:t>
      </w:r>
      <w:r w:rsidRPr="00997A80">
        <w:rPr>
          <w:rFonts w:asciiTheme="majorHAnsi" w:hAnsiTheme="majorHAnsi" w:cstheme="majorHAnsi"/>
          <w:sz w:val="18"/>
          <w:szCs w:val="18"/>
        </w:rPr>
        <w:t xml:space="preserve"> (Qld), s 36(1)</w:t>
      </w:r>
    </w:p>
  </w:footnote>
  <w:footnote w:id="22">
    <w:p w14:paraId="07A69B85" w14:textId="77777777" w:rsidR="007D3CF5" w:rsidRPr="00997A80" w:rsidRDefault="007D3CF5" w:rsidP="007D3CF5">
      <w:pPr>
        <w:pStyle w:val="FootnoteText"/>
        <w:rPr>
          <w:rFonts w:asciiTheme="majorHAnsi" w:hAnsiTheme="majorHAnsi" w:cstheme="majorHAnsi"/>
          <w:sz w:val="18"/>
          <w:szCs w:val="18"/>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i/>
          <w:iCs/>
          <w:sz w:val="18"/>
          <w:szCs w:val="18"/>
        </w:rPr>
        <w:t xml:space="preserve">Human Rights Act 2019 </w:t>
      </w:r>
      <w:r w:rsidRPr="00997A80">
        <w:rPr>
          <w:rFonts w:asciiTheme="majorHAnsi" w:hAnsiTheme="majorHAnsi" w:cstheme="majorHAnsi"/>
          <w:sz w:val="18"/>
          <w:szCs w:val="18"/>
        </w:rPr>
        <w:t>(Qld), s 15.</w:t>
      </w:r>
    </w:p>
  </w:footnote>
  <w:footnote w:id="23">
    <w:p w14:paraId="1DA8E99A" w14:textId="77777777" w:rsidR="007D3CF5" w:rsidRPr="00997A80" w:rsidRDefault="007D3CF5" w:rsidP="007D3CF5">
      <w:pPr>
        <w:pStyle w:val="FootnoteText"/>
        <w:rPr>
          <w:rFonts w:asciiTheme="majorHAnsi" w:hAnsiTheme="majorHAnsi" w:cstheme="majorHAnsi"/>
          <w:sz w:val="18"/>
          <w:szCs w:val="18"/>
          <w:lang w:val="en-US"/>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sz w:val="18"/>
          <w:szCs w:val="18"/>
          <w:lang w:val="en-US"/>
        </w:rPr>
        <w:t>Ibid, s 17</w:t>
      </w:r>
    </w:p>
  </w:footnote>
  <w:footnote w:id="24">
    <w:p w14:paraId="60137200" w14:textId="1586DC1E" w:rsidR="00A764B7" w:rsidRPr="00A764B7" w:rsidRDefault="00A764B7">
      <w:pPr>
        <w:pStyle w:val="FootnoteText"/>
        <w:rPr>
          <w:lang w:val="en-US"/>
        </w:rPr>
      </w:pPr>
      <w:r w:rsidRPr="006819E7">
        <w:rPr>
          <w:rStyle w:val="FootnoteReference"/>
          <w:rFonts w:asciiTheme="majorHAnsi" w:hAnsiTheme="majorHAnsi" w:cstheme="majorHAnsi"/>
          <w:sz w:val="18"/>
          <w:szCs w:val="18"/>
        </w:rPr>
        <w:footnoteRef/>
      </w:r>
      <w:r w:rsidRPr="006819E7">
        <w:rPr>
          <w:rFonts w:asciiTheme="majorHAnsi" w:hAnsiTheme="majorHAnsi" w:cstheme="majorHAnsi"/>
          <w:sz w:val="18"/>
          <w:szCs w:val="18"/>
        </w:rPr>
        <w:t xml:space="preserve"> </w:t>
      </w:r>
      <w:r w:rsidRPr="00997A80">
        <w:rPr>
          <w:rFonts w:asciiTheme="majorHAnsi" w:hAnsiTheme="majorHAnsi" w:cstheme="majorHAnsi"/>
          <w:i/>
          <w:iCs/>
          <w:sz w:val="18"/>
          <w:szCs w:val="18"/>
        </w:rPr>
        <w:t>Human Rights Act 2019</w:t>
      </w:r>
      <w:r w:rsidRPr="00997A80">
        <w:rPr>
          <w:rFonts w:asciiTheme="majorHAnsi" w:hAnsiTheme="majorHAnsi" w:cstheme="majorHAnsi"/>
          <w:sz w:val="18"/>
          <w:szCs w:val="18"/>
        </w:rPr>
        <w:t xml:space="preserve"> (Qld), s </w:t>
      </w:r>
      <w:r w:rsidR="006819E7">
        <w:rPr>
          <w:rFonts w:asciiTheme="majorHAnsi" w:hAnsiTheme="majorHAnsi" w:cstheme="majorHAnsi"/>
          <w:sz w:val="18"/>
          <w:szCs w:val="18"/>
        </w:rPr>
        <w:t>5</w:t>
      </w:r>
      <w:r w:rsidR="00E97A2F">
        <w:rPr>
          <w:rFonts w:asciiTheme="majorHAnsi" w:hAnsiTheme="majorHAnsi" w:cstheme="majorHAnsi"/>
          <w:sz w:val="18"/>
          <w:szCs w:val="18"/>
        </w:rPr>
        <w:t>8</w:t>
      </w:r>
      <w:r w:rsidRPr="00997A80">
        <w:rPr>
          <w:rFonts w:asciiTheme="majorHAnsi" w:hAnsiTheme="majorHAnsi" w:cstheme="majorHAnsi"/>
          <w:sz w:val="18"/>
          <w:szCs w:val="18"/>
        </w:rPr>
        <w:t>(1)</w:t>
      </w:r>
      <w:r w:rsidR="006819E7">
        <w:rPr>
          <w:rFonts w:asciiTheme="majorHAnsi" w:hAnsiTheme="majorHAnsi" w:cstheme="majorHAnsi"/>
          <w:sz w:val="18"/>
          <w:szCs w:val="18"/>
        </w:rPr>
        <w:t>(a)</w:t>
      </w:r>
    </w:p>
  </w:footnote>
  <w:footnote w:id="25">
    <w:p w14:paraId="75E8FD85" w14:textId="09CE2BAB" w:rsidR="00AD5733" w:rsidRPr="00AD5733" w:rsidRDefault="00AD5733">
      <w:pPr>
        <w:pStyle w:val="FootnoteText"/>
        <w:rPr>
          <w:lang w:val="en-US"/>
        </w:rPr>
      </w:pPr>
      <w:r w:rsidRPr="00AD5733">
        <w:rPr>
          <w:rStyle w:val="FootnoteReference"/>
          <w:rFonts w:asciiTheme="majorHAnsi" w:hAnsiTheme="majorHAnsi" w:cstheme="majorHAnsi"/>
          <w:sz w:val="18"/>
          <w:szCs w:val="18"/>
        </w:rPr>
        <w:footnoteRef/>
      </w:r>
      <w:r w:rsidRPr="00AD5733">
        <w:rPr>
          <w:rFonts w:asciiTheme="majorHAnsi" w:hAnsiTheme="majorHAnsi" w:cstheme="majorHAnsi"/>
          <w:sz w:val="18"/>
          <w:szCs w:val="18"/>
        </w:rPr>
        <w:t xml:space="preserve"> </w:t>
      </w:r>
      <w:r w:rsidRPr="00997A80">
        <w:rPr>
          <w:rFonts w:asciiTheme="majorHAnsi" w:hAnsiTheme="majorHAnsi" w:cstheme="majorHAnsi"/>
          <w:i/>
          <w:iCs/>
          <w:sz w:val="18"/>
          <w:szCs w:val="18"/>
        </w:rPr>
        <w:t>Human Rights Act 2019</w:t>
      </w:r>
      <w:r w:rsidRPr="00997A80">
        <w:rPr>
          <w:rFonts w:asciiTheme="majorHAnsi" w:hAnsiTheme="majorHAnsi" w:cstheme="majorHAnsi"/>
          <w:sz w:val="18"/>
          <w:szCs w:val="18"/>
        </w:rPr>
        <w:t xml:space="preserve"> (Qld), s </w:t>
      </w:r>
      <w:r>
        <w:rPr>
          <w:rFonts w:asciiTheme="majorHAnsi" w:hAnsiTheme="majorHAnsi" w:cstheme="majorHAnsi"/>
          <w:sz w:val="18"/>
          <w:szCs w:val="18"/>
        </w:rPr>
        <w:t>5</w:t>
      </w:r>
      <w:r w:rsidR="0035710B">
        <w:rPr>
          <w:rFonts w:asciiTheme="majorHAnsi" w:hAnsiTheme="majorHAnsi" w:cstheme="majorHAnsi"/>
          <w:sz w:val="18"/>
          <w:szCs w:val="18"/>
        </w:rPr>
        <w:t>8</w:t>
      </w:r>
      <w:r w:rsidRPr="00997A80">
        <w:rPr>
          <w:rFonts w:asciiTheme="majorHAnsi" w:hAnsiTheme="majorHAnsi" w:cstheme="majorHAnsi"/>
          <w:sz w:val="18"/>
          <w:szCs w:val="18"/>
        </w:rPr>
        <w:t>(1)</w:t>
      </w:r>
      <w:r>
        <w:rPr>
          <w:rFonts w:asciiTheme="majorHAnsi" w:hAnsiTheme="majorHAnsi" w:cstheme="majorHAnsi"/>
          <w:sz w:val="18"/>
          <w:szCs w:val="18"/>
        </w:rPr>
        <w:t>(b)</w:t>
      </w:r>
    </w:p>
  </w:footnote>
  <w:footnote w:id="26">
    <w:p w14:paraId="1780FC71" w14:textId="4E57E766" w:rsidR="0035710B" w:rsidRPr="00DE1FCF" w:rsidRDefault="0035710B">
      <w:pPr>
        <w:pStyle w:val="FootnoteText"/>
        <w:rPr>
          <w:rFonts w:asciiTheme="majorHAnsi" w:hAnsiTheme="majorHAnsi" w:cstheme="majorHAnsi"/>
          <w:sz w:val="18"/>
          <w:szCs w:val="18"/>
          <w:lang w:val="en-US"/>
        </w:rPr>
      </w:pPr>
      <w:r w:rsidRPr="00DE1FCF">
        <w:rPr>
          <w:rStyle w:val="FootnoteReference"/>
          <w:rFonts w:asciiTheme="majorHAnsi" w:hAnsiTheme="majorHAnsi" w:cstheme="majorHAnsi"/>
          <w:sz w:val="18"/>
          <w:szCs w:val="18"/>
        </w:rPr>
        <w:footnoteRef/>
      </w:r>
      <w:r w:rsidRPr="00DE1FCF">
        <w:rPr>
          <w:rFonts w:asciiTheme="majorHAnsi" w:hAnsiTheme="majorHAnsi" w:cstheme="majorHAnsi"/>
          <w:sz w:val="18"/>
          <w:szCs w:val="18"/>
        </w:rPr>
        <w:t xml:space="preserve"> </w:t>
      </w:r>
      <w:r w:rsidRPr="00DE1FCF">
        <w:rPr>
          <w:rFonts w:asciiTheme="majorHAnsi" w:hAnsiTheme="majorHAnsi" w:cstheme="majorHAnsi"/>
          <w:i/>
          <w:iCs/>
          <w:sz w:val="18"/>
          <w:szCs w:val="18"/>
        </w:rPr>
        <w:t>Human Rights Act 2019</w:t>
      </w:r>
      <w:r w:rsidRPr="00DE1FCF">
        <w:rPr>
          <w:rFonts w:asciiTheme="majorHAnsi" w:hAnsiTheme="majorHAnsi" w:cstheme="majorHAnsi"/>
          <w:sz w:val="18"/>
          <w:szCs w:val="18"/>
        </w:rPr>
        <w:t xml:space="preserve"> (Qld), s 58(5)(</w:t>
      </w:r>
      <w:r w:rsidR="00DE1FCF" w:rsidRPr="00DE1FCF">
        <w:rPr>
          <w:rFonts w:asciiTheme="majorHAnsi" w:hAnsiTheme="majorHAnsi" w:cstheme="majorHAnsi"/>
          <w:sz w:val="18"/>
          <w:szCs w:val="18"/>
        </w:rPr>
        <w:t>a</w:t>
      </w:r>
      <w:r w:rsidRPr="00DE1FCF">
        <w:rPr>
          <w:rFonts w:asciiTheme="majorHAnsi" w:hAnsiTheme="majorHAnsi" w:cstheme="majorHAnsi"/>
          <w:sz w:val="18"/>
          <w:szCs w:val="18"/>
        </w:rPr>
        <w:t>)</w:t>
      </w:r>
    </w:p>
  </w:footnote>
  <w:footnote w:id="27">
    <w:p w14:paraId="61005303" w14:textId="2AEFCB60" w:rsidR="00DE1FCF" w:rsidRPr="00DE1FCF" w:rsidRDefault="00DE1FCF">
      <w:pPr>
        <w:pStyle w:val="FootnoteText"/>
        <w:rPr>
          <w:lang w:val="en-US"/>
        </w:rPr>
      </w:pPr>
      <w:r w:rsidRPr="00DE1FCF">
        <w:rPr>
          <w:rStyle w:val="FootnoteReference"/>
          <w:rFonts w:asciiTheme="majorHAnsi" w:hAnsiTheme="majorHAnsi" w:cstheme="majorHAnsi"/>
          <w:sz w:val="18"/>
          <w:szCs w:val="18"/>
        </w:rPr>
        <w:footnoteRef/>
      </w:r>
      <w:r>
        <w:t xml:space="preserve"> </w:t>
      </w:r>
      <w:r w:rsidRPr="00997A80">
        <w:rPr>
          <w:rFonts w:asciiTheme="majorHAnsi" w:hAnsiTheme="majorHAnsi" w:cstheme="majorHAnsi"/>
          <w:i/>
          <w:iCs/>
          <w:sz w:val="18"/>
          <w:szCs w:val="18"/>
        </w:rPr>
        <w:t>Human Rights Act 2019</w:t>
      </w:r>
      <w:r w:rsidRPr="00997A80">
        <w:rPr>
          <w:rFonts w:asciiTheme="majorHAnsi" w:hAnsiTheme="majorHAnsi" w:cstheme="majorHAnsi"/>
          <w:sz w:val="18"/>
          <w:szCs w:val="18"/>
        </w:rPr>
        <w:t xml:space="preserve"> (Qld), s </w:t>
      </w:r>
      <w:r>
        <w:rPr>
          <w:rFonts w:asciiTheme="majorHAnsi" w:hAnsiTheme="majorHAnsi" w:cstheme="majorHAnsi"/>
          <w:sz w:val="18"/>
          <w:szCs w:val="18"/>
        </w:rPr>
        <w:t>58</w:t>
      </w:r>
      <w:r w:rsidRPr="00997A80">
        <w:rPr>
          <w:rFonts w:asciiTheme="majorHAnsi" w:hAnsiTheme="majorHAnsi" w:cstheme="majorHAnsi"/>
          <w:sz w:val="18"/>
          <w:szCs w:val="18"/>
        </w:rPr>
        <w:t>(</w:t>
      </w:r>
      <w:r>
        <w:rPr>
          <w:rFonts w:asciiTheme="majorHAnsi" w:hAnsiTheme="majorHAnsi" w:cstheme="majorHAnsi"/>
          <w:sz w:val="18"/>
          <w:szCs w:val="18"/>
        </w:rPr>
        <w:t>5</w:t>
      </w:r>
      <w:r w:rsidRPr="00997A80">
        <w:rPr>
          <w:rFonts w:asciiTheme="majorHAnsi" w:hAnsiTheme="majorHAnsi" w:cstheme="majorHAnsi"/>
          <w:sz w:val="18"/>
          <w:szCs w:val="18"/>
        </w:rPr>
        <w:t>)</w:t>
      </w:r>
      <w:r>
        <w:rPr>
          <w:rFonts w:asciiTheme="majorHAnsi" w:hAnsiTheme="majorHAnsi" w:cstheme="majorHAnsi"/>
          <w:sz w:val="18"/>
          <w:szCs w:val="18"/>
        </w:rPr>
        <w:t>(b)</w:t>
      </w:r>
    </w:p>
  </w:footnote>
  <w:footnote w:id="28">
    <w:p w14:paraId="417741D4" w14:textId="77777777" w:rsidR="00033A5F" w:rsidRPr="00C81655" w:rsidRDefault="00033A5F" w:rsidP="00033A5F">
      <w:pPr>
        <w:pStyle w:val="FootnoteText"/>
        <w:rPr>
          <w:sz w:val="18"/>
          <w:szCs w:val="18"/>
          <w:lang w:val="en-US"/>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i/>
          <w:iCs/>
          <w:sz w:val="18"/>
          <w:szCs w:val="18"/>
        </w:rPr>
        <w:t>Anti-Discrimination Act 1991</w:t>
      </w:r>
      <w:r w:rsidRPr="00997A80">
        <w:rPr>
          <w:rFonts w:asciiTheme="majorHAnsi" w:hAnsiTheme="majorHAnsi" w:cstheme="majorHAnsi"/>
          <w:sz w:val="18"/>
          <w:szCs w:val="18"/>
        </w:rPr>
        <w:t xml:space="preserve"> (Qld)</w:t>
      </w:r>
      <w:r w:rsidRPr="00997A80">
        <w:rPr>
          <w:rFonts w:asciiTheme="majorHAnsi" w:hAnsiTheme="majorHAnsi" w:cstheme="majorHAnsi"/>
          <w:sz w:val="18"/>
          <w:szCs w:val="18"/>
          <w:lang w:val="en-US"/>
        </w:rPr>
        <w:t>, s 7(h) and s 8(a)</w:t>
      </w:r>
    </w:p>
  </w:footnote>
  <w:footnote w:id="29">
    <w:p w14:paraId="2553CDE2" w14:textId="77777777" w:rsidR="000008ED" w:rsidRPr="00961AB4" w:rsidRDefault="000008ED" w:rsidP="000008ED">
      <w:pPr>
        <w:pStyle w:val="FootnoteText"/>
        <w:rPr>
          <w:rFonts w:asciiTheme="majorHAnsi" w:eastAsia="Calibri" w:hAnsiTheme="majorHAnsi" w:cstheme="majorHAnsi"/>
          <w:color w:val="000000" w:themeColor="text1"/>
          <w:sz w:val="18"/>
          <w:szCs w:val="18"/>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Pr="00961AB4">
        <w:rPr>
          <w:rFonts w:asciiTheme="majorHAnsi" w:eastAsia="Arial" w:hAnsiTheme="majorHAnsi" w:cstheme="majorHAnsi"/>
          <w:color w:val="000000" w:themeColor="text1"/>
          <w:sz w:val="18"/>
          <w:szCs w:val="18"/>
          <w:lang w:val="en-US"/>
        </w:rPr>
        <w:t xml:space="preserve">That is, students who have an impairment as defined under the </w:t>
      </w:r>
      <w:r w:rsidRPr="00961AB4">
        <w:rPr>
          <w:rFonts w:asciiTheme="majorHAnsi" w:eastAsia="Arial" w:hAnsiTheme="majorHAnsi" w:cstheme="majorHAnsi"/>
          <w:i/>
          <w:iCs/>
          <w:color w:val="000000" w:themeColor="text1"/>
          <w:sz w:val="18"/>
          <w:szCs w:val="18"/>
          <w:lang w:val="en-US"/>
        </w:rPr>
        <w:t>Disability Discrimination Act 1992</w:t>
      </w:r>
      <w:r w:rsidRPr="00961AB4">
        <w:rPr>
          <w:rFonts w:asciiTheme="majorHAnsi" w:eastAsia="Arial" w:hAnsiTheme="majorHAnsi" w:cstheme="majorHAnsi"/>
          <w:color w:val="000000" w:themeColor="text1"/>
          <w:sz w:val="18"/>
          <w:szCs w:val="18"/>
          <w:lang w:val="en-US"/>
        </w:rPr>
        <w:t xml:space="preserve"> </w:t>
      </w:r>
      <w:r w:rsidRPr="00961AB4">
        <w:rPr>
          <w:rFonts w:asciiTheme="majorHAnsi" w:eastAsia="Arial" w:hAnsiTheme="majorHAnsi" w:cstheme="majorHAnsi"/>
          <w:b/>
          <w:bCs/>
          <w:i/>
          <w:iCs/>
          <w:color w:val="000000" w:themeColor="text1"/>
          <w:sz w:val="18"/>
          <w:szCs w:val="18"/>
          <w:lang w:val="en-US"/>
        </w:rPr>
        <w:t>and</w:t>
      </w:r>
      <w:r w:rsidRPr="00961AB4">
        <w:rPr>
          <w:rFonts w:asciiTheme="majorHAnsi" w:eastAsia="Arial" w:hAnsiTheme="majorHAnsi" w:cstheme="majorHAnsi"/>
          <w:color w:val="000000" w:themeColor="text1"/>
          <w:sz w:val="18"/>
          <w:szCs w:val="18"/>
          <w:lang w:val="en-US"/>
        </w:rPr>
        <w:t xml:space="preserve"> where the functional impact of the student’s disability results in the school actively addressing their individual education needs by providing reasonable adjustments for a minimum of 10 weeks of school education in the 12 months preceding the NCCD.</w:t>
      </w:r>
    </w:p>
  </w:footnote>
  <w:footnote w:id="30">
    <w:p w14:paraId="1B0E25DB" w14:textId="77777777" w:rsidR="000008ED" w:rsidRPr="00961AB4" w:rsidRDefault="000008ED" w:rsidP="000008ED">
      <w:pPr>
        <w:pStyle w:val="FootnoteText"/>
        <w:rPr>
          <w:rFonts w:asciiTheme="majorHAnsi" w:eastAsia="Calibri" w:hAnsiTheme="majorHAnsi" w:cstheme="majorHAnsi"/>
          <w:color w:val="000000" w:themeColor="text1"/>
          <w:sz w:val="18"/>
          <w:szCs w:val="18"/>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Pr="00961AB4">
        <w:rPr>
          <w:rFonts w:asciiTheme="majorHAnsi" w:eastAsia="Arial" w:hAnsiTheme="majorHAnsi" w:cstheme="majorHAnsi"/>
          <w:color w:val="000000" w:themeColor="text1"/>
          <w:sz w:val="18"/>
          <w:szCs w:val="18"/>
          <w:lang w:val="en-US"/>
        </w:rPr>
        <w:t>That is, students with disability who require significant education adjustments related to the specific impairment areas of Autism Spectrum Disorder, Hearing Impairment, Intellectual Disability, Physical Impairment, Speech-Language Impairment, and Vision Impairment.</w:t>
      </w:r>
    </w:p>
  </w:footnote>
  <w:footnote w:id="31">
    <w:p w14:paraId="08CEF25E" w14:textId="77777777" w:rsidR="000008ED" w:rsidRPr="00961AB4" w:rsidRDefault="000008ED" w:rsidP="000008ED">
      <w:pPr>
        <w:pStyle w:val="FootnoteText"/>
        <w:rPr>
          <w:rFonts w:asciiTheme="majorHAnsi" w:eastAsia="Calibri" w:hAnsiTheme="majorHAnsi" w:cstheme="majorHAnsi"/>
          <w:color w:val="000000" w:themeColor="text1"/>
          <w:sz w:val="18"/>
          <w:szCs w:val="18"/>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Pr="00961AB4">
        <w:rPr>
          <w:rFonts w:asciiTheme="majorHAnsi" w:eastAsia="Arial" w:hAnsiTheme="majorHAnsi" w:cstheme="majorHAnsi"/>
          <w:color w:val="000000" w:themeColor="text1"/>
          <w:sz w:val="18"/>
          <w:szCs w:val="18"/>
          <w:lang w:val="en-US"/>
        </w:rPr>
        <w:t>That is, students who are identified as requiring a different year-level curriculum in some or all learning areas and/or subjects.</w:t>
      </w:r>
    </w:p>
  </w:footnote>
  <w:footnote w:id="32">
    <w:p w14:paraId="0634AF48" w14:textId="77777777" w:rsidR="000008ED" w:rsidRPr="00961AB4" w:rsidRDefault="000008ED" w:rsidP="000008ED">
      <w:pPr>
        <w:pStyle w:val="FootnoteText"/>
        <w:rPr>
          <w:rFonts w:asciiTheme="majorHAnsi" w:hAnsiTheme="majorHAnsi" w:cstheme="majorHAnsi"/>
          <w:sz w:val="18"/>
          <w:szCs w:val="18"/>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https://acara.edu.au/reporting/national-report-on-schooling-in-australia/national-report-on-schooling-in-australia-data-portal/school-students-with-disability</w:t>
      </w:r>
    </w:p>
  </w:footnote>
  <w:footnote w:id="33">
    <w:p w14:paraId="2E351A4D" w14:textId="77777777" w:rsidR="000008ED" w:rsidRPr="00904960" w:rsidRDefault="000008ED" w:rsidP="000008ED">
      <w:pPr>
        <w:pStyle w:val="FootnoteText"/>
        <w:rPr>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Pr="00961AB4">
        <w:rPr>
          <w:rFonts w:asciiTheme="majorHAnsi" w:hAnsiTheme="majorHAnsi" w:cstheme="majorHAnsi"/>
          <w:sz w:val="18"/>
          <w:szCs w:val="18"/>
          <w:lang w:val="en-US"/>
        </w:rPr>
        <w:t>Data obtained from p59 from Annual report 2019-20, compared to total number of enrolments as cited above</w:t>
      </w:r>
    </w:p>
  </w:footnote>
  <w:footnote w:id="34">
    <w:p w14:paraId="463EB7D7" w14:textId="77777777" w:rsidR="000008ED" w:rsidRPr="00961AB4" w:rsidRDefault="000008ED" w:rsidP="000008ED">
      <w:pPr>
        <w:pStyle w:val="FootnoteText"/>
        <w:rPr>
          <w:rFonts w:asciiTheme="majorHAnsi" w:hAnsiTheme="majorHAnsi" w:cstheme="majorHAnsi"/>
          <w:sz w:val="18"/>
          <w:szCs w:val="18"/>
          <w:lang w:val="en-US"/>
        </w:rPr>
      </w:pPr>
      <w:r w:rsidRPr="00C958EA">
        <w:rPr>
          <w:rStyle w:val="FootnoteReference"/>
          <w:sz w:val="18"/>
          <w:szCs w:val="18"/>
        </w:rPr>
        <w:footnoteRef/>
      </w:r>
      <w:r w:rsidRPr="00C958EA">
        <w:rPr>
          <w:sz w:val="18"/>
          <w:szCs w:val="18"/>
        </w:rPr>
        <w:t xml:space="preserve"> </w:t>
      </w:r>
      <w:r w:rsidRPr="00961AB4">
        <w:rPr>
          <w:rFonts w:asciiTheme="majorHAnsi" w:hAnsiTheme="majorHAnsi" w:cstheme="majorHAnsi"/>
          <w:sz w:val="18"/>
          <w:szCs w:val="18"/>
        </w:rPr>
        <w:t>Royal Commission. (2020). Chair Closing Address - Public hearing 7, Brisbane; https://disability.royalcommission.gov.au/publications/chair-closing-address-public-hearing-7-brisbane</w:t>
      </w:r>
    </w:p>
  </w:footnote>
  <w:footnote w:id="35">
    <w:p w14:paraId="0817DA68" w14:textId="77777777" w:rsidR="009615B3" w:rsidRPr="005922BE" w:rsidRDefault="009615B3" w:rsidP="009615B3">
      <w:pPr>
        <w:pStyle w:val="FootnoteText"/>
        <w:rPr>
          <w:lang w:val="en-US"/>
        </w:rPr>
      </w:pPr>
      <w:r>
        <w:rPr>
          <w:rStyle w:val="FootnoteReference"/>
        </w:rPr>
        <w:footnoteRef/>
      </w:r>
      <w:r>
        <w:t xml:space="preserve"> </w:t>
      </w:r>
      <w:r w:rsidRPr="00FD2E55">
        <w:rPr>
          <w:rFonts w:asciiTheme="majorHAnsi" w:hAnsiTheme="majorHAnsi" w:cstheme="majorHAnsi"/>
          <w:sz w:val="18"/>
          <w:szCs w:val="18"/>
          <w:lang w:val="en-US"/>
        </w:rPr>
        <w:t xml:space="preserve">Graham et al. (2020). </w:t>
      </w:r>
      <w:r w:rsidRPr="00FD2E55">
        <w:rPr>
          <w:rFonts w:asciiTheme="majorHAnsi" w:hAnsiTheme="majorHAnsi" w:cstheme="majorHAnsi"/>
          <w:i/>
          <w:iCs/>
          <w:sz w:val="18"/>
          <w:szCs w:val="18"/>
          <w:lang w:val="en-US"/>
        </w:rPr>
        <w:t>Inquiry into Suspension, Exclusion and Expulsion Processes in South Australian government schools: Final Report</w:t>
      </w:r>
      <w:r w:rsidRPr="00FD2E55">
        <w:rPr>
          <w:rFonts w:asciiTheme="majorHAnsi" w:hAnsiTheme="majorHAnsi" w:cstheme="majorHAnsi"/>
          <w:sz w:val="18"/>
          <w:szCs w:val="18"/>
          <w:lang w:val="en-US"/>
        </w:rPr>
        <w:t>. The Centre for Inclusive Education, QUT: Brisbane, QLD</w:t>
      </w:r>
      <w:r>
        <w:rPr>
          <w:rFonts w:asciiTheme="majorHAnsi" w:hAnsiTheme="majorHAnsi" w:cstheme="majorHAnsi"/>
          <w:sz w:val="18"/>
          <w:szCs w:val="18"/>
          <w:lang w:val="en-US"/>
        </w:rPr>
        <w:t>, p362 – Finding 5.1</w:t>
      </w:r>
    </w:p>
  </w:footnote>
  <w:footnote w:id="36">
    <w:p w14:paraId="162281EE" w14:textId="77777777" w:rsidR="009615B3" w:rsidRPr="00CA4E19" w:rsidRDefault="009615B3" w:rsidP="009615B3">
      <w:pPr>
        <w:pStyle w:val="FootnoteText"/>
        <w:rPr>
          <w:lang w:val="en-US"/>
        </w:rPr>
      </w:pPr>
      <w:r>
        <w:rPr>
          <w:rStyle w:val="FootnoteReference"/>
        </w:rPr>
        <w:footnoteRef/>
      </w:r>
      <w:r>
        <w:t xml:space="preserve"> </w:t>
      </w:r>
      <w:r w:rsidRPr="006C3441">
        <w:rPr>
          <w:rFonts w:asciiTheme="majorHAnsi" w:hAnsiTheme="majorHAnsi" w:cstheme="majorHAnsi"/>
          <w:sz w:val="18"/>
          <w:szCs w:val="18"/>
          <w:lang w:val="en-US"/>
        </w:rPr>
        <w:t xml:space="preserve">Graham, L. (2020) </w:t>
      </w:r>
      <w:r w:rsidRPr="006C3441">
        <w:rPr>
          <w:rFonts w:asciiTheme="majorHAnsi" w:hAnsiTheme="majorHAnsi" w:cstheme="majorHAnsi"/>
          <w:i/>
          <w:iCs/>
          <w:sz w:val="18"/>
          <w:szCs w:val="18"/>
          <w:lang w:val="en-US"/>
        </w:rPr>
        <w:t>Questioning the impacts of legislative change on the use of exclusionary discipline in the context of broader system reforms; a Queensland case study</w:t>
      </w:r>
      <w:r w:rsidRPr="006C3441">
        <w:rPr>
          <w:rFonts w:asciiTheme="majorHAnsi" w:hAnsiTheme="majorHAnsi" w:cstheme="majorHAnsi"/>
          <w:sz w:val="18"/>
          <w:szCs w:val="18"/>
          <w:lang w:val="en-US"/>
        </w:rPr>
        <w:t>; International Journal of Inclusive Education, 24:14, 1473-1493</w:t>
      </w:r>
    </w:p>
  </w:footnote>
  <w:footnote w:id="37">
    <w:p w14:paraId="6F1F91F6" w14:textId="77777777" w:rsidR="000008ED" w:rsidRPr="00E866FF" w:rsidRDefault="000008ED" w:rsidP="000008ED">
      <w:pPr>
        <w:pStyle w:val="FootnoteText"/>
        <w:rPr>
          <w:sz w:val="18"/>
          <w:szCs w:val="18"/>
          <w:lang w:val="en-US"/>
        </w:rPr>
      </w:pPr>
      <w:r w:rsidRPr="00961AB4">
        <w:rPr>
          <w:rStyle w:val="FootnoteReference"/>
          <w:rFonts w:asciiTheme="majorHAnsi" w:hAnsiTheme="majorHAnsi" w:cstheme="majorHAnsi"/>
          <w:sz w:val="18"/>
          <w:szCs w:val="18"/>
        </w:rPr>
        <w:footnoteRef/>
      </w:r>
      <w:r w:rsidRPr="00961AB4">
        <w:rPr>
          <w:rFonts w:asciiTheme="majorHAnsi" w:hAnsiTheme="majorHAnsi" w:cstheme="majorHAnsi"/>
          <w:sz w:val="18"/>
          <w:szCs w:val="18"/>
        </w:rPr>
        <w:t xml:space="preserve"> </w:t>
      </w:r>
      <w:r w:rsidRPr="00961AB4">
        <w:rPr>
          <w:rFonts w:asciiTheme="majorHAnsi" w:hAnsiTheme="majorHAnsi" w:cstheme="majorHAnsi"/>
          <w:sz w:val="18"/>
          <w:szCs w:val="18"/>
          <w:lang w:val="en-US"/>
        </w:rPr>
        <w:t>School disciplinary absences by student demographics, https://qed.qld.gov.au/publications/reports/statistics/schooling/students</w:t>
      </w:r>
    </w:p>
  </w:footnote>
  <w:footnote w:id="38">
    <w:p w14:paraId="6A7ADEE4" w14:textId="3DD72E0F" w:rsidR="003234B7" w:rsidRPr="0026699C" w:rsidRDefault="003234B7">
      <w:pPr>
        <w:pStyle w:val="FootnoteText"/>
        <w:rPr>
          <w:rFonts w:asciiTheme="majorHAnsi" w:hAnsiTheme="majorHAnsi" w:cstheme="majorHAnsi"/>
          <w:sz w:val="18"/>
          <w:szCs w:val="18"/>
          <w:lang w:val="en-US"/>
        </w:rPr>
      </w:pPr>
      <w:r w:rsidRPr="00BF19F3">
        <w:rPr>
          <w:rStyle w:val="FootnoteReference"/>
          <w:rFonts w:asciiTheme="majorHAnsi" w:hAnsiTheme="majorHAnsi" w:cstheme="majorHAnsi"/>
          <w:sz w:val="18"/>
          <w:szCs w:val="18"/>
        </w:rPr>
        <w:footnoteRef/>
      </w:r>
      <w:r w:rsidRPr="00BF19F3">
        <w:rPr>
          <w:rFonts w:asciiTheme="majorHAnsi" w:hAnsiTheme="majorHAnsi" w:cstheme="majorHAnsi"/>
          <w:sz w:val="18"/>
          <w:szCs w:val="18"/>
        </w:rPr>
        <w:t xml:space="preserve"> </w:t>
      </w:r>
      <w:r w:rsidR="00D73AF8" w:rsidRPr="00D73AF8">
        <w:rPr>
          <w:rFonts w:asciiTheme="majorHAnsi" w:hAnsiTheme="majorHAnsi" w:cstheme="majorHAnsi"/>
          <w:sz w:val="18"/>
          <w:szCs w:val="18"/>
        </w:rPr>
        <w:t xml:space="preserve">Graham, L., Killingly, C., Laurens, K. R., &amp; </w:t>
      </w:r>
      <w:proofErr w:type="spellStart"/>
      <w:r w:rsidR="00D73AF8" w:rsidRPr="00D73AF8">
        <w:rPr>
          <w:rFonts w:asciiTheme="majorHAnsi" w:hAnsiTheme="majorHAnsi" w:cstheme="majorHAnsi"/>
          <w:sz w:val="18"/>
          <w:szCs w:val="18"/>
        </w:rPr>
        <w:t>Sweller</w:t>
      </w:r>
      <w:proofErr w:type="spellEnd"/>
      <w:r w:rsidR="00D73AF8" w:rsidRPr="00D73AF8">
        <w:rPr>
          <w:rFonts w:asciiTheme="majorHAnsi" w:hAnsiTheme="majorHAnsi" w:cstheme="majorHAnsi"/>
          <w:sz w:val="18"/>
          <w:szCs w:val="18"/>
        </w:rPr>
        <w:t xml:space="preserve">, N. (2021). Suspensions and expulsions could set our most vulnerable kids on a path to school drop-out, drug use and crime. </w:t>
      </w:r>
      <w:r w:rsidR="00D73AF8" w:rsidRPr="00D73AF8">
        <w:rPr>
          <w:rFonts w:asciiTheme="majorHAnsi" w:hAnsiTheme="majorHAnsi" w:cstheme="majorHAnsi"/>
          <w:i/>
          <w:iCs/>
          <w:sz w:val="18"/>
          <w:szCs w:val="18"/>
        </w:rPr>
        <w:t>The Conversation</w:t>
      </w:r>
      <w:r w:rsidR="00D73AF8" w:rsidRPr="00D73AF8">
        <w:rPr>
          <w:rFonts w:asciiTheme="majorHAnsi" w:hAnsiTheme="majorHAnsi" w:cstheme="majorHAnsi"/>
          <w:sz w:val="18"/>
          <w:szCs w:val="18"/>
        </w:rPr>
        <w:t>.</w:t>
      </w:r>
    </w:p>
  </w:footnote>
  <w:footnote w:id="39">
    <w:p w14:paraId="2D1B63DA" w14:textId="77777777" w:rsidR="000A77E7" w:rsidRPr="00CD6C7F" w:rsidRDefault="000A77E7" w:rsidP="000A77E7">
      <w:pPr>
        <w:pStyle w:val="FootnoteText"/>
        <w:rPr>
          <w:lang w:val="en-US"/>
        </w:rPr>
      </w:pPr>
      <w:r w:rsidRPr="00BF19F3">
        <w:rPr>
          <w:rStyle w:val="FootnoteReference"/>
          <w:rFonts w:asciiTheme="majorHAnsi" w:hAnsiTheme="majorHAnsi" w:cstheme="majorHAnsi"/>
          <w:sz w:val="18"/>
          <w:szCs w:val="18"/>
        </w:rPr>
        <w:footnoteRef/>
      </w:r>
      <w:r w:rsidRPr="00BF19F3">
        <w:rPr>
          <w:rFonts w:asciiTheme="majorHAnsi" w:hAnsiTheme="majorHAnsi" w:cstheme="majorHAnsi"/>
          <w:sz w:val="18"/>
          <w:szCs w:val="18"/>
        </w:rPr>
        <w:t xml:space="preserve"> </w:t>
      </w:r>
      <w:proofErr w:type="gramStart"/>
      <w:r w:rsidRPr="00BF19F3">
        <w:rPr>
          <w:rFonts w:asciiTheme="majorHAnsi" w:hAnsiTheme="majorHAnsi" w:cstheme="majorHAnsi"/>
          <w:sz w:val="18"/>
          <w:szCs w:val="18"/>
          <w:lang w:val="en-US"/>
        </w:rPr>
        <w:t>E.g.</w:t>
      </w:r>
      <w:proofErr w:type="gramEnd"/>
      <w:r w:rsidRPr="00BF19F3">
        <w:rPr>
          <w:rFonts w:asciiTheme="majorHAnsi" w:hAnsiTheme="majorHAnsi" w:cstheme="majorHAnsi"/>
          <w:sz w:val="18"/>
          <w:szCs w:val="18"/>
          <w:lang w:val="en-US"/>
        </w:rPr>
        <w:t xml:space="preserve"> </w:t>
      </w:r>
      <w:r w:rsidRPr="00BF19F3">
        <w:rPr>
          <w:rFonts w:asciiTheme="majorHAnsi" w:hAnsiTheme="majorHAnsi" w:cstheme="majorHAnsi"/>
          <w:sz w:val="18"/>
          <w:szCs w:val="18"/>
        </w:rPr>
        <w:t xml:space="preserve">Fitzpatrick JP, Latimer J, Olson HC et al. Prevalence and profile of neurodevelopment </w:t>
      </w:r>
      <w:r w:rsidRPr="00521357">
        <w:rPr>
          <w:rFonts w:asciiTheme="majorHAnsi" w:hAnsiTheme="majorHAnsi" w:cstheme="majorHAnsi"/>
          <w:sz w:val="18"/>
          <w:szCs w:val="18"/>
        </w:rPr>
        <w:t>and fetal alcohol Spectrum disorder (FASD) amongst</w:t>
      </w:r>
      <w:r w:rsidRPr="00BF19F3">
        <w:rPr>
          <w:rFonts w:asciiTheme="majorHAnsi" w:hAnsiTheme="majorHAnsi" w:cstheme="majorHAnsi"/>
          <w:sz w:val="18"/>
          <w:szCs w:val="18"/>
        </w:rPr>
        <w:t xml:space="preserve"> </w:t>
      </w:r>
      <w:r w:rsidRPr="00521357">
        <w:rPr>
          <w:rFonts w:asciiTheme="majorHAnsi" w:hAnsiTheme="majorHAnsi" w:cstheme="majorHAnsi"/>
          <w:sz w:val="18"/>
          <w:szCs w:val="18"/>
        </w:rPr>
        <w:t>Australian aboriginal children living in remote</w:t>
      </w:r>
      <w:r w:rsidRPr="00BF19F3">
        <w:rPr>
          <w:rFonts w:asciiTheme="majorHAnsi" w:hAnsiTheme="majorHAnsi" w:cstheme="majorHAnsi"/>
          <w:sz w:val="18"/>
          <w:szCs w:val="18"/>
        </w:rPr>
        <w:t xml:space="preserve"> </w:t>
      </w:r>
      <w:r w:rsidRPr="00521357">
        <w:rPr>
          <w:rFonts w:asciiTheme="majorHAnsi" w:hAnsiTheme="majorHAnsi" w:cstheme="majorHAnsi"/>
          <w:sz w:val="18"/>
          <w:szCs w:val="18"/>
        </w:rPr>
        <w:t>communities. Res Dev</w:t>
      </w:r>
      <w:r w:rsidRPr="00BF19F3">
        <w:rPr>
          <w:rFonts w:asciiTheme="majorHAnsi" w:hAnsiTheme="majorHAnsi" w:cstheme="majorHAnsi"/>
          <w:sz w:val="18"/>
          <w:szCs w:val="18"/>
        </w:rPr>
        <w:t xml:space="preserve"> </w:t>
      </w:r>
      <w:proofErr w:type="spellStart"/>
      <w:r w:rsidRPr="00BF19F3">
        <w:rPr>
          <w:rFonts w:asciiTheme="majorHAnsi" w:hAnsiTheme="majorHAnsi" w:cstheme="majorHAnsi"/>
          <w:sz w:val="18"/>
          <w:szCs w:val="18"/>
        </w:rPr>
        <w:t>Disabil</w:t>
      </w:r>
      <w:proofErr w:type="spellEnd"/>
      <w:r w:rsidRPr="00BF19F3">
        <w:rPr>
          <w:rFonts w:asciiTheme="majorHAnsi" w:hAnsiTheme="majorHAnsi" w:cstheme="majorHAnsi"/>
          <w:sz w:val="18"/>
          <w:szCs w:val="18"/>
        </w:rPr>
        <w:t xml:space="preserve"> </w:t>
      </w:r>
      <w:proofErr w:type="gramStart"/>
      <w:r w:rsidRPr="00BF19F3">
        <w:rPr>
          <w:rFonts w:asciiTheme="majorHAnsi" w:hAnsiTheme="majorHAnsi" w:cstheme="majorHAnsi"/>
          <w:sz w:val="18"/>
          <w:szCs w:val="18"/>
        </w:rPr>
        <w:t>2017;65:114</w:t>
      </w:r>
      <w:proofErr w:type="gramEnd"/>
      <w:r w:rsidRPr="00BF19F3">
        <w:rPr>
          <w:rFonts w:asciiTheme="majorHAnsi" w:hAnsiTheme="majorHAnsi" w:cstheme="majorHAnsi"/>
          <w:sz w:val="18"/>
          <w:szCs w:val="18"/>
        </w:rPr>
        <w:t>–26.</w:t>
      </w:r>
    </w:p>
  </w:footnote>
  <w:footnote w:id="40">
    <w:p w14:paraId="292F88EC" w14:textId="77777777" w:rsidR="000008ED" w:rsidRPr="00997A80" w:rsidRDefault="000008ED" w:rsidP="000008ED">
      <w:pPr>
        <w:pStyle w:val="FootnoteText"/>
        <w:rPr>
          <w:rFonts w:asciiTheme="majorHAnsi" w:hAnsiTheme="majorHAnsi" w:cstheme="majorHAnsi"/>
          <w:sz w:val="18"/>
          <w:szCs w:val="18"/>
          <w:lang w:val="en-US"/>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sz w:val="18"/>
          <w:szCs w:val="18"/>
          <w:lang w:val="en-US"/>
        </w:rPr>
        <w:t xml:space="preserve">United Nations Educational, Scientific and Cultural Organisation; ‘Right to education’; https://en.unesco.org/themes/right-to-education </w:t>
      </w:r>
    </w:p>
  </w:footnote>
  <w:footnote w:id="41">
    <w:p w14:paraId="02F4DE4B" w14:textId="77777777" w:rsidR="00BC6C38" w:rsidRPr="00997A80" w:rsidRDefault="00BC6C38" w:rsidP="00BC6C38">
      <w:pPr>
        <w:pStyle w:val="FootnoteText"/>
        <w:rPr>
          <w:rFonts w:asciiTheme="majorHAnsi" w:hAnsiTheme="majorHAnsi" w:cstheme="majorHAnsi"/>
          <w:sz w:val="18"/>
          <w:szCs w:val="18"/>
          <w:lang w:val="en-US"/>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i/>
          <w:iCs/>
          <w:sz w:val="18"/>
          <w:szCs w:val="18"/>
        </w:rPr>
        <w:t xml:space="preserve">Education (General Provisions) Act 2006 </w:t>
      </w:r>
      <w:r w:rsidRPr="00997A80">
        <w:rPr>
          <w:rFonts w:asciiTheme="majorHAnsi" w:hAnsiTheme="majorHAnsi" w:cstheme="majorHAnsi"/>
          <w:sz w:val="18"/>
          <w:szCs w:val="18"/>
        </w:rPr>
        <w:t xml:space="preserve">(Qld), ss 281, 283; </w:t>
      </w:r>
      <w:r w:rsidRPr="00997A80">
        <w:rPr>
          <w:rFonts w:asciiTheme="majorHAnsi" w:hAnsiTheme="majorHAnsi" w:cstheme="majorHAnsi"/>
          <w:sz w:val="18"/>
          <w:szCs w:val="18"/>
          <w:lang w:val="en-US"/>
        </w:rPr>
        <w:t xml:space="preserve">Department of Education (January 2021); https://behaviour.education.qld.gov.au/procedures-guidelines-and-forms/disciplinary-consequences/appeals </w:t>
      </w:r>
    </w:p>
  </w:footnote>
  <w:footnote w:id="42">
    <w:p w14:paraId="6A0BA86F" w14:textId="77777777" w:rsidR="00BD19B9" w:rsidRPr="00997A80" w:rsidRDefault="00BD19B9" w:rsidP="00BD19B9">
      <w:pPr>
        <w:pStyle w:val="FootnoteText"/>
        <w:rPr>
          <w:rFonts w:asciiTheme="majorHAnsi" w:hAnsiTheme="majorHAnsi" w:cstheme="majorHAnsi"/>
          <w:sz w:val="18"/>
          <w:szCs w:val="18"/>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i/>
          <w:iCs/>
          <w:sz w:val="18"/>
          <w:szCs w:val="18"/>
        </w:rPr>
        <w:t xml:space="preserve">Education (General Provisions) Act 2006 </w:t>
      </w:r>
      <w:r w:rsidRPr="00997A80">
        <w:rPr>
          <w:rFonts w:asciiTheme="majorHAnsi" w:hAnsiTheme="majorHAnsi" w:cstheme="majorHAnsi"/>
          <w:sz w:val="18"/>
          <w:szCs w:val="18"/>
        </w:rPr>
        <w:t>(Qld), s 313, 392.</w:t>
      </w:r>
    </w:p>
  </w:footnote>
  <w:footnote w:id="43">
    <w:p w14:paraId="5C499C83" w14:textId="77777777" w:rsidR="00BD19B9" w:rsidRPr="00997A80" w:rsidRDefault="00BD19B9" w:rsidP="00BD19B9">
      <w:pPr>
        <w:pStyle w:val="FootnoteText"/>
        <w:rPr>
          <w:rFonts w:asciiTheme="majorHAnsi" w:hAnsiTheme="majorHAnsi" w:cstheme="majorHAnsi"/>
          <w:sz w:val="18"/>
          <w:szCs w:val="18"/>
          <w:lang w:val="en-US"/>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i/>
          <w:iCs/>
          <w:sz w:val="18"/>
          <w:szCs w:val="18"/>
          <w:lang w:val="en-US"/>
        </w:rPr>
        <w:t xml:space="preserve">Education (General Provisions) Act 2006 </w:t>
      </w:r>
      <w:r w:rsidRPr="00997A80">
        <w:rPr>
          <w:rFonts w:asciiTheme="majorHAnsi" w:hAnsiTheme="majorHAnsi" w:cstheme="majorHAnsi"/>
          <w:sz w:val="18"/>
          <w:szCs w:val="18"/>
          <w:lang w:val="en-US"/>
        </w:rPr>
        <w:t xml:space="preserve">(Qld) ss 313, 392; Department of Education (January 2021); https://behaviour.education.qld.gov.au/procedures-guidelines-and-forms/disciplinary-consequences/appeals. </w:t>
      </w:r>
    </w:p>
  </w:footnote>
  <w:footnote w:id="44">
    <w:p w14:paraId="0F0646E7" w14:textId="77777777" w:rsidR="00BD19B9" w:rsidRPr="00997A80" w:rsidRDefault="00BD19B9" w:rsidP="00BD19B9">
      <w:pPr>
        <w:pStyle w:val="FootnoteText"/>
        <w:rPr>
          <w:rFonts w:asciiTheme="majorHAnsi" w:hAnsiTheme="majorHAnsi" w:cstheme="majorHAnsi"/>
          <w:i/>
          <w:iCs/>
          <w:sz w:val="18"/>
          <w:szCs w:val="18"/>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This is what QAI has observed in practice, even in circumstances where a student is suspended pending a decision about exclusion – see s 301 </w:t>
      </w:r>
      <w:r w:rsidRPr="00997A80">
        <w:rPr>
          <w:rFonts w:asciiTheme="majorHAnsi" w:hAnsiTheme="majorHAnsi" w:cstheme="majorHAnsi"/>
          <w:i/>
          <w:iCs/>
          <w:sz w:val="18"/>
          <w:szCs w:val="18"/>
        </w:rPr>
        <w:t xml:space="preserve">Education (General Provisions) Act 2006 </w:t>
      </w:r>
      <w:r w:rsidRPr="00997A80">
        <w:rPr>
          <w:rFonts w:asciiTheme="majorHAnsi" w:hAnsiTheme="majorHAnsi" w:cstheme="majorHAnsi"/>
          <w:sz w:val="18"/>
          <w:szCs w:val="18"/>
        </w:rPr>
        <w:t>(Qld).</w:t>
      </w:r>
    </w:p>
  </w:footnote>
  <w:footnote w:id="45">
    <w:p w14:paraId="7EDAC250" w14:textId="77777777" w:rsidR="00BD19B9" w:rsidRPr="00997A80" w:rsidRDefault="00BD19B9" w:rsidP="00BD19B9">
      <w:pPr>
        <w:pStyle w:val="FootnoteText"/>
        <w:rPr>
          <w:rFonts w:asciiTheme="majorHAnsi" w:hAnsiTheme="majorHAnsi" w:cstheme="majorHAnsi"/>
          <w:sz w:val="18"/>
          <w:szCs w:val="18"/>
          <w:lang w:val="en-US"/>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i/>
          <w:iCs/>
          <w:sz w:val="18"/>
          <w:szCs w:val="18"/>
          <w:lang w:val="en-US"/>
        </w:rPr>
        <w:t xml:space="preserve">Education (General Provisions) Act 2006 </w:t>
      </w:r>
      <w:r w:rsidRPr="00997A80">
        <w:rPr>
          <w:rFonts w:asciiTheme="majorHAnsi" w:hAnsiTheme="majorHAnsi" w:cstheme="majorHAnsi"/>
          <w:sz w:val="18"/>
          <w:szCs w:val="18"/>
          <w:lang w:val="en-US"/>
        </w:rPr>
        <w:t>(Qld), ss 312, 315; Department of Education (January 2021); https://behaviour.education.qld.gov.au/procedures-guidelines-and-forms/disciplinary-consequences/appeals</w:t>
      </w:r>
    </w:p>
  </w:footnote>
  <w:footnote w:id="46">
    <w:p w14:paraId="295D7252" w14:textId="77777777" w:rsidR="00BD19B9" w:rsidRPr="00997A80" w:rsidRDefault="00BD19B9" w:rsidP="00BD19B9">
      <w:pPr>
        <w:pStyle w:val="FootnoteText"/>
        <w:rPr>
          <w:rFonts w:asciiTheme="majorHAnsi" w:hAnsiTheme="majorHAnsi" w:cstheme="majorHAnsi"/>
          <w:sz w:val="18"/>
          <w:szCs w:val="18"/>
          <w:lang w:val="en-US"/>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sz w:val="18"/>
          <w:szCs w:val="18"/>
          <w:lang w:val="en-US"/>
        </w:rPr>
        <w:t xml:space="preserve">Department of Education; </w:t>
      </w:r>
      <w:bookmarkStart w:id="1" w:name="_Hlk85630964"/>
      <w:r w:rsidRPr="00997A80">
        <w:rPr>
          <w:rFonts w:asciiTheme="majorHAnsi" w:hAnsiTheme="majorHAnsi" w:cstheme="majorHAnsi"/>
          <w:sz w:val="18"/>
          <w:szCs w:val="18"/>
          <w:lang w:val="en-US"/>
        </w:rPr>
        <w:t xml:space="preserve">https://behaviour.education.qld.gov.au/procedures-guidelines-forms/disciplinary-consequences/Documents/reviews-against-refusal-of-enrolment-decision.pdf </w:t>
      </w:r>
      <w:bookmarkEnd w:id="1"/>
    </w:p>
  </w:footnote>
  <w:footnote w:id="47">
    <w:p w14:paraId="00F785FD" w14:textId="77777777" w:rsidR="00BD19B9" w:rsidRPr="00997A80" w:rsidRDefault="00BD19B9" w:rsidP="00BD19B9">
      <w:pPr>
        <w:pStyle w:val="FootnoteText"/>
        <w:rPr>
          <w:rFonts w:asciiTheme="majorHAnsi" w:hAnsiTheme="majorHAnsi" w:cstheme="majorHAnsi"/>
          <w:sz w:val="18"/>
          <w:szCs w:val="18"/>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i/>
          <w:iCs/>
          <w:sz w:val="18"/>
          <w:szCs w:val="18"/>
        </w:rPr>
        <w:t>Education (General Provisions) Act 2006</w:t>
      </w:r>
      <w:r w:rsidRPr="00997A80">
        <w:rPr>
          <w:rFonts w:asciiTheme="majorHAnsi" w:hAnsiTheme="majorHAnsi" w:cstheme="majorHAnsi"/>
          <w:sz w:val="18"/>
          <w:szCs w:val="18"/>
        </w:rPr>
        <w:t xml:space="preserve"> (Qld), s 394.</w:t>
      </w:r>
    </w:p>
  </w:footnote>
  <w:footnote w:id="48">
    <w:p w14:paraId="32DBF85A" w14:textId="77777777" w:rsidR="00BD19B9" w:rsidRDefault="00BD19B9" w:rsidP="00BD19B9">
      <w:pPr>
        <w:pStyle w:val="FootnoteText"/>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w:t>
      </w:r>
      <w:r w:rsidRPr="00997A80">
        <w:rPr>
          <w:rFonts w:asciiTheme="majorHAnsi" w:hAnsiTheme="majorHAnsi" w:cstheme="majorHAnsi"/>
          <w:i/>
          <w:iCs/>
          <w:sz w:val="18"/>
          <w:szCs w:val="18"/>
        </w:rPr>
        <w:t xml:space="preserve">Education (General Provisions) Act 2006 </w:t>
      </w:r>
      <w:r w:rsidRPr="00997A80">
        <w:rPr>
          <w:rFonts w:asciiTheme="majorHAnsi" w:hAnsiTheme="majorHAnsi" w:cstheme="majorHAnsi"/>
          <w:sz w:val="18"/>
          <w:szCs w:val="18"/>
        </w:rPr>
        <w:t>(Qld), s 402.</w:t>
      </w:r>
    </w:p>
  </w:footnote>
  <w:footnote w:id="49">
    <w:p w14:paraId="70C0AF65" w14:textId="77777777" w:rsidR="0079031F" w:rsidRPr="003D1597" w:rsidRDefault="0079031F" w:rsidP="0079031F">
      <w:pPr>
        <w:pStyle w:val="FootnoteText"/>
        <w:rPr>
          <w:rFonts w:asciiTheme="majorHAnsi" w:hAnsiTheme="majorHAnsi" w:cstheme="majorHAnsi"/>
          <w:lang w:val="en-US"/>
        </w:rPr>
      </w:pPr>
      <w:r w:rsidRPr="003D1597">
        <w:rPr>
          <w:rStyle w:val="FootnoteReference"/>
          <w:rFonts w:asciiTheme="majorHAnsi" w:hAnsiTheme="majorHAnsi" w:cstheme="majorHAnsi"/>
        </w:rPr>
        <w:footnoteRef/>
      </w:r>
      <w:r w:rsidRPr="003D1597">
        <w:rPr>
          <w:rFonts w:asciiTheme="majorHAnsi" w:hAnsiTheme="majorHAnsi" w:cstheme="majorHAnsi"/>
        </w:rPr>
        <w:t xml:space="preserve"> </w:t>
      </w:r>
      <w:r w:rsidRPr="003D1597">
        <w:rPr>
          <w:rFonts w:asciiTheme="majorHAnsi" w:hAnsiTheme="majorHAnsi" w:cstheme="majorHAnsi"/>
          <w:sz w:val="18"/>
          <w:szCs w:val="18"/>
          <w:lang w:val="en-US"/>
        </w:rPr>
        <w:t xml:space="preserve">Graham, L. (2020) </w:t>
      </w:r>
      <w:r w:rsidRPr="003D1597">
        <w:rPr>
          <w:rFonts w:asciiTheme="majorHAnsi" w:hAnsiTheme="majorHAnsi" w:cstheme="majorHAnsi"/>
          <w:i/>
          <w:iCs/>
          <w:sz w:val="18"/>
          <w:szCs w:val="18"/>
          <w:lang w:val="en-US"/>
        </w:rPr>
        <w:t>Questioning the impacts of legislative change on the use of exclusionary discipline in the context of broader system reforms; a Queensland case study</w:t>
      </w:r>
      <w:r w:rsidRPr="003D1597">
        <w:rPr>
          <w:rFonts w:asciiTheme="majorHAnsi" w:hAnsiTheme="majorHAnsi" w:cstheme="majorHAnsi"/>
          <w:sz w:val="18"/>
          <w:szCs w:val="18"/>
          <w:lang w:val="en-US"/>
        </w:rPr>
        <w:t>; International Journal of Inclusive Education, 24:14, 1473-1493</w:t>
      </w:r>
    </w:p>
  </w:footnote>
  <w:footnote w:id="50">
    <w:p w14:paraId="2B15A663" w14:textId="77777777" w:rsidR="0079031F" w:rsidRPr="00B24AAC" w:rsidRDefault="0079031F" w:rsidP="0079031F">
      <w:pPr>
        <w:pStyle w:val="FootnoteText"/>
        <w:rPr>
          <w:lang w:val="en-US"/>
        </w:rPr>
      </w:pPr>
      <w:r w:rsidRPr="003D1597">
        <w:rPr>
          <w:rStyle w:val="FootnoteReference"/>
          <w:rFonts w:asciiTheme="majorHAnsi" w:hAnsiTheme="majorHAnsi" w:cstheme="majorHAnsi"/>
          <w:sz w:val="18"/>
          <w:szCs w:val="18"/>
        </w:rPr>
        <w:footnoteRef/>
      </w:r>
      <w:r w:rsidRPr="003D1597">
        <w:rPr>
          <w:rFonts w:asciiTheme="majorHAnsi" w:hAnsiTheme="majorHAnsi" w:cstheme="majorHAnsi"/>
          <w:sz w:val="18"/>
          <w:szCs w:val="18"/>
        </w:rPr>
        <w:t xml:space="preserve"> </w:t>
      </w:r>
      <w:r w:rsidRPr="003D1597">
        <w:rPr>
          <w:rFonts w:asciiTheme="majorHAnsi" w:hAnsiTheme="majorHAnsi" w:cstheme="majorHAnsi"/>
          <w:sz w:val="18"/>
          <w:szCs w:val="18"/>
          <w:lang w:val="en-US"/>
        </w:rPr>
        <w:t>Ibid, p1480</w:t>
      </w:r>
    </w:p>
  </w:footnote>
  <w:footnote w:id="51">
    <w:p w14:paraId="404428D2" w14:textId="77777777" w:rsidR="0079031F" w:rsidRPr="0040373A" w:rsidRDefault="0079031F" w:rsidP="0079031F">
      <w:pPr>
        <w:pStyle w:val="FootnoteText"/>
        <w:rPr>
          <w:rFonts w:asciiTheme="majorHAnsi" w:hAnsiTheme="majorHAnsi" w:cstheme="majorHAnsi"/>
          <w:lang w:val="en-US"/>
        </w:rPr>
      </w:pPr>
      <w:r w:rsidRPr="0040373A">
        <w:rPr>
          <w:rStyle w:val="FootnoteReference"/>
          <w:rFonts w:asciiTheme="majorHAnsi" w:hAnsiTheme="majorHAnsi" w:cstheme="majorHAnsi"/>
          <w:sz w:val="18"/>
          <w:szCs w:val="18"/>
        </w:rPr>
        <w:footnoteRef/>
      </w:r>
      <w:r w:rsidRPr="0040373A">
        <w:rPr>
          <w:rFonts w:asciiTheme="majorHAnsi" w:hAnsiTheme="majorHAnsi" w:cstheme="majorHAnsi"/>
          <w:sz w:val="18"/>
          <w:szCs w:val="18"/>
        </w:rPr>
        <w:t xml:space="preserve"> s. 76(3) of the </w:t>
      </w:r>
      <w:r w:rsidRPr="0040373A">
        <w:rPr>
          <w:rFonts w:asciiTheme="majorHAnsi" w:hAnsiTheme="majorHAnsi" w:cstheme="majorHAnsi"/>
          <w:i/>
          <w:iCs/>
          <w:sz w:val="18"/>
          <w:szCs w:val="18"/>
        </w:rPr>
        <w:t>Education and Children’s Services Act 2019</w:t>
      </w:r>
      <w:r w:rsidRPr="0040373A">
        <w:rPr>
          <w:rFonts w:asciiTheme="majorHAnsi" w:hAnsiTheme="majorHAnsi" w:cstheme="majorHAnsi"/>
          <w:sz w:val="18"/>
          <w:szCs w:val="18"/>
        </w:rPr>
        <w:t xml:space="preserve"> (SA)</w:t>
      </w:r>
    </w:p>
  </w:footnote>
  <w:footnote w:id="52">
    <w:p w14:paraId="5B44394C" w14:textId="743FE8F7" w:rsidR="00A15C72" w:rsidRPr="0019302F" w:rsidRDefault="00A15C72">
      <w:pPr>
        <w:pStyle w:val="FootnoteText"/>
        <w:rPr>
          <w:rFonts w:asciiTheme="majorHAnsi" w:hAnsiTheme="majorHAnsi" w:cstheme="majorHAnsi"/>
          <w:lang w:val="en-US"/>
        </w:rPr>
      </w:pPr>
      <w:r w:rsidRPr="0019302F">
        <w:rPr>
          <w:rStyle w:val="FootnoteReference"/>
          <w:rFonts w:asciiTheme="majorHAnsi" w:hAnsiTheme="majorHAnsi" w:cstheme="majorHAnsi"/>
          <w:sz w:val="18"/>
          <w:szCs w:val="18"/>
        </w:rPr>
        <w:footnoteRef/>
      </w:r>
      <w:r w:rsidRPr="0019302F">
        <w:rPr>
          <w:rFonts w:asciiTheme="majorHAnsi" w:hAnsiTheme="majorHAnsi" w:cstheme="majorHAnsi"/>
          <w:sz w:val="18"/>
          <w:szCs w:val="18"/>
        </w:rPr>
        <w:t xml:space="preserve"> </w:t>
      </w:r>
      <w:r w:rsidR="00E33362" w:rsidRPr="0019302F">
        <w:rPr>
          <w:rFonts w:asciiTheme="majorHAnsi" w:hAnsiTheme="majorHAnsi" w:cstheme="majorHAnsi"/>
          <w:sz w:val="18"/>
          <w:szCs w:val="18"/>
          <w:lang w:val="en-US"/>
        </w:rPr>
        <w:t>Australian Institute of Criminology (2017) Trends and issues in crime and criminal justice</w:t>
      </w:r>
      <w:r w:rsidR="0019302F" w:rsidRPr="0019302F">
        <w:rPr>
          <w:rFonts w:asciiTheme="majorHAnsi" w:hAnsiTheme="majorHAnsi" w:cstheme="majorHAnsi"/>
          <w:sz w:val="18"/>
          <w:szCs w:val="18"/>
          <w:lang w:val="en-US"/>
        </w:rPr>
        <w:t>; https://www.aic.gov.au/sites/default/files/2020-05/tandi531.pdf</w:t>
      </w:r>
    </w:p>
  </w:footnote>
  <w:footnote w:id="53">
    <w:p w14:paraId="0E429410" w14:textId="5D600F54" w:rsidR="00223C8F" w:rsidRPr="00E9717B" w:rsidRDefault="00223C8F">
      <w:pPr>
        <w:pStyle w:val="FootnoteText"/>
        <w:rPr>
          <w:rFonts w:asciiTheme="majorHAnsi" w:hAnsiTheme="majorHAnsi" w:cstheme="majorHAnsi"/>
          <w:lang w:val="en-US"/>
        </w:rPr>
      </w:pPr>
      <w:r w:rsidRPr="00E9717B">
        <w:rPr>
          <w:rStyle w:val="FootnoteReference"/>
          <w:rFonts w:asciiTheme="majorHAnsi" w:hAnsiTheme="majorHAnsi" w:cstheme="majorHAnsi"/>
          <w:sz w:val="18"/>
          <w:szCs w:val="18"/>
        </w:rPr>
        <w:footnoteRef/>
      </w:r>
      <w:r w:rsidRPr="00E9717B">
        <w:rPr>
          <w:rFonts w:asciiTheme="majorHAnsi" w:hAnsiTheme="majorHAnsi" w:cstheme="majorHAnsi"/>
          <w:sz w:val="18"/>
          <w:szCs w:val="18"/>
        </w:rPr>
        <w:t xml:space="preserve"> </w:t>
      </w:r>
      <w:r w:rsidR="00E9717B" w:rsidRPr="00E9717B">
        <w:rPr>
          <w:rFonts w:asciiTheme="majorHAnsi" w:hAnsiTheme="majorHAnsi" w:cstheme="majorHAnsi"/>
          <w:sz w:val="18"/>
          <w:szCs w:val="18"/>
        </w:rPr>
        <w:t xml:space="preserve">Hemphill S, Broderick D &amp; </w:t>
      </w:r>
      <w:proofErr w:type="spellStart"/>
      <w:r w:rsidR="00E9717B" w:rsidRPr="00E9717B">
        <w:rPr>
          <w:rFonts w:asciiTheme="majorHAnsi" w:hAnsiTheme="majorHAnsi" w:cstheme="majorHAnsi"/>
          <w:sz w:val="18"/>
          <w:szCs w:val="18"/>
        </w:rPr>
        <w:t>Heerde</w:t>
      </w:r>
      <w:proofErr w:type="spellEnd"/>
      <w:r w:rsidR="00E9717B" w:rsidRPr="00E9717B">
        <w:rPr>
          <w:rFonts w:asciiTheme="majorHAnsi" w:hAnsiTheme="majorHAnsi" w:cstheme="majorHAnsi"/>
          <w:sz w:val="18"/>
          <w:szCs w:val="18"/>
        </w:rPr>
        <w:t xml:space="preserve"> J 2017. Positive associations between school suspension and student problem behaviour: Recent Australian findings. </w:t>
      </w:r>
      <w:r w:rsidR="00E9717B" w:rsidRPr="00E9717B">
        <w:rPr>
          <w:rFonts w:asciiTheme="majorHAnsi" w:hAnsiTheme="majorHAnsi" w:cstheme="majorHAnsi"/>
          <w:i/>
          <w:iCs/>
          <w:sz w:val="18"/>
          <w:szCs w:val="18"/>
        </w:rPr>
        <w:t>Trends &amp; issues in crime and criminal justice</w:t>
      </w:r>
      <w:r w:rsidR="00E9717B" w:rsidRPr="00E9717B">
        <w:rPr>
          <w:rFonts w:asciiTheme="majorHAnsi" w:hAnsiTheme="majorHAnsi" w:cstheme="majorHAnsi"/>
          <w:sz w:val="18"/>
          <w:szCs w:val="18"/>
        </w:rPr>
        <w:t> no. 531. Canberra: Australian Institute of Criminology. https://www.aic.gov.au/publications/tandi/tandi531</w:t>
      </w:r>
    </w:p>
  </w:footnote>
  <w:footnote w:id="54">
    <w:p w14:paraId="56414BC5" w14:textId="3615BD61" w:rsidR="006A1599" w:rsidRPr="006A1599" w:rsidRDefault="006A1599">
      <w:pPr>
        <w:pStyle w:val="FootnoteText"/>
        <w:rPr>
          <w:rFonts w:asciiTheme="majorHAnsi" w:hAnsiTheme="majorHAnsi" w:cstheme="majorHAnsi"/>
          <w:lang w:val="en-US"/>
        </w:rPr>
      </w:pPr>
      <w:r w:rsidRPr="006A1599">
        <w:rPr>
          <w:rStyle w:val="FootnoteReference"/>
          <w:rFonts w:asciiTheme="majorHAnsi" w:hAnsiTheme="majorHAnsi" w:cstheme="majorHAnsi"/>
          <w:sz w:val="18"/>
          <w:szCs w:val="18"/>
        </w:rPr>
        <w:footnoteRef/>
      </w:r>
      <w:r w:rsidRPr="006A1599">
        <w:rPr>
          <w:rFonts w:asciiTheme="majorHAnsi" w:hAnsiTheme="majorHAnsi" w:cstheme="majorHAnsi"/>
          <w:sz w:val="18"/>
          <w:szCs w:val="18"/>
        </w:rPr>
        <w:t xml:space="preserve"> </w:t>
      </w:r>
      <w:r w:rsidRPr="006A1599">
        <w:rPr>
          <w:rFonts w:asciiTheme="majorHAnsi" w:hAnsiTheme="majorHAnsi" w:cstheme="majorHAnsi"/>
          <w:sz w:val="18"/>
          <w:szCs w:val="18"/>
          <w:lang w:val="en-US"/>
        </w:rPr>
        <w:t>Ibid</w:t>
      </w:r>
    </w:p>
  </w:footnote>
  <w:footnote w:id="55">
    <w:p w14:paraId="25CA0ADC" w14:textId="060E63CB" w:rsidR="006726FF" w:rsidRPr="009E7304" w:rsidRDefault="006726FF">
      <w:pPr>
        <w:pStyle w:val="FootnoteText"/>
        <w:rPr>
          <w:rFonts w:asciiTheme="majorHAnsi" w:hAnsiTheme="majorHAnsi" w:cstheme="majorHAnsi"/>
          <w:lang w:val="en-US"/>
        </w:rPr>
      </w:pPr>
      <w:r w:rsidRPr="009E7304">
        <w:rPr>
          <w:rStyle w:val="FootnoteReference"/>
          <w:rFonts w:asciiTheme="majorHAnsi" w:hAnsiTheme="majorHAnsi" w:cstheme="majorHAnsi"/>
          <w:sz w:val="18"/>
          <w:szCs w:val="18"/>
        </w:rPr>
        <w:footnoteRef/>
      </w:r>
      <w:r w:rsidRPr="009E7304">
        <w:rPr>
          <w:rFonts w:asciiTheme="majorHAnsi" w:hAnsiTheme="majorHAnsi" w:cstheme="majorHAnsi"/>
          <w:sz w:val="18"/>
          <w:szCs w:val="18"/>
        </w:rPr>
        <w:t xml:space="preserve"> </w:t>
      </w:r>
      <w:r w:rsidR="009E7304" w:rsidRPr="009E7304">
        <w:rPr>
          <w:rFonts w:asciiTheme="majorHAnsi" w:hAnsiTheme="majorHAnsi" w:cstheme="majorHAnsi"/>
          <w:sz w:val="18"/>
          <w:szCs w:val="18"/>
        </w:rPr>
        <w:t xml:space="preserve">Submissions of Counsel Assisting following </w:t>
      </w:r>
      <w:proofErr w:type="gramStart"/>
      <w:r w:rsidR="009E7304" w:rsidRPr="009E7304">
        <w:rPr>
          <w:rFonts w:asciiTheme="majorHAnsi" w:hAnsiTheme="majorHAnsi" w:cstheme="majorHAnsi"/>
          <w:sz w:val="18"/>
          <w:szCs w:val="18"/>
        </w:rPr>
        <w:t>Public</w:t>
      </w:r>
      <w:proofErr w:type="gramEnd"/>
      <w:r w:rsidR="009E7304" w:rsidRPr="009E7304">
        <w:rPr>
          <w:rFonts w:asciiTheme="majorHAnsi" w:hAnsiTheme="majorHAnsi" w:cstheme="majorHAnsi"/>
          <w:sz w:val="18"/>
          <w:szCs w:val="18"/>
        </w:rPr>
        <w:t xml:space="preserve"> hearing 7 – Barriers to a safe, quality and inclusive school education</w:t>
      </w:r>
      <w:r w:rsidR="008A7D32">
        <w:rPr>
          <w:rFonts w:asciiTheme="majorHAnsi" w:hAnsiTheme="majorHAnsi" w:cstheme="majorHAnsi"/>
          <w:sz w:val="18"/>
          <w:szCs w:val="18"/>
        </w:rPr>
        <w:t>, p103</w:t>
      </w:r>
    </w:p>
  </w:footnote>
  <w:footnote w:id="56">
    <w:p w14:paraId="1D9C8835" w14:textId="7655A5C1" w:rsidR="00AF54A8" w:rsidRPr="00AF54A8" w:rsidRDefault="00AF54A8">
      <w:pPr>
        <w:pStyle w:val="FootnoteText"/>
        <w:rPr>
          <w:rFonts w:asciiTheme="majorHAnsi" w:hAnsiTheme="majorHAnsi" w:cstheme="majorHAnsi"/>
          <w:lang w:val="en-US"/>
        </w:rPr>
      </w:pPr>
      <w:r w:rsidRPr="00AF54A8">
        <w:rPr>
          <w:rStyle w:val="FootnoteReference"/>
          <w:rFonts w:asciiTheme="majorHAnsi" w:hAnsiTheme="majorHAnsi" w:cstheme="majorHAnsi"/>
          <w:sz w:val="18"/>
          <w:szCs w:val="18"/>
        </w:rPr>
        <w:footnoteRef/>
      </w:r>
      <w:r w:rsidRPr="00AF54A8">
        <w:rPr>
          <w:rFonts w:asciiTheme="majorHAnsi" w:hAnsiTheme="majorHAnsi" w:cstheme="majorHAnsi"/>
          <w:sz w:val="18"/>
          <w:szCs w:val="18"/>
        </w:rPr>
        <w:t xml:space="preserve"> </w:t>
      </w:r>
      <w:r w:rsidRPr="00AF54A8">
        <w:rPr>
          <w:rFonts w:asciiTheme="majorHAnsi" w:hAnsiTheme="majorHAnsi" w:cstheme="majorHAnsi"/>
          <w:sz w:val="18"/>
          <w:szCs w:val="18"/>
          <w:lang w:val="en-US"/>
        </w:rPr>
        <w:t>Ibid, p101</w:t>
      </w:r>
    </w:p>
  </w:footnote>
  <w:footnote w:id="57">
    <w:p w14:paraId="3971DC0F" w14:textId="77777777" w:rsidR="00DB180D" w:rsidRPr="001159A9" w:rsidRDefault="00DB180D" w:rsidP="00DB180D">
      <w:pPr>
        <w:pStyle w:val="FootnoteText"/>
        <w:rPr>
          <w:rFonts w:asciiTheme="majorHAnsi" w:hAnsiTheme="majorHAnsi" w:cstheme="majorHAnsi"/>
          <w:sz w:val="18"/>
          <w:szCs w:val="18"/>
          <w:lang w:val="en-US"/>
        </w:rPr>
      </w:pPr>
      <w:r w:rsidRPr="001159A9">
        <w:rPr>
          <w:rStyle w:val="FootnoteReference"/>
          <w:rFonts w:asciiTheme="majorHAnsi" w:hAnsiTheme="majorHAnsi" w:cstheme="majorHAnsi"/>
          <w:sz w:val="18"/>
          <w:szCs w:val="18"/>
        </w:rPr>
        <w:footnoteRef/>
      </w:r>
      <w:r w:rsidRPr="001159A9">
        <w:rPr>
          <w:rFonts w:asciiTheme="majorHAnsi" w:hAnsiTheme="majorHAnsi" w:cstheme="majorHAnsi"/>
          <w:sz w:val="18"/>
          <w:szCs w:val="18"/>
        </w:rPr>
        <w:t xml:space="preserve"> Budget Estimates 2020-2021 Questions taken on notice during the hearing; Education and Early Childhood Learning, p75</w:t>
      </w:r>
    </w:p>
  </w:footnote>
  <w:footnote w:id="58">
    <w:p w14:paraId="6013EF7C" w14:textId="77777777" w:rsidR="00DB180D" w:rsidRPr="001159A9" w:rsidRDefault="00DB180D" w:rsidP="00DB180D">
      <w:pPr>
        <w:pStyle w:val="FootnoteText"/>
        <w:rPr>
          <w:sz w:val="18"/>
          <w:szCs w:val="18"/>
          <w:lang w:val="en-US"/>
        </w:rPr>
      </w:pPr>
      <w:r w:rsidRPr="001159A9">
        <w:rPr>
          <w:rStyle w:val="FootnoteReference"/>
          <w:rFonts w:asciiTheme="majorHAnsi" w:hAnsiTheme="majorHAnsi" w:cstheme="majorHAnsi"/>
          <w:sz w:val="18"/>
          <w:szCs w:val="18"/>
        </w:rPr>
        <w:footnoteRef/>
      </w:r>
      <w:r w:rsidRPr="001159A9">
        <w:rPr>
          <w:rFonts w:asciiTheme="majorHAnsi" w:hAnsiTheme="majorHAnsi" w:cstheme="majorHAnsi"/>
          <w:sz w:val="18"/>
          <w:szCs w:val="18"/>
        </w:rPr>
        <w:t xml:space="preserve"> </w:t>
      </w:r>
      <w:r w:rsidRPr="001159A9">
        <w:rPr>
          <w:rFonts w:asciiTheme="majorHAnsi" w:hAnsiTheme="majorHAnsi" w:cstheme="majorHAnsi"/>
          <w:sz w:val="18"/>
          <w:szCs w:val="18"/>
          <w:lang w:val="en-US"/>
        </w:rPr>
        <w:t>Ibid, p77</w:t>
      </w:r>
    </w:p>
  </w:footnote>
  <w:footnote w:id="59">
    <w:p w14:paraId="77D73F2F" w14:textId="77777777" w:rsidR="00DB180D" w:rsidRPr="001159A9" w:rsidRDefault="00DB180D" w:rsidP="00DB180D">
      <w:pPr>
        <w:pStyle w:val="FootnoteText"/>
        <w:rPr>
          <w:sz w:val="18"/>
          <w:szCs w:val="18"/>
          <w:lang w:val="en-US"/>
        </w:rPr>
      </w:pPr>
      <w:r w:rsidRPr="001159A9">
        <w:rPr>
          <w:rStyle w:val="FootnoteReference"/>
          <w:sz w:val="18"/>
          <w:szCs w:val="18"/>
        </w:rPr>
        <w:footnoteRef/>
      </w:r>
      <w:r w:rsidRPr="001159A9">
        <w:rPr>
          <w:sz w:val="18"/>
          <w:szCs w:val="18"/>
        </w:rPr>
        <w:t xml:space="preserve"> </w:t>
      </w:r>
      <w:r w:rsidRPr="001159A9">
        <w:rPr>
          <w:rFonts w:asciiTheme="majorHAnsi" w:hAnsiTheme="majorHAnsi" w:cstheme="majorHAnsi"/>
          <w:sz w:val="18"/>
          <w:szCs w:val="18"/>
        </w:rPr>
        <w:t>Budget Estimates 2020-2021 Supplementary Questions; Education and Early Childhood Learning, p16</w:t>
      </w:r>
    </w:p>
  </w:footnote>
  <w:footnote w:id="60">
    <w:p w14:paraId="179FF7CC" w14:textId="77777777" w:rsidR="00DB180D" w:rsidRPr="00083EE2" w:rsidRDefault="00DB180D" w:rsidP="00DB180D">
      <w:pPr>
        <w:pStyle w:val="FootnoteText"/>
        <w:rPr>
          <w:lang w:val="en-US"/>
        </w:rPr>
      </w:pPr>
      <w:r w:rsidRPr="001159A9">
        <w:rPr>
          <w:rStyle w:val="FootnoteReference"/>
          <w:sz w:val="18"/>
          <w:szCs w:val="18"/>
        </w:rPr>
        <w:footnoteRef/>
      </w:r>
      <w:r w:rsidRPr="001159A9">
        <w:rPr>
          <w:sz w:val="18"/>
          <w:szCs w:val="18"/>
        </w:rPr>
        <w:t xml:space="preserve"> </w:t>
      </w:r>
      <w:r w:rsidRPr="001159A9">
        <w:rPr>
          <w:rFonts w:asciiTheme="majorHAnsi" w:hAnsiTheme="majorHAnsi" w:cstheme="majorHAnsi"/>
          <w:sz w:val="18"/>
          <w:szCs w:val="18"/>
        </w:rPr>
        <w:t>https://www.brisbanetimes.com.au/politics/queensland/school-suspensions-expulsions-jump-12-per-cent-but-minister-says-that-s-good-20190503-p51jy4.html</w:t>
      </w:r>
    </w:p>
  </w:footnote>
  <w:footnote w:id="61">
    <w:p w14:paraId="6EF1FB30" w14:textId="77777777" w:rsidR="00DB180D" w:rsidRPr="001159A9" w:rsidRDefault="00DB180D" w:rsidP="00DB180D">
      <w:pPr>
        <w:pStyle w:val="FootnoteText"/>
        <w:rPr>
          <w:sz w:val="18"/>
          <w:szCs w:val="18"/>
          <w:lang w:val="en-US"/>
        </w:rPr>
      </w:pPr>
      <w:r w:rsidRPr="001159A9">
        <w:rPr>
          <w:rStyle w:val="FootnoteReference"/>
          <w:sz w:val="18"/>
          <w:szCs w:val="18"/>
        </w:rPr>
        <w:footnoteRef/>
      </w:r>
      <w:r w:rsidRPr="001159A9">
        <w:rPr>
          <w:sz w:val="18"/>
          <w:szCs w:val="18"/>
        </w:rPr>
        <w:t xml:space="preserve"> </w:t>
      </w:r>
      <w:r w:rsidRPr="001159A9">
        <w:rPr>
          <w:rFonts w:asciiTheme="majorHAnsi" w:hAnsiTheme="majorHAnsi" w:cstheme="majorHAnsi"/>
          <w:sz w:val="18"/>
          <w:szCs w:val="18"/>
          <w:lang w:val="en-US"/>
        </w:rPr>
        <w:t xml:space="preserve">Graham et al. (2020). </w:t>
      </w:r>
      <w:r w:rsidRPr="001159A9">
        <w:rPr>
          <w:rFonts w:asciiTheme="majorHAnsi" w:hAnsiTheme="majorHAnsi" w:cstheme="majorHAnsi"/>
          <w:i/>
          <w:iCs/>
          <w:sz w:val="18"/>
          <w:szCs w:val="18"/>
          <w:lang w:val="en-US"/>
        </w:rPr>
        <w:t>Inquiry into Suspension, Exclusion and Expulsion Processes in South Australian government schools: Final Report</w:t>
      </w:r>
      <w:r w:rsidRPr="001159A9">
        <w:rPr>
          <w:rFonts w:asciiTheme="majorHAnsi" w:hAnsiTheme="majorHAnsi" w:cstheme="majorHAnsi"/>
          <w:sz w:val="18"/>
          <w:szCs w:val="18"/>
          <w:lang w:val="en-US"/>
        </w:rPr>
        <w:t>. The Centre for Inclusive Education, QUT: Brisbane, QLD</w:t>
      </w:r>
    </w:p>
  </w:footnote>
  <w:footnote w:id="62">
    <w:p w14:paraId="543E5579" w14:textId="77777777" w:rsidR="00DB180D" w:rsidRPr="001159A9" w:rsidRDefault="00DB180D" w:rsidP="00DB180D">
      <w:pPr>
        <w:pStyle w:val="FootnoteText"/>
        <w:rPr>
          <w:rFonts w:asciiTheme="majorHAnsi" w:hAnsiTheme="majorHAnsi" w:cstheme="majorHAnsi"/>
          <w:sz w:val="18"/>
          <w:szCs w:val="18"/>
          <w:lang w:val="en-US"/>
        </w:rPr>
      </w:pPr>
      <w:r w:rsidRPr="001159A9">
        <w:rPr>
          <w:rStyle w:val="FootnoteReference"/>
          <w:rFonts w:asciiTheme="majorHAnsi" w:hAnsiTheme="majorHAnsi" w:cstheme="majorHAnsi"/>
          <w:sz w:val="18"/>
          <w:szCs w:val="18"/>
        </w:rPr>
        <w:footnoteRef/>
      </w:r>
      <w:r w:rsidRPr="001159A9">
        <w:rPr>
          <w:rFonts w:asciiTheme="majorHAnsi" w:hAnsiTheme="majorHAnsi" w:cstheme="majorHAnsi"/>
          <w:sz w:val="18"/>
          <w:szCs w:val="18"/>
        </w:rPr>
        <w:t xml:space="preserve"> </w:t>
      </w:r>
      <w:r w:rsidRPr="001159A9">
        <w:rPr>
          <w:rFonts w:asciiTheme="majorHAnsi" w:hAnsiTheme="majorHAnsi" w:cstheme="majorHAnsi"/>
          <w:sz w:val="18"/>
          <w:szCs w:val="18"/>
          <w:lang w:val="en-US"/>
        </w:rPr>
        <w:t>Ibid, p9</w:t>
      </w:r>
    </w:p>
  </w:footnote>
  <w:footnote w:id="63">
    <w:p w14:paraId="7661F8AB" w14:textId="77777777" w:rsidR="00DB180D" w:rsidRPr="001159A9" w:rsidRDefault="00DB180D" w:rsidP="00DB180D">
      <w:pPr>
        <w:pStyle w:val="FootnoteText"/>
        <w:rPr>
          <w:sz w:val="18"/>
          <w:szCs w:val="18"/>
          <w:lang w:val="en-US"/>
        </w:rPr>
      </w:pPr>
      <w:r w:rsidRPr="001159A9">
        <w:rPr>
          <w:rStyle w:val="FootnoteReference"/>
          <w:sz w:val="18"/>
          <w:szCs w:val="18"/>
        </w:rPr>
        <w:footnoteRef/>
      </w:r>
      <w:r w:rsidRPr="001159A9">
        <w:rPr>
          <w:sz w:val="18"/>
          <w:szCs w:val="18"/>
        </w:rPr>
        <w:t xml:space="preserve"> </w:t>
      </w:r>
      <w:r w:rsidRPr="001159A9">
        <w:rPr>
          <w:rFonts w:asciiTheme="majorHAnsi" w:hAnsiTheme="majorHAnsi" w:cstheme="majorHAnsi"/>
          <w:sz w:val="18"/>
          <w:szCs w:val="18"/>
          <w:lang w:val="en-US"/>
        </w:rPr>
        <w:t xml:space="preserve">Graham et al. (2020). </w:t>
      </w:r>
      <w:r w:rsidRPr="001159A9">
        <w:rPr>
          <w:rFonts w:asciiTheme="majorHAnsi" w:hAnsiTheme="majorHAnsi" w:cstheme="majorHAnsi"/>
          <w:i/>
          <w:iCs/>
          <w:sz w:val="18"/>
          <w:szCs w:val="18"/>
          <w:lang w:val="en-US"/>
        </w:rPr>
        <w:t>Inquiry into Suspension, Exclusion and Expulsion Processes in South Australian government schools: Final Report</w:t>
      </w:r>
      <w:r w:rsidRPr="001159A9">
        <w:rPr>
          <w:rFonts w:asciiTheme="majorHAnsi" w:hAnsiTheme="majorHAnsi" w:cstheme="majorHAnsi"/>
          <w:sz w:val="18"/>
          <w:szCs w:val="18"/>
          <w:lang w:val="en-US"/>
        </w:rPr>
        <w:t>. The Centre for Inclusive Education, QUT: Brisbane, QLD, p268</w:t>
      </w:r>
    </w:p>
  </w:footnote>
  <w:footnote w:id="64">
    <w:p w14:paraId="278D9FAC" w14:textId="77777777" w:rsidR="00DB180D" w:rsidRPr="001159A9" w:rsidRDefault="00DB180D" w:rsidP="00DB180D">
      <w:pPr>
        <w:pStyle w:val="FootnoteText"/>
        <w:rPr>
          <w:sz w:val="18"/>
          <w:szCs w:val="18"/>
          <w:lang w:val="en-US"/>
        </w:rPr>
      </w:pPr>
      <w:r w:rsidRPr="001159A9">
        <w:rPr>
          <w:rStyle w:val="FootnoteReference"/>
          <w:sz w:val="18"/>
          <w:szCs w:val="18"/>
        </w:rPr>
        <w:footnoteRef/>
      </w:r>
      <w:r w:rsidRPr="001159A9">
        <w:rPr>
          <w:sz w:val="18"/>
          <w:szCs w:val="18"/>
        </w:rPr>
        <w:t xml:space="preserve"> </w:t>
      </w:r>
      <w:r w:rsidRPr="001159A9">
        <w:rPr>
          <w:rFonts w:asciiTheme="majorHAnsi" w:hAnsiTheme="majorHAnsi" w:cstheme="majorHAnsi"/>
          <w:sz w:val="18"/>
          <w:szCs w:val="18"/>
          <w:lang w:val="en-US"/>
        </w:rPr>
        <w:t>Ibid, p278</w:t>
      </w:r>
    </w:p>
  </w:footnote>
  <w:footnote w:id="65">
    <w:p w14:paraId="7F336485" w14:textId="77777777" w:rsidR="00DB180D" w:rsidRPr="001159A9" w:rsidRDefault="00DB180D" w:rsidP="00DB180D">
      <w:pPr>
        <w:pStyle w:val="FootnoteText"/>
        <w:rPr>
          <w:sz w:val="18"/>
          <w:szCs w:val="18"/>
          <w:lang w:val="en-US"/>
        </w:rPr>
      </w:pPr>
      <w:r w:rsidRPr="001159A9">
        <w:rPr>
          <w:rStyle w:val="FootnoteReference"/>
          <w:sz w:val="18"/>
          <w:szCs w:val="18"/>
        </w:rPr>
        <w:footnoteRef/>
      </w:r>
      <w:r w:rsidRPr="001159A9">
        <w:rPr>
          <w:sz w:val="18"/>
          <w:szCs w:val="18"/>
        </w:rPr>
        <w:t xml:space="preserve"> </w:t>
      </w:r>
      <w:r w:rsidRPr="001159A9">
        <w:rPr>
          <w:rFonts w:asciiTheme="majorHAnsi" w:hAnsiTheme="majorHAnsi" w:cstheme="majorHAnsi"/>
          <w:sz w:val="18"/>
          <w:szCs w:val="18"/>
          <w:lang w:val="en-US"/>
        </w:rPr>
        <w:t>Ibid</w:t>
      </w:r>
    </w:p>
  </w:footnote>
  <w:footnote w:id="66">
    <w:p w14:paraId="71A436C1" w14:textId="77777777" w:rsidR="00DB180D" w:rsidRPr="001159A9" w:rsidRDefault="00DB180D" w:rsidP="00DB180D">
      <w:pPr>
        <w:pStyle w:val="FootnoteText"/>
        <w:rPr>
          <w:rFonts w:asciiTheme="majorHAnsi" w:hAnsiTheme="majorHAnsi" w:cstheme="majorHAnsi"/>
          <w:sz w:val="18"/>
          <w:szCs w:val="18"/>
          <w:lang w:val="en-US"/>
        </w:rPr>
      </w:pPr>
      <w:r w:rsidRPr="001159A9">
        <w:rPr>
          <w:rStyle w:val="FootnoteReference"/>
          <w:rFonts w:asciiTheme="majorHAnsi" w:hAnsiTheme="majorHAnsi" w:cstheme="majorHAnsi"/>
          <w:sz w:val="18"/>
          <w:szCs w:val="18"/>
        </w:rPr>
        <w:footnoteRef/>
      </w:r>
      <w:r w:rsidRPr="001159A9">
        <w:rPr>
          <w:rFonts w:asciiTheme="majorHAnsi" w:hAnsiTheme="majorHAnsi" w:cstheme="majorHAnsi"/>
          <w:sz w:val="18"/>
          <w:szCs w:val="18"/>
        </w:rPr>
        <w:t xml:space="preserve"> </w:t>
      </w:r>
      <w:r w:rsidRPr="001159A9">
        <w:rPr>
          <w:rFonts w:asciiTheme="majorHAnsi" w:hAnsiTheme="majorHAnsi" w:cstheme="majorHAnsi"/>
          <w:sz w:val="18"/>
          <w:szCs w:val="18"/>
          <w:lang w:val="en-US"/>
        </w:rPr>
        <w:t>Ibid p 375</w:t>
      </w:r>
    </w:p>
  </w:footnote>
  <w:footnote w:id="67">
    <w:p w14:paraId="43D56E71" w14:textId="77777777" w:rsidR="00DB180D" w:rsidRPr="001159A9" w:rsidRDefault="00DB180D" w:rsidP="00DB180D">
      <w:pPr>
        <w:pStyle w:val="FootnoteText"/>
        <w:rPr>
          <w:rFonts w:asciiTheme="majorHAnsi" w:hAnsiTheme="majorHAnsi" w:cstheme="majorHAnsi"/>
        </w:rPr>
      </w:pPr>
      <w:r w:rsidRPr="001159A9">
        <w:rPr>
          <w:rStyle w:val="FootnoteReference"/>
          <w:rFonts w:asciiTheme="majorHAnsi" w:hAnsiTheme="majorHAnsi" w:cstheme="majorHAnsi"/>
          <w:sz w:val="18"/>
          <w:szCs w:val="18"/>
        </w:rPr>
        <w:footnoteRef/>
      </w:r>
      <w:r w:rsidRPr="001159A9">
        <w:rPr>
          <w:rFonts w:asciiTheme="majorHAnsi" w:hAnsiTheme="majorHAnsi" w:cstheme="majorHAnsi"/>
          <w:sz w:val="18"/>
          <w:szCs w:val="18"/>
        </w:rPr>
        <w:t xml:space="preserve"> South Australia, </w:t>
      </w:r>
      <w:r w:rsidRPr="001159A9">
        <w:rPr>
          <w:rFonts w:asciiTheme="majorHAnsi" w:hAnsiTheme="majorHAnsi" w:cstheme="majorHAnsi"/>
          <w:i/>
          <w:iCs/>
          <w:sz w:val="18"/>
          <w:szCs w:val="18"/>
        </w:rPr>
        <w:t>Parliamentary Debates</w:t>
      </w:r>
      <w:r w:rsidRPr="001159A9">
        <w:rPr>
          <w:rFonts w:asciiTheme="majorHAnsi" w:hAnsiTheme="majorHAnsi" w:cstheme="majorHAnsi"/>
          <w:sz w:val="18"/>
          <w:szCs w:val="18"/>
        </w:rPr>
        <w:t>, House of Assembly, 30 March 2021, 4796.</w:t>
      </w:r>
    </w:p>
  </w:footnote>
  <w:footnote w:id="68">
    <w:p w14:paraId="6DFAC747" w14:textId="77777777" w:rsidR="00DB180D" w:rsidRPr="00BB727B" w:rsidRDefault="00DB180D" w:rsidP="00DB180D">
      <w:pPr>
        <w:pStyle w:val="FootnoteText"/>
        <w:rPr>
          <w:lang w:val="en-US"/>
        </w:rPr>
      </w:pPr>
      <w:r>
        <w:rPr>
          <w:rStyle w:val="FootnoteReference"/>
        </w:rPr>
        <w:footnoteRef/>
      </w:r>
      <w:r>
        <w:t xml:space="preserve"> </w:t>
      </w:r>
      <w:r w:rsidRPr="00610BC6">
        <w:rPr>
          <w:rFonts w:asciiTheme="majorHAnsi" w:hAnsiTheme="majorHAnsi" w:cstheme="majorHAnsi"/>
          <w:color w:val="222222"/>
          <w:sz w:val="18"/>
          <w:szCs w:val="18"/>
          <w:shd w:val="clear" w:color="auto" w:fill="FFFFFF"/>
        </w:rPr>
        <w:t xml:space="preserve">Graham, L. J., Killingly, C., Laurens, K. R., &amp; </w:t>
      </w:r>
      <w:proofErr w:type="spellStart"/>
      <w:r w:rsidRPr="00610BC6">
        <w:rPr>
          <w:rFonts w:asciiTheme="majorHAnsi" w:hAnsiTheme="majorHAnsi" w:cstheme="majorHAnsi"/>
          <w:color w:val="222222"/>
          <w:sz w:val="18"/>
          <w:szCs w:val="18"/>
          <w:shd w:val="clear" w:color="auto" w:fill="FFFFFF"/>
        </w:rPr>
        <w:t>Sweller</w:t>
      </w:r>
      <w:proofErr w:type="spellEnd"/>
      <w:r w:rsidRPr="00610BC6">
        <w:rPr>
          <w:rFonts w:asciiTheme="majorHAnsi" w:hAnsiTheme="majorHAnsi" w:cstheme="majorHAnsi"/>
          <w:color w:val="222222"/>
          <w:sz w:val="18"/>
          <w:szCs w:val="18"/>
          <w:shd w:val="clear" w:color="auto" w:fill="FFFFFF"/>
        </w:rPr>
        <w:t xml:space="preserve">, N. (2022). Overrepresentation of Indigenous students in school suspension, exclusion, and enrolment cancellation in Queensland: is there a case for systemic inclusive school </w:t>
      </w:r>
      <w:proofErr w:type="gramStart"/>
      <w:r w:rsidRPr="00610BC6">
        <w:rPr>
          <w:rFonts w:asciiTheme="majorHAnsi" w:hAnsiTheme="majorHAnsi" w:cstheme="majorHAnsi"/>
          <w:color w:val="222222"/>
          <w:sz w:val="18"/>
          <w:szCs w:val="18"/>
          <w:shd w:val="clear" w:color="auto" w:fill="FFFFFF"/>
        </w:rPr>
        <w:t>reform?.</w:t>
      </w:r>
      <w:proofErr w:type="gramEnd"/>
      <w:r w:rsidRPr="00610BC6">
        <w:rPr>
          <w:rFonts w:asciiTheme="majorHAnsi" w:hAnsiTheme="majorHAnsi" w:cstheme="majorHAnsi"/>
          <w:color w:val="222222"/>
          <w:sz w:val="18"/>
          <w:szCs w:val="18"/>
          <w:shd w:val="clear" w:color="auto" w:fill="FFFFFF"/>
        </w:rPr>
        <w:t> </w:t>
      </w:r>
      <w:r w:rsidRPr="00610BC6">
        <w:rPr>
          <w:rFonts w:asciiTheme="majorHAnsi" w:hAnsiTheme="majorHAnsi" w:cstheme="majorHAnsi"/>
          <w:i/>
          <w:iCs/>
          <w:color w:val="222222"/>
          <w:sz w:val="18"/>
          <w:szCs w:val="18"/>
          <w:shd w:val="clear" w:color="auto" w:fill="FFFFFF"/>
        </w:rPr>
        <w:t>The Australian Educational Researcher</w:t>
      </w:r>
      <w:r w:rsidRPr="00610BC6">
        <w:rPr>
          <w:rFonts w:asciiTheme="majorHAnsi" w:hAnsiTheme="majorHAnsi" w:cstheme="majorHAnsi"/>
          <w:color w:val="222222"/>
          <w:sz w:val="18"/>
          <w:szCs w:val="18"/>
          <w:shd w:val="clear" w:color="auto" w:fill="FFFFFF"/>
        </w:rPr>
        <w:t>, 1-35</w:t>
      </w:r>
      <w:r>
        <w:rPr>
          <w:rFonts w:asciiTheme="majorHAnsi" w:hAnsiTheme="majorHAnsi" w:cstheme="majorHAnsi"/>
          <w:color w:val="222222"/>
          <w:sz w:val="18"/>
          <w:szCs w:val="18"/>
          <w:shd w:val="clear" w:color="auto" w:fill="FFFFFF"/>
        </w:rPr>
        <w:t>; p7</w:t>
      </w:r>
    </w:p>
  </w:footnote>
  <w:footnote w:id="69">
    <w:p w14:paraId="4E8A5D69" w14:textId="77777777" w:rsidR="00A327F7" w:rsidRPr="00997A80" w:rsidRDefault="00A327F7" w:rsidP="00A327F7">
      <w:pPr>
        <w:pStyle w:val="FootnoteText"/>
        <w:rPr>
          <w:rFonts w:asciiTheme="majorHAnsi" w:hAnsiTheme="majorHAnsi" w:cstheme="majorHAnsi"/>
          <w:sz w:val="18"/>
          <w:szCs w:val="18"/>
          <w:lang w:val="en-US"/>
        </w:rPr>
      </w:pPr>
      <w:r w:rsidRPr="00997A80">
        <w:rPr>
          <w:rStyle w:val="FootnoteReference"/>
          <w:rFonts w:asciiTheme="majorHAnsi" w:hAnsiTheme="majorHAnsi" w:cstheme="majorHAnsi"/>
          <w:sz w:val="18"/>
          <w:szCs w:val="18"/>
        </w:rPr>
        <w:footnoteRef/>
      </w:r>
      <w:r w:rsidRPr="00997A80">
        <w:rPr>
          <w:rFonts w:asciiTheme="majorHAnsi" w:hAnsiTheme="majorHAnsi" w:cstheme="majorHAnsi"/>
          <w:sz w:val="18"/>
          <w:szCs w:val="18"/>
        </w:rPr>
        <w:t xml:space="preserve"> Deloitte Access Economics (February 2017) </w:t>
      </w:r>
      <w:r w:rsidRPr="00997A80">
        <w:rPr>
          <w:rFonts w:asciiTheme="majorHAnsi" w:hAnsiTheme="majorHAnsi" w:cstheme="majorHAnsi"/>
          <w:i/>
          <w:iCs/>
          <w:sz w:val="18"/>
          <w:szCs w:val="18"/>
        </w:rPr>
        <w:t>Review of education for students with disability in Queensland state schools</w:t>
      </w:r>
      <w:r w:rsidRPr="00997A80">
        <w:rPr>
          <w:rFonts w:asciiTheme="majorHAnsi" w:hAnsiTheme="majorHAnsi" w:cstheme="majorHAnsi"/>
          <w:sz w:val="18"/>
          <w:szCs w:val="18"/>
        </w:rPr>
        <w:t xml:space="preserve">, p106  </w:t>
      </w:r>
    </w:p>
  </w:footnote>
  <w:footnote w:id="70">
    <w:p w14:paraId="566ED292" w14:textId="78675437" w:rsidR="00D66F66" w:rsidRPr="00D66F66" w:rsidRDefault="00D66F66">
      <w:pPr>
        <w:pStyle w:val="FootnoteText"/>
        <w:rPr>
          <w:lang w:val="en-US"/>
        </w:rPr>
      </w:pPr>
      <w:r>
        <w:rPr>
          <w:rStyle w:val="FootnoteReference"/>
        </w:rPr>
        <w:footnoteRef/>
      </w:r>
      <w:r>
        <w:t xml:space="preserve"> </w:t>
      </w:r>
      <w:bookmarkStart w:id="2" w:name="_Hlk85720668"/>
      <w:r w:rsidRPr="006C3441">
        <w:rPr>
          <w:rFonts w:asciiTheme="majorHAnsi" w:hAnsiTheme="majorHAnsi" w:cstheme="majorHAnsi"/>
          <w:sz w:val="18"/>
          <w:szCs w:val="18"/>
          <w:lang w:val="en-US"/>
        </w:rPr>
        <w:t xml:space="preserve">Graham, L. (2020) </w:t>
      </w:r>
      <w:r w:rsidRPr="006C3441">
        <w:rPr>
          <w:rFonts w:asciiTheme="majorHAnsi" w:hAnsiTheme="majorHAnsi" w:cstheme="majorHAnsi"/>
          <w:i/>
          <w:iCs/>
          <w:sz w:val="18"/>
          <w:szCs w:val="18"/>
          <w:lang w:val="en-US"/>
        </w:rPr>
        <w:t>Questioning the impacts of legislative change on the use of exclusionary discipline in the context of broader system reforms; a Queensland case study</w:t>
      </w:r>
      <w:r w:rsidRPr="006C3441">
        <w:rPr>
          <w:rFonts w:asciiTheme="majorHAnsi" w:hAnsiTheme="majorHAnsi" w:cstheme="majorHAnsi"/>
          <w:sz w:val="18"/>
          <w:szCs w:val="18"/>
          <w:lang w:val="en-US"/>
        </w:rPr>
        <w:t>; International Journal of Inclusive Education, 24:14, 1473-1493</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82CC" w14:textId="63AC79C8" w:rsidR="00BE776E" w:rsidRDefault="00BE776E" w:rsidP="00BE776E">
    <w:pPr>
      <w:pStyle w:val="Header"/>
      <w:tabs>
        <w:tab w:val="clear" w:pos="4513"/>
        <w:tab w:val="clear" w:pos="9026"/>
        <w:tab w:val="left" w:pos="6150"/>
      </w:tabs>
    </w:pPr>
    <w:r w:rsidRPr="0087463F">
      <w:rPr>
        <w:rFonts w:ascii="Calibri Light" w:hAnsi="Calibri Light"/>
        <w:i/>
        <w:noProof/>
        <w:szCs w:val="22"/>
        <w:lang w:eastAsia="en-AU"/>
      </w:rPr>
      <mc:AlternateContent>
        <mc:Choice Requires="wps">
          <w:drawing>
            <wp:anchor distT="0" distB="0" distL="114300" distR="114300" simplePos="0" relativeHeight="251659264" behindDoc="0" locked="0" layoutInCell="1" allowOverlap="1" wp14:anchorId="68849875" wp14:editId="017A1B46">
              <wp:simplePos x="0" y="0"/>
              <wp:positionH relativeFrom="column">
                <wp:posOffset>3209925</wp:posOffset>
              </wp:positionH>
              <wp:positionV relativeFrom="paragraph">
                <wp:posOffset>-3982720</wp:posOffset>
              </wp:positionV>
              <wp:extent cx="77470" cy="7830185"/>
              <wp:effectExtent l="0" t="9208" r="8573" b="8572"/>
              <wp:wrapSquare wrapText="bothSides"/>
              <wp:docPr id="5" name="Rectangle 5"/>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4573E7" id="Rectangle 5" o:spid="_x0000_s1026" style="position:absolute;margin-left:252.75pt;margin-top:-313.6pt;width:6.1pt;height:616.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" fillcolor="red" stroked="f" strokeweight="1pt">
              <w10:wrap type="squar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FD0B" w14:textId="590469BF" w:rsidR="007E1F04" w:rsidRPr="00627529" w:rsidRDefault="00EB5969" w:rsidP="007E1F04">
    <w:pPr>
      <w:pStyle w:val="Heading1"/>
      <w:jc w:val="right"/>
      <w:rPr>
        <w:rFonts w:cstheme="minorHAnsi"/>
        <w:color w:val="404040" w:themeColor="text1" w:themeTint="BF"/>
      </w:rPr>
    </w:pPr>
    <w:r>
      <w:rPr>
        <w:rFonts w:cstheme="minorHAnsi"/>
        <w:color w:val="404040" w:themeColor="text1" w:themeTint="BF"/>
      </w:rPr>
      <w:t>16</w:t>
    </w:r>
    <w:r w:rsidRPr="00EB5969">
      <w:rPr>
        <w:rFonts w:cstheme="minorHAnsi"/>
        <w:color w:val="404040" w:themeColor="text1" w:themeTint="BF"/>
        <w:vertAlign w:val="superscript"/>
      </w:rPr>
      <w:t>th</w:t>
    </w:r>
    <w:r>
      <w:rPr>
        <w:rFonts w:cstheme="minorHAnsi"/>
        <w:color w:val="404040" w:themeColor="text1" w:themeTint="BF"/>
      </w:rPr>
      <w:t xml:space="preserve"> </w:t>
    </w:r>
    <w:r w:rsidR="007E1F04" w:rsidRPr="00627529">
      <w:rPr>
        <w:rFonts w:cstheme="minorHAnsi"/>
        <w:color w:val="404040" w:themeColor="text1" w:themeTint="BF"/>
      </w:rPr>
      <w:t>February 2022</w:t>
    </w:r>
  </w:p>
  <w:p w14:paraId="551F0B51" w14:textId="522F28C7" w:rsidR="007E1F04" w:rsidRDefault="007E1F04">
    <w:pPr>
      <w:pStyle w:val="Header"/>
    </w:pPr>
  </w:p>
  <w:p w14:paraId="31FD1518" w14:textId="77777777" w:rsidR="007E1F04" w:rsidRDefault="007E1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774"/>
    <w:multiLevelType w:val="hybridMultilevel"/>
    <w:tmpl w:val="53148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0846F2"/>
    <w:multiLevelType w:val="hybridMultilevel"/>
    <w:tmpl w:val="9CB4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56220"/>
    <w:multiLevelType w:val="hybridMultilevel"/>
    <w:tmpl w:val="4AE8330C"/>
    <w:lvl w:ilvl="0" w:tplc="F85EF1D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A32EF8"/>
    <w:multiLevelType w:val="hybridMultilevel"/>
    <w:tmpl w:val="4ED25A22"/>
    <w:lvl w:ilvl="0" w:tplc="46189024">
      <w:start w:val="366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A943ED"/>
    <w:multiLevelType w:val="hybridMultilevel"/>
    <w:tmpl w:val="333AA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2714F"/>
    <w:multiLevelType w:val="hybridMultilevel"/>
    <w:tmpl w:val="28942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07919"/>
    <w:multiLevelType w:val="hybridMultilevel"/>
    <w:tmpl w:val="ECD07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6C6EA2"/>
    <w:multiLevelType w:val="hybridMultilevel"/>
    <w:tmpl w:val="40CAFF66"/>
    <w:lvl w:ilvl="0" w:tplc="46189024">
      <w:start w:val="3665"/>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30D7D94"/>
    <w:multiLevelType w:val="hybridMultilevel"/>
    <w:tmpl w:val="DF9873B2"/>
    <w:lvl w:ilvl="0" w:tplc="F85EF1DE">
      <w:start w:val="1"/>
      <w:numFmt w:val="bullet"/>
      <w:lvlText w:val=""/>
      <w:lvlJc w:val="left"/>
      <w:pPr>
        <w:ind w:left="720" w:hanging="360"/>
      </w:pPr>
      <w:rPr>
        <w:rFonts w:ascii="Symbol" w:hAnsi="Symbol" w:hint="default"/>
      </w:rPr>
    </w:lvl>
    <w:lvl w:ilvl="1" w:tplc="62E699CE">
      <w:start w:val="1"/>
      <w:numFmt w:val="bullet"/>
      <w:lvlText w:val="o"/>
      <w:lvlJc w:val="left"/>
      <w:pPr>
        <w:ind w:left="1440" w:hanging="360"/>
      </w:pPr>
      <w:rPr>
        <w:rFonts w:ascii="Courier New" w:hAnsi="Courier New" w:hint="default"/>
      </w:rPr>
    </w:lvl>
    <w:lvl w:ilvl="2" w:tplc="FC9CB578">
      <w:start w:val="1"/>
      <w:numFmt w:val="bullet"/>
      <w:lvlText w:val=""/>
      <w:lvlJc w:val="left"/>
      <w:pPr>
        <w:ind w:left="2160" w:hanging="360"/>
      </w:pPr>
      <w:rPr>
        <w:rFonts w:ascii="Wingdings" w:hAnsi="Wingdings" w:hint="default"/>
      </w:rPr>
    </w:lvl>
    <w:lvl w:ilvl="3" w:tplc="62584050">
      <w:start w:val="1"/>
      <w:numFmt w:val="bullet"/>
      <w:lvlText w:val=""/>
      <w:lvlJc w:val="left"/>
      <w:pPr>
        <w:ind w:left="2880" w:hanging="360"/>
      </w:pPr>
      <w:rPr>
        <w:rFonts w:ascii="Symbol" w:hAnsi="Symbol" w:hint="default"/>
      </w:rPr>
    </w:lvl>
    <w:lvl w:ilvl="4" w:tplc="D0A4CEB4">
      <w:start w:val="1"/>
      <w:numFmt w:val="bullet"/>
      <w:lvlText w:val="o"/>
      <w:lvlJc w:val="left"/>
      <w:pPr>
        <w:ind w:left="3600" w:hanging="360"/>
      </w:pPr>
      <w:rPr>
        <w:rFonts w:ascii="Courier New" w:hAnsi="Courier New" w:hint="default"/>
      </w:rPr>
    </w:lvl>
    <w:lvl w:ilvl="5" w:tplc="7472C0AE">
      <w:start w:val="1"/>
      <w:numFmt w:val="bullet"/>
      <w:lvlText w:val=""/>
      <w:lvlJc w:val="left"/>
      <w:pPr>
        <w:ind w:left="4320" w:hanging="360"/>
      </w:pPr>
      <w:rPr>
        <w:rFonts w:ascii="Wingdings" w:hAnsi="Wingdings" w:hint="default"/>
      </w:rPr>
    </w:lvl>
    <w:lvl w:ilvl="6" w:tplc="524EFBA6">
      <w:start w:val="1"/>
      <w:numFmt w:val="bullet"/>
      <w:lvlText w:val=""/>
      <w:lvlJc w:val="left"/>
      <w:pPr>
        <w:ind w:left="5040" w:hanging="360"/>
      </w:pPr>
      <w:rPr>
        <w:rFonts w:ascii="Symbol" w:hAnsi="Symbol" w:hint="default"/>
      </w:rPr>
    </w:lvl>
    <w:lvl w:ilvl="7" w:tplc="B4629CE4">
      <w:start w:val="1"/>
      <w:numFmt w:val="bullet"/>
      <w:lvlText w:val="o"/>
      <w:lvlJc w:val="left"/>
      <w:pPr>
        <w:ind w:left="5760" w:hanging="360"/>
      </w:pPr>
      <w:rPr>
        <w:rFonts w:ascii="Courier New" w:hAnsi="Courier New" w:hint="default"/>
      </w:rPr>
    </w:lvl>
    <w:lvl w:ilvl="8" w:tplc="6B285474">
      <w:start w:val="1"/>
      <w:numFmt w:val="bullet"/>
      <w:lvlText w:val=""/>
      <w:lvlJc w:val="left"/>
      <w:pPr>
        <w:ind w:left="6480" w:hanging="360"/>
      </w:pPr>
      <w:rPr>
        <w:rFonts w:ascii="Wingdings" w:hAnsi="Wingdings" w:hint="default"/>
      </w:rPr>
    </w:lvl>
  </w:abstractNum>
  <w:abstractNum w:abstractNumId="10" w15:restartNumberingAfterBreak="0">
    <w:nsid w:val="584B00F7"/>
    <w:multiLevelType w:val="hybridMultilevel"/>
    <w:tmpl w:val="446445A0"/>
    <w:lvl w:ilvl="0" w:tplc="46189024">
      <w:start w:val="366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6158E6"/>
    <w:multiLevelType w:val="hybridMultilevel"/>
    <w:tmpl w:val="51720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A45C90"/>
    <w:multiLevelType w:val="hybridMultilevel"/>
    <w:tmpl w:val="93DE5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514609"/>
    <w:multiLevelType w:val="hybridMultilevel"/>
    <w:tmpl w:val="06BA4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5"/>
  </w:num>
  <w:num w:numId="6">
    <w:abstractNumId w:val="6"/>
  </w:num>
  <w:num w:numId="7">
    <w:abstractNumId w:val="1"/>
  </w:num>
  <w:num w:numId="8">
    <w:abstractNumId w:val="10"/>
  </w:num>
  <w:num w:numId="9">
    <w:abstractNumId w:val="7"/>
  </w:num>
  <w:num w:numId="10">
    <w:abstractNumId w:val="3"/>
  </w:num>
  <w:num w:numId="11">
    <w:abstractNumId w:val="12"/>
  </w:num>
  <w:num w:numId="12">
    <w:abstractNumId w:val="4"/>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08ED"/>
    <w:rsid w:val="0000092F"/>
    <w:rsid w:val="00003345"/>
    <w:rsid w:val="0000388D"/>
    <w:rsid w:val="00005ACC"/>
    <w:rsid w:val="00006492"/>
    <w:rsid w:val="00007C53"/>
    <w:rsid w:val="00007C6E"/>
    <w:rsid w:val="000101C5"/>
    <w:rsid w:val="000107A7"/>
    <w:rsid w:val="00011297"/>
    <w:rsid w:val="00011799"/>
    <w:rsid w:val="00013CBF"/>
    <w:rsid w:val="000145F5"/>
    <w:rsid w:val="000201B4"/>
    <w:rsid w:val="00021133"/>
    <w:rsid w:val="00023D74"/>
    <w:rsid w:val="00025E2E"/>
    <w:rsid w:val="00026945"/>
    <w:rsid w:val="00026BD1"/>
    <w:rsid w:val="000273F8"/>
    <w:rsid w:val="0003180F"/>
    <w:rsid w:val="0003208D"/>
    <w:rsid w:val="000326FB"/>
    <w:rsid w:val="000335B7"/>
    <w:rsid w:val="00033A5F"/>
    <w:rsid w:val="00035379"/>
    <w:rsid w:val="000354DE"/>
    <w:rsid w:val="00035967"/>
    <w:rsid w:val="00035F34"/>
    <w:rsid w:val="0003715F"/>
    <w:rsid w:val="00041064"/>
    <w:rsid w:val="0004113B"/>
    <w:rsid w:val="00041720"/>
    <w:rsid w:val="00043161"/>
    <w:rsid w:val="000432C7"/>
    <w:rsid w:val="00044A10"/>
    <w:rsid w:val="00046B25"/>
    <w:rsid w:val="00051D50"/>
    <w:rsid w:val="000525FE"/>
    <w:rsid w:val="000529E1"/>
    <w:rsid w:val="00053728"/>
    <w:rsid w:val="00053825"/>
    <w:rsid w:val="00054CD7"/>
    <w:rsid w:val="00054DE2"/>
    <w:rsid w:val="000552C3"/>
    <w:rsid w:val="000604FE"/>
    <w:rsid w:val="00060D1B"/>
    <w:rsid w:val="0006370D"/>
    <w:rsid w:val="00065D1A"/>
    <w:rsid w:val="00066343"/>
    <w:rsid w:val="00070905"/>
    <w:rsid w:val="0007124D"/>
    <w:rsid w:val="00071FCD"/>
    <w:rsid w:val="00072671"/>
    <w:rsid w:val="00073A7D"/>
    <w:rsid w:val="000749C6"/>
    <w:rsid w:val="000752E2"/>
    <w:rsid w:val="00076781"/>
    <w:rsid w:val="00076A27"/>
    <w:rsid w:val="000776F6"/>
    <w:rsid w:val="00080542"/>
    <w:rsid w:val="00081813"/>
    <w:rsid w:val="00081968"/>
    <w:rsid w:val="000830B4"/>
    <w:rsid w:val="00083EE2"/>
    <w:rsid w:val="00085CD9"/>
    <w:rsid w:val="00086138"/>
    <w:rsid w:val="000864E7"/>
    <w:rsid w:val="00086727"/>
    <w:rsid w:val="000868C5"/>
    <w:rsid w:val="000873BD"/>
    <w:rsid w:val="00090F09"/>
    <w:rsid w:val="000927F0"/>
    <w:rsid w:val="00092888"/>
    <w:rsid w:val="0009320F"/>
    <w:rsid w:val="00093FCF"/>
    <w:rsid w:val="00097176"/>
    <w:rsid w:val="000971B6"/>
    <w:rsid w:val="00097649"/>
    <w:rsid w:val="000979B0"/>
    <w:rsid w:val="000A10D6"/>
    <w:rsid w:val="000A1225"/>
    <w:rsid w:val="000A1261"/>
    <w:rsid w:val="000A1AA3"/>
    <w:rsid w:val="000A1ABB"/>
    <w:rsid w:val="000A2CF1"/>
    <w:rsid w:val="000A4C30"/>
    <w:rsid w:val="000A4FF7"/>
    <w:rsid w:val="000A6443"/>
    <w:rsid w:val="000A712A"/>
    <w:rsid w:val="000A77E7"/>
    <w:rsid w:val="000B2793"/>
    <w:rsid w:val="000B281A"/>
    <w:rsid w:val="000B3FFD"/>
    <w:rsid w:val="000B4850"/>
    <w:rsid w:val="000B4C29"/>
    <w:rsid w:val="000B66B8"/>
    <w:rsid w:val="000B69FD"/>
    <w:rsid w:val="000C195E"/>
    <w:rsid w:val="000C2A34"/>
    <w:rsid w:val="000C2A6D"/>
    <w:rsid w:val="000C452A"/>
    <w:rsid w:val="000C4A18"/>
    <w:rsid w:val="000C57DC"/>
    <w:rsid w:val="000C5FD3"/>
    <w:rsid w:val="000C6E4F"/>
    <w:rsid w:val="000C7117"/>
    <w:rsid w:val="000C7CC0"/>
    <w:rsid w:val="000D0308"/>
    <w:rsid w:val="000D0C44"/>
    <w:rsid w:val="000D163C"/>
    <w:rsid w:val="000D2D29"/>
    <w:rsid w:val="000D3411"/>
    <w:rsid w:val="000E004B"/>
    <w:rsid w:val="000E00DF"/>
    <w:rsid w:val="000E05CD"/>
    <w:rsid w:val="000E07A9"/>
    <w:rsid w:val="000E2D1D"/>
    <w:rsid w:val="000E4303"/>
    <w:rsid w:val="000E5A08"/>
    <w:rsid w:val="000E6646"/>
    <w:rsid w:val="000F01DC"/>
    <w:rsid w:val="000F0691"/>
    <w:rsid w:val="000F2C1C"/>
    <w:rsid w:val="000F4C7A"/>
    <w:rsid w:val="000F5B52"/>
    <w:rsid w:val="00100EBE"/>
    <w:rsid w:val="001014BD"/>
    <w:rsid w:val="0010210A"/>
    <w:rsid w:val="00102530"/>
    <w:rsid w:val="0010480A"/>
    <w:rsid w:val="001060E1"/>
    <w:rsid w:val="001069C5"/>
    <w:rsid w:val="001123A6"/>
    <w:rsid w:val="001137D4"/>
    <w:rsid w:val="0011436F"/>
    <w:rsid w:val="00115037"/>
    <w:rsid w:val="001159A9"/>
    <w:rsid w:val="00115E6B"/>
    <w:rsid w:val="001163D8"/>
    <w:rsid w:val="001171F8"/>
    <w:rsid w:val="001206EF"/>
    <w:rsid w:val="001214E7"/>
    <w:rsid w:val="001219D9"/>
    <w:rsid w:val="001227F2"/>
    <w:rsid w:val="00122B89"/>
    <w:rsid w:val="00125B22"/>
    <w:rsid w:val="001260B0"/>
    <w:rsid w:val="00127C6A"/>
    <w:rsid w:val="00130757"/>
    <w:rsid w:val="00131C24"/>
    <w:rsid w:val="00132774"/>
    <w:rsid w:val="0013286C"/>
    <w:rsid w:val="00132DD7"/>
    <w:rsid w:val="0013450F"/>
    <w:rsid w:val="00134A0A"/>
    <w:rsid w:val="00134DA9"/>
    <w:rsid w:val="001354D0"/>
    <w:rsid w:val="00136994"/>
    <w:rsid w:val="001377B9"/>
    <w:rsid w:val="00137FEE"/>
    <w:rsid w:val="00140807"/>
    <w:rsid w:val="0014357E"/>
    <w:rsid w:val="00144217"/>
    <w:rsid w:val="00144E54"/>
    <w:rsid w:val="00145240"/>
    <w:rsid w:val="001458B0"/>
    <w:rsid w:val="00145CF5"/>
    <w:rsid w:val="00150473"/>
    <w:rsid w:val="00151EB8"/>
    <w:rsid w:val="0015312E"/>
    <w:rsid w:val="001537F9"/>
    <w:rsid w:val="001540CF"/>
    <w:rsid w:val="00155BC9"/>
    <w:rsid w:val="00157830"/>
    <w:rsid w:val="0016000E"/>
    <w:rsid w:val="00162367"/>
    <w:rsid w:val="00162890"/>
    <w:rsid w:val="00165510"/>
    <w:rsid w:val="00165ED1"/>
    <w:rsid w:val="001718E6"/>
    <w:rsid w:val="0017311A"/>
    <w:rsid w:val="00173D9C"/>
    <w:rsid w:val="0017414A"/>
    <w:rsid w:val="001746EC"/>
    <w:rsid w:val="00174FAD"/>
    <w:rsid w:val="0017619E"/>
    <w:rsid w:val="00180403"/>
    <w:rsid w:val="00180AC8"/>
    <w:rsid w:val="00181FF3"/>
    <w:rsid w:val="00182957"/>
    <w:rsid w:val="00182B8C"/>
    <w:rsid w:val="001830F3"/>
    <w:rsid w:val="00184BB4"/>
    <w:rsid w:val="00185AD0"/>
    <w:rsid w:val="0018633E"/>
    <w:rsid w:val="00186458"/>
    <w:rsid w:val="00186E50"/>
    <w:rsid w:val="00187574"/>
    <w:rsid w:val="0018793F"/>
    <w:rsid w:val="001914B4"/>
    <w:rsid w:val="001918D5"/>
    <w:rsid w:val="0019208F"/>
    <w:rsid w:val="00192287"/>
    <w:rsid w:val="0019302F"/>
    <w:rsid w:val="00193421"/>
    <w:rsid w:val="0019427E"/>
    <w:rsid w:val="001949CC"/>
    <w:rsid w:val="00194D84"/>
    <w:rsid w:val="00195090"/>
    <w:rsid w:val="00195809"/>
    <w:rsid w:val="00195C80"/>
    <w:rsid w:val="00197116"/>
    <w:rsid w:val="001A02CF"/>
    <w:rsid w:val="001A0948"/>
    <w:rsid w:val="001A1918"/>
    <w:rsid w:val="001A2248"/>
    <w:rsid w:val="001A2624"/>
    <w:rsid w:val="001A2678"/>
    <w:rsid w:val="001A3C79"/>
    <w:rsid w:val="001A42C4"/>
    <w:rsid w:val="001A6174"/>
    <w:rsid w:val="001A6DEA"/>
    <w:rsid w:val="001A6EFC"/>
    <w:rsid w:val="001A6F34"/>
    <w:rsid w:val="001B25B9"/>
    <w:rsid w:val="001B2EAA"/>
    <w:rsid w:val="001B3C92"/>
    <w:rsid w:val="001B5369"/>
    <w:rsid w:val="001B6B93"/>
    <w:rsid w:val="001B6F60"/>
    <w:rsid w:val="001C003B"/>
    <w:rsid w:val="001C015A"/>
    <w:rsid w:val="001C100E"/>
    <w:rsid w:val="001C12DB"/>
    <w:rsid w:val="001C27AE"/>
    <w:rsid w:val="001C2C9A"/>
    <w:rsid w:val="001C34D4"/>
    <w:rsid w:val="001C4102"/>
    <w:rsid w:val="001C455B"/>
    <w:rsid w:val="001C75F5"/>
    <w:rsid w:val="001D2337"/>
    <w:rsid w:val="001D2C40"/>
    <w:rsid w:val="001D3B29"/>
    <w:rsid w:val="001D43FA"/>
    <w:rsid w:val="001D53C6"/>
    <w:rsid w:val="001D5F06"/>
    <w:rsid w:val="001D6261"/>
    <w:rsid w:val="001D6287"/>
    <w:rsid w:val="001D7857"/>
    <w:rsid w:val="001E39DD"/>
    <w:rsid w:val="001E4CE3"/>
    <w:rsid w:val="001E5E2A"/>
    <w:rsid w:val="001E6597"/>
    <w:rsid w:val="001E72DA"/>
    <w:rsid w:val="001F1D13"/>
    <w:rsid w:val="001F2599"/>
    <w:rsid w:val="001F48BF"/>
    <w:rsid w:val="001F5B7E"/>
    <w:rsid w:val="001F624C"/>
    <w:rsid w:val="001F63A2"/>
    <w:rsid w:val="001F76D3"/>
    <w:rsid w:val="00200CBE"/>
    <w:rsid w:val="002016E4"/>
    <w:rsid w:val="00201705"/>
    <w:rsid w:val="00201977"/>
    <w:rsid w:val="00201EB5"/>
    <w:rsid w:val="002024E6"/>
    <w:rsid w:val="002042D5"/>
    <w:rsid w:val="00206BD5"/>
    <w:rsid w:val="0020782E"/>
    <w:rsid w:val="002106D0"/>
    <w:rsid w:val="002113EA"/>
    <w:rsid w:val="002134DF"/>
    <w:rsid w:val="00214CAD"/>
    <w:rsid w:val="0021508A"/>
    <w:rsid w:val="00215E22"/>
    <w:rsid w:val="00216BF3"/>
    <w:rsid w:val="00217B60"/>
    <w:rsid w:val="00217E11"/>
    <w:rsid w:val="0022058B"/>
    <w:rsid w:val="00222A69"/>
    <w:rsid w:val="00223A05"/>
    <w:rsid w:val="00223C8F"/>
    <w:rsid w:val="002240D0"/>
    <w:rsid w:val="00226411"/>
    <w:rsid w:val="002302C7"/>
    <w:rsid w:val="0023116E"/>
    <w:rsid w:val="00231D30"/>
    <w:rsid w:val="00232C62"/>
    <w:rsid w:val="00232D81"/>
    <w:rsid w:val="0023398C"/>
    <w:rsid w:val="002347C8"/>
    <w:rsid w:val="00234DFD"/>
    <w:rsid w:val="002370C9"/>
    <w:rsid w:val="00240966"/>
    <w:rsid w:val="00244C53"/>
    <w:rsid w:val="00245D81"/>
    <w:rsid w:val="00250A93"/>
    <w:rsid w:val="00250D23"/>
    <w:rsid w:val="00252EEE"/>
    <w:rsid w:val="002541DF"/>
    <w:rsid w:val="002558B1"/>
    <w:rsid w:val="00256625"/>
    <w:rsid w:val="0025726A"/>
    <w:rsid w:val="0026056C"/>
    <w:rsid w:val="00262A24"/>
    <w:rsid w:val="00262B4E"/>
    <w:rsid w:val="00264ABD"/>
    <w:rsid w:val="00264E10"/>
    <w:rsid w:val="00264EEF"/>
    <w:rsid w:val="00265DAB"/>
    <w:rsid w:val="00266215"/>
    <w:rsid w:val="0026699C"/>
    <w:rsid w:val="00267613"/>
    <w:rsid w:val="0027315D"/>
    <w:rsid w:val="002744E3"/>
    <w:rsid w:val="002746ED"/>
    <w:rsid w:val="00275719"/>
    <w:rsid w:val="00275A9E"/>
    <w:rsid w:val="00275FC5"/>
    <w:rsid w:val="00276C34"/>
    <w:rsid w:val="00277F86"/>
    <w:rsid w:val="002807D9"/>
    <w:rsid w:val="00282413"/>
    <w:rsid w:val="0028332B"/>
    <w:rsid w:val="00285909"/>
    <w:rsid w:val="002859AF"/>
    <w:rsid w:val="002868DA"/>
    <w:rsid w:val="00286C84"/>
    <w:rsid w:val="00287D78"/>
    <w:rsid w:val="00290950"/>
    <w:rsid w:val="00291194"/>
    <w:rsid w:val="002912A4"/>
    <w:rsid w:val="00291474"/>
    <w:rsid w:val="002916E6"/>
    <w:rsid w:val="00291932"/>
    <w:rsid w:val="00291DBC"/>
    <w:rsid w:val="00292E02"/>
    <w:rsid w:val="002933C5"/>
    <w:rsid w:val="002934DB"/>
    <w:rsid w:val="0029406E"/>
    <w:rsid w:val="002956B3"/>
    <w:rsid w:val="00295A5A"/>
    <w:rsid w:val="00296453"/>
    <w:rsid w:val="00297A6A"/>
    <w:rsid w:val="002A0B1B"/>
    <w:rsid w:val="002A11F1"/>
    <w:rsid w:val="002A15AD"/>
    <w:rsid w:val="002A287C"/>
    <w:rsid w:val="002A4BC6"/>
    <w:rsid w:val="002A4D1F"/>
    <w:rsid w:val="002A73A1"/>
    <w:rsid w:val="002B0DBF"/>
    <w:rsid w:val="002B1436"/>
    <w:rsid w:val="002B2778"/>
    <w:rsid w:val="002B36C0"/>
    <w:rsid w:val="002B3CC9"/>
    <w:rsid w:val="002B67D7"/>
    <w:rsid w:val="002B6C59"/>
    <w:rsid w:val="002B6EA2"/>
    <w:rsid w:val="002C1EDF"/>
    <w:rsid w:val="002C2C23"/>
    <w:rsid w:val="002C2F69"/>
    <w:rsid w:val="002C6D56"/>
    <w:rsid w:val="002C6F8E"/>
    <w:rsid w:val="002D0FEB"/>
    <w:rsid w:val="002D1BFD"/>
    <w:rsid w:val="002D282C"/>
    <w:rsid w:val="002D37A8"/>
    <w:rsid w:val="002D414A"/>
    <w:rsid w:val="002E1562"/>
    <w:rsid w:val="002E1619"/>
    <w:rsid w:val="002E1D7B"/>
    <w:rsid w:val="002E4CA5"/>
    <w:rsid w:val="002E54FB"/>
    <w:rsid w:val="002E6C1C"/>
    <w:rsid w:val="002F0B60"/>
    <w:rsid w:val="002F3821"/>
    <w:rsid w:val="002F41CA"/>
    <w:rsid w:val="002F41F3"/>
    <w:rsid w:val="002F4C2A"/>
    <w:rsid w:val="002F7B0C"/>
    <w:rsid w:val="00300D99"/>
    <w:rsid w:val="0030169E"/>
    <w:rsid w:val="00302016"/>
    <w:rsid w:val="0030209A"/>
    <w:rsid w:val="00302197"/>
    <w:rsid w:val="003045FF"/>
    <w:rsid w:val="00310048"/>
    <w:rsid w:val="00310A46"/>
    <w:rsid w:val="00310C02"/>
    <w:rsid w:val="00311181"/>
    <w:rsid w:val="003124A6"/>
    <w:rsid w:val="00313A4E"/>
    <w:rsid w:val="00314EF9"/>
    <w:rsid w:val="003168AF"/>
    <w:rsid w:val="00316BDD"/>
    <w:rsid w:val="00317EE9"/>
    <w:rsid w:val="00320F3B"/>
    <w:rsid w:val="00322174"/>
    <w:rsid w:val="003234B7"/>
    <w:rsid w:val="00324139"/>
    <w:rsid w:val="0032567D"/>
    <w:rsid w:val="003262F9"/>
    <w:rsid w:val="00330606"/>
    <w:rsid w:val="0033235C"/>
    <w:rsid w:val="003343A4"/>
    <w:rsid w:val="003363FD"/>
    <w:rsid w:val="00336DAC"/>
    <w:rsid w:val="00337D0A"/>
    <w:rsid w:val="00340336"/>
    <w:rsid w:val="00341251"/>
    <w:rsid w:val="0034157A"/>
    <w:rsid w:val="00343E80"/>
    <w:rsid w:val="0034585A"/>
    <w:rsid w:val="0035042D"/>
    <w:rsid w:val="00352F5A"/>
    <w:rsid w:val="003530E6"/>
    <w:rsid w:val="00353C6A"/>
    <w:rsid w:val="0035710B"/>
    <w:rsid w:val="00362121"/>
    <w:rsid w:val="003622A5"/>
    <w:rsid w:val="00364F50"/>
    <w:rsid w:val="003653AB"/>
    <w:rsid w:val="003664E8"/>
    <w:rsid w:val="00367A7D"/>
    <w:rsid w:val="00367C83"/>
    <w:rsid w:val="00367D01"/>
    <w:rsid w:val="003707E3"/>
    <w:rsid w:val="0037083C"/>
    <w:rsid w:val="0037222D"/>
    <w:rsid w:val="00373EC0"/>
    <w:rsid w:val="00374271"/>
    <w:rsid w:val="0037459B"/>
    <w:rsid w:val="00375E7B"/>
    <w:rsid w:val="003810BE"/>
    <w:rsid w:val="00381BEE"/>
    <w:rsid w:val="00381D94"/>
    <w:rsid w:val="00383F38"/>
    <w:rsid w:val="003847AF"/>
    <w:rsid w:val="003871DA"/>
    <w:rsid w:val="003872DF"/>
    <w:rsid w:val="00390133"/>
    <w:rsid w:val="0039322E"/>
    <w:rsid w:val="0039352F"/>
    <w:rsid w:val="0039453B"/>
    <w:rsid w:val="0039636C"/>
    <w:rsid w:val="00396A56"/>
    <w:rsid w:val="00396F00"/>
    <w:rsid w:val="003A1FFA"/>
    <w:rsid w:val="003A2302"/>
    <w:rsid w:val="003A3C97"/>
    <w:rsid w:val="003A4CB5"/>
    <w:rsid w:val="003A583E"/>
    <w:rsid w:val="003A5AC6"/>
    <w:rsid w:val="003A5E6E"/>
    <w:rsid w:val="003A7481"/>
    <w:rsid w:val="003B01EA"/>
    <w:rsid w:val="003B0F82"/>
    <w:rsid w:val="003B26DD"/>
    <w:rsid w:val="003B28A1"/>
    <w:rsid w:val="003B4AA2"/>
    <w:rsid w:val="003C00A9"/>
    <w:rsid w:val="003C1A05"/>
    <w:rsid w:val="003C27F8"/>
    <w:rsid w:val="003C2CA3"/>
    <w:rsid w:val="003C37C9"/>
    <w:rsid w:val="003C5DCC"/>
    <w:rsid w:val="003C7362"/>
    <w:rsid w:val="003D0CA0"/>
    <w:rsid w:val="003D1346"/>
    <w:rsid w:val="003D1490"/>
    <w:rsid w:val="003D149A"/>
    <w:rsid w:val="003D1597"/>
    <w:rsid w:val="003D1769"/>
    <w:rsid w:val="003D1AE0"/>
    <w:rsid w:val="003D3461"/>
    <w:rsid w:val="003D5EEE"/>
    <w:rsid w:val="003D73BA"/>
    <w:rsid w:val="003E0B43"/>
    <w:rsid w:val="003E3932"/>
    <w:rsid w:val="003E6169"/>
    <w:rsid w:val="003E6ECE"/>
    <w:rsid w:val="003F0127"/>
    <w:rsid w:val="003F1AF0"/>
    <w:rsid w:val="003F2B9D"/>
    <w:rsid w:val="003F32D3"/>
    <w:rsid w:val="003F37B2"/>
    <w:rsid w:val="003F3D9D"/>
    <w:rsid w:val="003F5C1E"/>
    <w:rsid w:val="003F6166"/>
    <w:rsid w:val="003F65EF"/>
    <w:rsid w:val="003F69F1"/>
    <w:rsid w:val="004017C3"/>
    <w:rsid w:val="00402491"/>
    <w:rsid w:val="00402900"/>
    <w:rsid w:val="0040373A"/>
    <w:rsid w:val="00403E56"/>
    <w:rsid w:val="00405F6C"/>
    <w:rsid w:val="004072C9"/>
    <w:rsid w:val="0041023A"/>
    <w:rsid w:val="00410996"/>
    <w:rsid w:val="004112FD"/>
    <w:rsid w:val="004135D7"/>
    <w:rsid w:val="004144D0"/>
    <w:rsid w:val="00414623"/>
    <w:rsid w:val="00415579"/>
    <w:rsid w:val="00415FC7"/>
    <w:rsid w:val="00416624"/>
    <w:rsid w:val="004167E2"/>
    <w:rsid w:val="00416C5F"/>
    <w:rsid w:val="00416DD0"/>
    <w:rsid w:val="0041724E"/>
    <w:rsid w:val="00417EB3"/>
    <w:rsid w:val="00420DD5"/>
    <w:rsid w:val="00423DE1"/>
    <w:rsid w:val="00425967"/>
    <w:rsid w:val="004260E3"/>
    <w:rsid w:val="00426281"/>
    <w:rsid w:val="00426C33"/>
    <w:rsid w:val="00427241"/>
    <w:rsid w:val="004274A1"/>
    <w:rsid w:val="004306BF"/>
    <w:rsid w:val="00430A85"/>
    <w:rsid w:val="00431380"/>
    <w:rsid w:val="00431CD3"/>
    <w:rsid w:val="004325B5"/>
    <w:rsid w:val="00432FD3"/>
    <w:rsid w:val="0043377E"/>
    <w:rsid w:val="0043478B"/>
    <w:rsid w:val="004368DB"/>
    <w:rsid w:val="00436CF5"/>
    <w:rsid w:val="00437CE4"/>
    <w:rsid w:val="00440705"/>
    <w:rsid w:val="00440E3A"/>
    <w:rsid w:val="00443174"/>
    <w:rsid w:val="004437D0"/>
    <w:rsid w:val="004438D6"/>
    <w:rsid w:val="00443F91"/>
    <w:rsid w:val="00444CF9"/>
    <w:rsid w:val="00445AEB"/>
    <w:rsid w:val="00445FCE"/>
    <w:rsid w:val="00447195"/>
    <w:rsid w:val="00451138"/>
    <w:rsid w:val="00452523"/>
    <w:rsid w:val="004525EC"/>
    <w:rsid w:val="004533D8"/>
    <w:rsid w:val="00453CFD"/>
    <w:rsid w:val="00455194"/>
    <w:rsid w:val="004569DD"/>
    <w:rsid w:val="00457F07"/>
    <w:rsid w:val="00460BD2"/>
    <w:rsid w:val="0046199B"/>
    <w:rsid w:val="00463D2C"/>
    <w:rsid w:val="00464899"/>
    <w:rsid w:val="00465A5D"/>
    <w:rsid w:val="0046709D"/>
    <w:rsid w:val="00474045"/>
    <w:rsid w:val="00474D26"/>
    <w:rsid w:val="00475449"/>
    <w:rsid w:val="0048282F"/>
    <w:rsid w:val="00483AF8"/>
    <w:rsid w:val="00485379"/>
    <w:rsid w:val="00486C4F"/>
    <w:rsid w:val="00487240"/>
    <w:rsid w:val="00487ADC"/>
    <w:rsid w:val="00487F6F"/>
    <w:rsid w:val="004905ED"/>
    <w:rsid w:val="004912DD"/>
    <w:rsid w:val="00491E0C"/>
    <w:rsid w:val="0049207A"/>
    <w:rsid w:val="0049632E"/>
    <w:rsid w:val="00497536"/>
    <w:rsid w:val="004978C1"/>
    <w:rsid w:val="00497B4C"/>
    <w:rsid w:val="00497DA7"/>
    <w:rsid w:val="004A01F5"/>
    <w:rsid w:val="004A055D"/>
    <w:rsid w:val="004A0581"/>
    <w:rsid w:val="004A118C"/>
    <w:rsid w:val="004A56FF"/>
    <w:rsid w:val="004A678D"/>
    <w:rsid w:val="004A6D9B"/>
    <w:rsid w:val="004A70D9"/>
    <w:rsid w:val="004B0AA1"/>
    <w:rsid w:val="004B270F"/>
    <w:rsid w:val="004B3481"/>
    <w:rsid w:val="004B3B23"/>
    <w:rsid w:val="004B5ACC"/>
    <w:rsid w:val="004B5E6A"/>
    <w:rsid w:val="004B6AB6"/>
    <w:rsid w:val="004B7007"/>
    <w:rsid w:val="004B74B0"/>
    <w:rsid w:val="004C1253"/>
    <w:rsid w:val="004C1C91"/>
    <w:rsid w:val="004C27F1"/>
    <w:rsid w:val="004C748F"/>
    <w:rsid w:val="004C7EC5"/>
    <w:rsid w:val="004D2014"/>
    <w:rsid w:val="004D28D3"/>
    <w:rsid w:val="004D3D43"/>
    <w:rsid w:val="004D5442"/>
    <w:rsid w:val="004E0156"/>
    <w:rsid w:val="004E1868"/>
    <w:rsid w:val="004E1A7A"/>
    <w:rsid w:val="004E20E4"/>
    <w:rsid w:val="004E2214"/>
    <w:rsid w:val="004E3050"/>
    <w:rsid w:val="004E43B3"/>
    <w:rsid w:val="004E76E3"/>
    <w:rsid w:val="004F2450"/>
    <w:rsid w:val="004F295F"/>
    <w:rsid w:val="004F2FD4"/>
    <w:rsid w:val="004F36C2"/>
    <w:rsid w:val="004F3E26"/>
    <w:rsid w:val="004F5515"/>
    <w:rsid w:val="004F5838"/>
    <w:rsid w:val="004F5FBB"/>
    <w:rsid w:val="004F6620"/>
    <w:rsid w:val="004F6D90"/>
    <w:rsid w:val="004F73FF"/>
    <w:rsid w:val="00500A6F"/>
    <w:rsid w:val="00500BE0"/>
    <w:rsid w:val="00500EEC"/>
    <w:rsid w:val="00501177"/>
    <w:rsid w:val="00501C68"/>
    <w:rsid w:val="00501E2A"/>
    <w:rsid w:val="005030F7"/>
    <w:rsid w:val="005035AE"/>
    <w:rsid w:val="0050391D"/>
    <w:rsid w:val="0050395B"/>
    <w:rsid w:val="00503E3B"/>
    <w:rsid w:val="00504C62"/>
    <w:rsid w:val="00505638"/>
    <w:rsid w:val="0050579A"/>
    <w:rsid w:val="00506D7B"/>
    <w:rsid w:val="005072C8"/>
    <w:rsid w:val="0050760F"/>
    <w:rsid w:val="0051080B"/>
    <w:rsid w:val="00510953"/>
    <w:rsid w:val="005110BA"/>
    <w:rsid w:val="0051136E"/>
    <w:rsid w:val="005121A6"/>
    <w:rsid w:val="00512560"/>
    <w:rsid w:val="0051341F"/>
    <w:rsid w:val="00514A89"/>
    <w:rsid w:val="00515A81"/>
    <w:rsid w:val="00515E44"/>
    <w:rsid w:val="00516FE7"/>
    <w:rsid w:val="005203EC"/>
    <w:rsid w:val="00521357"/>
    <w:rsid w:val="00522002"/>
    <w:rsid w:val="00523393"/>
    <w:rsid w:val="00524086"/>
    <w:rsid w:val="00524A51"/>
    <w:rsid w:val="00530685"/>
    <w:rsid w:val="00531E90"/>
    <w:rsid w:val="00532179"/>
    <w:rsid w:val="005321BB"/>
    <w:rsid w:val="00533ED1"/>
    <w:rsid w:val="00534C17"/>
    <w:rsid w:val="00534C2F"/>
    <w:rsid w:val="00534CD6"/>
    <w:rsid w:val="0053589A"/>
    <w:rsid w:val="005407E6"/>
    <w:rsid w:val="00540CCA"/>
    <w:rsid w:val="00540E21"/>
    <w:rsid w:val="005416D4"/>
    <w:rsid w:val="00543807"/>
    <w:rsid w:val="0054383C"/>
    <w:rsid w:val="00543E3F"/>
    <w:rsid w:val="005457EB"/>
    <w:rsid w:val="00545E51"/>
    <w:rsid w:val="00546586"/>
    <w:rsid w:val="0055519E"/>
    <w:rsid w:val="00555BC0"/>
    <w:rsid w:val="005567FC"/>
    <w:rsid w:val="00557AC1"/>
    <w:rsid w:val="00560CC8"/>
    <w:rsid w:val="00561047"/>
    <w:rsid w:val="005611F4"/>
    <w:rsid w:val="0056138D"/>
    <w:rsid w:val="0056142F"/>
    <w:rsid w:val="00565808"/>
    <w:rsid w:val="00567959"/>
    <w:rsid w:val="005706A0"/>
    <w:rsid w:val="00571356"/>
    <w:rsid w:val="005723F7"/>
    <w:rsid w:val="00573DEA"/>
    <w:rsid w:val="00574064"/>
    <w:rsid w:val="005751B8"/>
    <w:rsid w:val="005768DB"/>
    <w:rsid w:val="00576EB8"/>
    <w:rsid w:val="00576FC2"/>
    <w:rsid w:val="00580424"/>
    <w:rsid w:val="00580FCE"/>
    <w:rsid w:val="00581B97"/>
    <w:rsid w:val="005823F2"/>
    <w:rsid w:val="00583845"/>
    <w:rsid w:val="00584780"/>
    <w:rsid w:val="0058733C"/>
    <w:rsid w:val="00587BF5"/>
    <w:rsid w:val="00590C4B"/>
    <w:rsid w:val="005922BE"/>
    <w:rsid w:val="00593B54"/>
    <w:rsid w:val="00594C2D"/>
    <w:rsid w:val="00594CD9"/>
    <w:rsid w:val="005958D2"/>
    <w:rsid w:val="005963BD"/>
    <w:rsid w:val="00597A62"/>
    <w:rsid w:val="005A007B"/>
    <w:rsid w:val="005A03ED"/>
    <w:rsid w:val="005A14D7"/>
    <w:rsid w:val="005A210B"/>
    <w:rsid w:val="005A22AA"/>
    <w:rsid w:val="005A3486"/>
    <w:rsid w:val="005A4999"/>
    <w:rsid w:val="005A56D0"/>
    <w:rsid w:val="005A5EFF"/>
    <w:rsid w:val="005A67FD"/>
    <w:rsid w:val="005B1364"/>
    <w:rsid w:val="005B17BE"/>
    <w:rsid w:val="005B1920"/>
    <w:rsid w:val="005B1C2D"/>
    <w:rsid w:val="005B3746"/>
    <w:rsid w:val="005B4455"/>
    <w:rsid w:val="005B5401"/>
    <w:rsid w:val="005B7448"/>
    <w:rsid w:val="005B7FEF"/>
    <w:rsid w:val="005C12F7"/>
    <w:rsid w:val="005C20CC"/>
    <w:rsid w:val="005C2218"/>
    <w:rsid w:val="005C2BD6"/>
    <w:rsid w:val="005C3427"/>
    <w:rsid w:val="005C3BCB"/>
    <w:rsid w:val="005C5C51"/>
    <w:rsid w:val="005C74A1"/>
    <w:rsid w:val="005D1D2C"/>
    <w:rsid w:val="005D1F83"/>
    <w:rsid w:val="005D4BC9"/>
    <w:rsid w:val="005D5C2D"/>
    <w:rsid w:val="005D62E5"/>
    <w:rsid w:val="005D6447"/>
    <w:rsid w:val="005D68A0"/>
    <w:rsid w:val="005D77EE"/>
    <w:rsid w:val="005E1F3D"/>
    <w:rsid w:val="005E213F"/>
    <w:rsid w:val="005E30B8"/>
    <w:rsid w:val="005E3B77"/>
    <w:rsid w:val="005E434F"/>
    <w:rsid w:val="005E436B"/>
    <w:rsid w:val="005E4924"/>
    <w:rsid w:val="005E4A81"/>
    <w:rsid w:val="005E5260"/>
    <w:rsid w:val="005E5331"/>
    <w:rsid w:val="005E540C"/>
    <w:rsid w:val="005E5842"/>
    <w:rsid w:val="005F0587"/>
    <w:rsid w:val="005F0D0E"/>
    <w:rsid w:val="005F143D"/>
    <w:rsid w:val="005F2872"/>
    <w:rsid w:val="005F2FC3"/>
    <w:rsid w:val="005F4AD9"/>
    <w:rsid w:val="005F5AC9"/>
    <w:rsid w:val="0060014C"/>
    <w:rsid w:val="00600B32"/>
    <w:rsid w:val="00601B5F"/>
    <w:rsid w:val="00603495"/>
    <w:rsid w:val="00603D7E"/>
    <w:rsid w:val="00603E0A"/>
    <w:rsid w:val="006055A5"/>
    <w:rsid w:val="00605669"/>
    <w:rsid w:val="00605713"/>
    <w:rsid w:val="00610BC6"/>
    <w:rsid w:val="006118E2"/>
    <w:rsid w:val="006127CF"/>
    <w:rsid w:val="00612E6B"/>
    <w:rsid w:val="00612EBA"/>
    <w:rsid w:val="00613326"/>
    <w:rsid w:val="00614654"/>
    <w:rsid w:val="00614C0D"/>
    <w:rsid w:val="00614F1B"/>
    <w:rsid w:val="0061674E"/>
    <w:rsid w:val="006214BA"/>
    <w:rsid w:val="00621F6B"/>
    <w:rsid w:val="00622434"/>
    <w:rsid w:val="00624CC3"/>
    <w:rsid w:val="00624CF1"/>
    <w:rsid w:val="00624D82"/>
    <w:rsid w:val="0062511E"/>
    <w:rsid w:val="006255DA"/>
    <w:rsid w:val="006257B3"/>
    <w:rsid w:val="00626343"/>
    <w:rsid w:val="00626535"/>
    <w:rsid w:val="00627529"/>
    <w:rsid w:val="00630E05"/>
    <w:rsid w:val="00631CC4"/>
    <w:rsid w:val="00632649"/>
    <w:rsid w:val="006331F0"/>
    <w:rsid w:val="0063473D"/>
    <w:rsid w:val="00635285"/>
    <w:rsid w:val="0063543C"/>
    <w:rsid w:val="006365BE"/>
    <w:rsid w:val="00636F28"/>
    <w:rsid w:val="0063707C"/>
    <w:rsid w:val="00640FBA"/>
    <w:rsid w:val="006428DB"/>
    <w:rsid w:val="006429BD"/>
    <w:rsid w:val="0064380C"/>
    <w:rsid w:val="00646908"/>
    <w:rsid w:val="006475B2"/>
    <w:rsid w:val="00647CDF"/>
    <w:rsid w:val="00647EBB"/>
    <w:rsid w:val="00650FC5"/>
    <w:rsid w:val="006512F7"/>
    <w:rsid w:val="0065186F"/>
    <w:rsid w:val="00651A49"/>
    <w:rsid w:val="00653245"/>
    <w:rsid w:val="00653499"/>
    <w:rsid w:val="006535D6"/>
    <w:rsid w:val="00654519"/>
    <w:rsid w:val="0065465B"/>
    <w:rsid w:val="00656A88"/>
    <w:rsid w:val="00656BCF"/>
    <w:rsid w:val="006606DC"/>
    <w:rsid w:val="006618A1"/>
    <w:rsid w:val="00661D3E"/>
    <w:rsid w:val="00662201"/>
    <w:rsid w:val="0066222F"/>
    <w:rsid w:val="00662A12"/>
    <w:rsid w:val="00662EED"/>
    <w:rsid w:val="0066422F"/>
    <w:rsid w:val="00670CE4"/>
    <w:rsid w:val="00671AEE"/>
    <w:rsid w:val="006726FF"/>
    <w:rsid w:val="00673B14"/>
    <w:rsid w:val="00674F47"/>
    <w:rsid w:val="00676888"/>
    <w:rsid w:val="006805E1"/>
    <w:rsid w:val="006819E7"/>
    <w:rsid w:val="00681FEF"/>
    <w:rsid w:val="00682715"/>
    <w:rsid w:val="00682FDB"/>
    <w:rsid w:val="006835F8"/>
    <w:rsid w:val="0068409E"/>
    <w:rsid w:val="006853F3"/>
    <w:rsid w:val="00685557"/>
    <w:rsid w:val="0068600E"/>
    <w:rsid w:val="00687A3A"/>
    <w:rsid w:val="00691474"/>
    <w:rsid w:val="00691F29"/>
    <w:rsid w:val="00693595"/>
    <w:rsid w:val="006938DA"/>
    <w:rsid w:val="00693B4A"/>
    <w:rsid w:val="006940CD"/>
    <w:rsid w:val="00694B4E"/>
    <w:rsid w:val="00695BD9"/>
    <w:rsid w:val="00695CCB"/>
    <w:rsid w:val="006966A6"/>
    <w:rsid w:val="00696B3C"/>
    <w:rsid w:val="006A000E"/>
    <w:rsid w:val="006A0AA6"/>
    <w:rsid w:val="006A1599"/>
    <w:rsid w:val="006A29FF"/>
    <w:rsid w:val="006A4090"/>
    <w:rsid w:val="006A69B8"/>
    <w:rsid w:val="006A6C45"/>
    <w:rsid w:val="006A6C8B"/>
    <w:rsid w:val="006A715B"/>
    <w:rsid w:val="006A7EB9"/>
    <w:rsid w:val="006B02F1"/>
    <w:rsid w:val="006B29CF"/>
    <w:rsid w:val="006B30A4"/>
    <w:rsid w:val="006B3AC3"/>
    <w:rsid w:val="006B3F33"/>
    <w:rsid w:val="006B5CC6"/>
    <w:rsid w:val="006B6DA9"/>
    <w:rsid w:val="006B72AC"/>
    <w:rsid w:val="006C0263"/>
    <w:rsid w:val="006C1228"/>
    <w:rsid w:val="006C1991"/>
    <w:rsid w:val="006C1AF1"/>
    <w:rsid w:val="006C24DC"/>
    <w:rsid w:val="006C3441"/>
    <w:rsid w:val="006C38EE"/>
    <w:rsid w:val="006C4495"/>
    <w:rsid w:val="006C47C0"/>
    <w:rsid w:val="006C5DAC"/>
    <w:rsid w:val="006C772D"/>
    <w:rsid w:val="006D225E"/>
    <w:rsid w:val="006D45A7"/>
    <w:rsid w:val="006D50A9"/>
    <w:rsid w:val="006D58D0"/>
    <w:rsid w:val="006D6002"/>
    <w:rsid w:val="006D7AED"/>
    <w:rsid w:val="006D7F99"/>
    <w:rsid w:val="006E0259"/>
    <w:rsid w:val="006E0EE4"/>
    <w:rsid w:val="006E1226"/>
    <w:rsid w:val="006E1B5D"/>
    <w:rsid w:val="006E1DB2"/>
    <w:rsid w:val="006E4E74"/>
    <w:rsid w:val="006E4EF4"/>
    <w:rsid w:val="006E7195"/>
    <w:rsid w:val="006E7BEF"/>
    <w:rsid w:val="006F0862"/>
    <w:rsid w:val="006F10B5"/>
    <w:rsid w:val="006F17D0"/>
    <w:rsid w:val="006F2B02"/>
    <w:rsid w:val="006F57EA"/>
    <w:rsid w:val="006F6EF9"/>
    <w:rsid w:val="006F710A"/>
    <w:rsid w:val="006F7C72"/>
    <w:rsid w:val="007002EF"/>
    <w:rsid w:val="00700B9B"/>
    <w:rsid w:val="00700C00"/>
    <w:rsid w:val="00704192"/>
    <w:rsid w:val="007050B8"/>
    <w:rsid w:val="0070562E"/>
    <w:rsid w:val="007076F0"/>
    <w:rsid w:val="007128EF"/>
    <w:rsid w:val="007130F9"/>
    <w:rsid w:val="0071489C"/>
    <w:rsid w:val="00714C30"/>
    <w:rsid w:val="0071662C"/>
    <w:rsid w:val="00716CC5"/>
    <w:rsid w:val="00717BFE"/>
    <w:rsid w:val="00720318"/>
    <w:rsid w:val="00721D3A"/>
    <w:rsid w:val="00721F14"/>
    <w:rsid w:val="0072205A"/>
    <w:rsid w:val="0072379A"/>
    <w:rsid w:val="0072467E"/>
    <w:rsid w:val="00724B6D"/>
    <w:rsid w:val="0072632E"/>
    <w:rsid w:val="00726752"/>
    <w:rsid w:val="00726E5C"/>
    <w:rsid w:val="00727EED"/>
    <w:rsid w:val="00730534"/>
    <w:rsid w:val="00730760"/>
    <w:rsid w:val="00731026"/>
    <w:rsid w:val="00731C67"/>
    <w:rsid w:val="00734123"/>
    <w:rsid w:val="00735296"/>
    <w:rsid w:val="00736A1A"/>
    <w:rsid w:val="00736AC7"/>
    <w:rsid w:val="007400E0"/>
    <w:rsid w:val="00740B1D"/>
    <w:rsid w:val="0074414E"/>
    <w:rsid w:val="0074586F"/>
    <w:rsid w:val="007459B5"/>
    <w:rsid w:val="0074627F"/>
    <w:rsid w:val="007465DC"/>
    <w:rsid w:val="00747647"/>
    <w:rsid w:val="0075062F"/>
    <w:rsid w:val="007506FE"/>
    <w:rsid w:val="007514F0"/>
    <w:rsid w:val="00751DF2"/>
    <w:rsid w:val="00752426"/>
    <w:rsid w:val="007548EC"/>
    <w:rsid w:val="00754CB9"/>
    <w:rsid w:val="007553DC"/>
    <w:rsid w:val="00756C71"/>
    <w:rsid w:val="00756CE3"/>
    <w:rsid w:val="00756DD7"/>
    <w:rsid w:val="0075794C"/>
    <w:rsid w:val="00757BD8"/>
    <w:rsid w:val="007611B8"/>
    <w:rsid w:val="00761F9E"/>
    <w:rsid w:val="0076352F"/>
    <w:rsid w:val="00767D8C"/>
    <w:rsid w:val="0077048D"/>
    <w:rsid w:val="00770509"/>
    <w:rsid w:val="00770E8B"/>
    <w:rsid w:val="007712AB"/>
    <w:rsid w:val="007738C9"/>
    <w:rsid w:val="007738E0"/>
    <w:rsid w:val="007744B9"/>
    <w:rsid w:val="00775126"/>
    <w:rsid w:val="00777195"/>
    <w:rsid w:val="0078052B"/>
    <w:rsid w:val="00780C33"/>
    <w:rsid w:val="00781F7D"/>
    <w:rsid w:val="00784390"/>
    <w:rsid w:val="00785C00"/>
    <w:rsid w:val="00785F19"/>
    <w:rsid w:val="007863AC"/>
    <w:rsid w:val="00787D39"/>
    <w:rsid w:val="0079031F"/>
    <w:rsid w:val="00790AD6"/>
    <w:rsid w:val="007913D5"/>
    <w:rsid w:val="0079263B"/>
    <w:rsid w:val="00792C75"/>
    <w:rsid w:val="00797F95"/>
    <w:rsid w:val="007A00A3"/>
    <w:rsid w:val="007A00F5"/>
    <w:rsid w:val="007A0C09"/>
    <w:rsid w:val="007A0CEB"/>
    <w:rsid w:val="007A0D22"/>
    <w:rsid w:val="007A169A"/>
    <w:rsid w:val="007A2C36"/>
    <w:rsid w:val="007A3268"/>
    <w:rsid w:val="007A36F6"/>
    <w:rsid w:val="007A53FE"/>
    <w:rsid w:val="007A57E5"/>
    <w:rsid w:val="007A5F56"/>
    <w:rsid w:val="007A5F91"/>
    <w:rsid w:val="007A640A"/>
    <w:rsid w:val="007A6793"/>
    <w:rsid w:val="007A74A6"/>
    <w:rsid w:val="007A7CFF"/>
    <w:rsid w:val="007B0B61"/>
    <w:rsid w:val="007B1F22"/>
    <w:rsid w:val="007B28C6"/>
    <w:rsid w:val="007B43C6"/>
    <w:rsid w:val="007B4EF0"/>
    <w:rsid w:val="007B5E86"/>
    <w:rsid w:val="007B7183"/>
    <w:rsid w:val="007B724B"/>
    <w:rsid w:val="007B7F06"/>
    <w:rsid w:val="007C14F3"/>
    <w:rsid w:val="007C16FF"/>
    <w:rsid w:val="007C21B0"/>
    <w:rsid w:val="007C3A37"/>
    <w:rsid w:val="007C47D8"/>
    <w:rsid w:val="007C5403"/>
    <w:rsid w:val="007C6EAE"/>
    <w:rsid w:val="007C7889"/>
    <w:rsid w:val="007C78ED"/>
    <w:rsid w:val="007D0AFF"/>
    <w:rsid w:val="007D3CF5"/>
    <w:rsid w:val="007D45DF"/>
    <w:rsid w:val="007D5A1B"/>
    <w:rsid w:val="007D5BEB"/>
    <w:rsid w:val="007D7AB1"/>
    <w:rsid w:val="007D7D1D"/>
    <w:rsid w:val="007E0BCA"/>
    <w:rsid w:val="007E1649"/>
    <w:rsid w:val="007E1F04"/>
    <w:rsid w:val="007E1FBD"/>
    <w:rsid w:val="007E339D"/>
    <w:rsid w:val="007E4B82"/>
    <w:rsid w:val="007E530B"/>
    <w:rsid w:val="007E5B9E"/>
    <w:rsid w:val="007E77F7"/>
    <w:rsid w:val="007F369F"/>
    <w:rsid w:val="007F3A5F"/>
    <w:rsid w:val="007F3D2B"/>
    <w:rsid w:val="007F4309"/>
    <w:rsid w:val="007F533A"/>
    <w:rsid w:val="007F7C87"/>
    <w:rsid w:val="008002DA"/>
    <w:rsid w:val="00801604"/>
    <w:rsid w:val="0080442C"/>
    <w:rsid w:val="0080443D"/>
    <w:rsid w:val="00805243"/>
    <w:rsid w:val="008058E6"/>
    <w:rsid w:val="0080653A"/>
    <w:rsid w:val="00810F7D"/>
    <w:rsid w:val="00812672"/>
    <w:rsid w:val="00813307"/>
    <w:rsid w:val="008145C7"/>
    <w:rsid w:val="00814C83"/>
    <w:rsid w:val="00814F02"/>
    <w:rsid w:val="00816B23"/>
    <w:rsid w:val="00820C6B"/>
    <w:rsid w:val="0082159E"/>
    <w:rsid w:val="008215D8"/>
    <w:rsid w:val="00822799"/>
    <w:rsid w:val="008230A6"/>
    <w:rsid w:val="00824DE7"/>
    <w:rsid w:val="0082525B"/>
    <w:rsid w:val="00825F96"/>
    <w:rsid w:val="00826100"/>
    <w:rsid w:val="00827138"/>
    <w:rsid w:val="00827D2B"/>
    <w:rsid w:val="00831411"/>
    <w:rsid w:val="0083334B"/>
    <w:rsid w:val="00833946"/>
    <w:rsid w:val="00833B68"/>
    <w:rsid w:val="00834DEA"/>
    <w:rsid w:val="008372D7"/>
    <w:rsid w:val="00841E0A"/>
    <w:rsid w:val="0084374F"/>
    <w:rsid w:val="00843CC5"/>
    <w:rsid w:val="0084443D"/>
    <w:rsid w:val="0084502F"/>
    <w:rsid w:val="008467ED"/>
    <w:rsid w:val="008470A9"/>
    <w:rsid w:val="00852B5C"/>
    <w:rsid w:val="00853003"/>
    <w:rsid w:val="008531EA"/>
    <w:rsid w:val="00854B8C"/>
    <w:rsid w:val="00854E41"/>
    <w:rsid w:val="00856EA6"/>
    <w:rsid w:val="00860879"/>
    <w:rsid w:val="008639B2"/>
    <w:rsid w:val="008642BD"/>
    <w:rsid w:val="00864664"/>
    <w:rsid w:val="00865AFC"/>
    <w:rsid w:val="00865EA5"/>
    <w:rsid w:val="00866426"/>
    <w:rsid w:val="00867996"/>
    <w:rsid w:val="00870785"/>
    <w:rsid w:val="00870C9D"/>
    <w:rsid w:val="00872EBF"/>
    <w:rsid w:val="008735BE"/>
    <w:rsid w:val="008757C6"/>
    <w:rsid w:val="00876989"/>
    <w:rsid w:val="008777AE"/>
    <w:rsid w:val="008803A3"/>
    <w:rsid w:val="008818AF"/>
    <w:rsid w:val="00881C49"/>
    <w:rsid w:val="008831D0"/>
    <w:rsid w:val="0088349A"/>
    <w:rsid w:val="00883E71"/>
    <w:rsid w:val="00884190"/>
    <w:rsid w:val="00884385"/>
    <w:rsid w:val="0088489E"/>
    <w:rsid w:val="0088498D"/>
    <w:rsid w:val="00890906"/>
    <w:rsid w:val="00892D49"/>
    <w:rsid w:val="00894659"/>
    <w:rsid w:val="00894D79"/>
    <w:rsid w:val="00896600"/>
    <w:rsid w:val="008A094E"/>
    <w:rsid w:val="008A0D8D"/>
    <w:rsid w:val="008A1792"/>
    <w:rsid w:val="008A2A16"/>
    <w:rsid w:val="008A3B85"/>
    <w:rsid w:val="008A4C9F"/>
    <w:rsid w:val="008A7D32"/>
    <w:rsid w:val="008B01DD"/>
    <w:rsid w:val="008B0ACD"/>
    <w:rsid w:val="008B11B9"/>
    <w:rsid w:val="008B1751"/>
    <w:rsid w:val="008B316B"/>
    <w:rsid w:val="008B363D"/>
    <w:rsid w:val="008B6005"/>
    <w:rsid w:val="008B6CF1"/>
    <w:rsid w:val="008B711E"/>
    <w:rsid w:val="008C1406"/>
    <w:rsid w:val="008C14DD"/>
    <w:rsid w:val="008C19D8"/>
    <w:rsid w:val="008C267B"/>
    <w:rsid w:val="008C2E11"/>
    <w:rsid w:val="008C367E"/>
    <w:rsid w:val="008C5F1D"/>
    <w:rsid w:val="008C6008"/>
    <w:rsid w:val="008C6817"/>
    <w:rsid w:val="008C6CF1"/>
    <w:rsid w:val="008C75EC"/>
    <w:rsid w:val="008C798D"/>
    <w:rsid w:val="008D1B5F"/>
    <w:rsid w:val="008D2942"/>
    <w:rsid w:val="008D3C4C"/>
    <w:rsid w:val="008D542F"/>
    <w:rsid w:val="008D5578"/>
    <w:rsid w:val="008D592C"/>
    <w:rsid w:val="008D63E7"/>
    <w:rsid w:val="008D6E37"/>
    <w:rsid w:val="008D7803"/>
    <w:rsid w:val="008D7CDB"/>
    <w:rsid w:val="008E1988"/>
    <w:rsid w:val="008E1B98"/>
    <w:rsid w:val="008E1D79"/>
    <w:rsid w:val="008E2146"/>
    <w:rsid w:val="008E2199"/>
    <w:rsid w:val="008E4A94"/>
    <w:rsid w:val="008E4D4D"/>
    <w:rsid w:val="008E605D"/>
    <w:rsid w:val="008E65B4"/>
    <w:rsid w:val="008E6968"/>
    <w:rsid w:val="008F028A"/>
    <w:rsid w:val="008F0DEC"/>
    <w:rsid w:val="008F23B2"/>
    <w:rsid w:val="008F23E5"/>
    <w:rsid w:val="008F456E"/>
    <w:rsid w:val="008F62AD"/>
    <w:rsid w:val="008F672C"/>
    <w:rsid w:val="008F6863"/>
    <w:rsid w:val="008F6A43"/>
    <w:rsid w:val="00900561"/>
    <w:rsid w:val="0090064A"/>
    <w:rsid w:val="009011AF"/>
    <w:rsid w:val="009018D6"/>
    <w:rsid w:val="00901D3B"/>
    <w:rsid w:val="00902197"/>
    <w:rsid w:val="00902580"/>
    <w:rsid w:val="0090310D"/>
    <w:rsid w:val="00903847"/>
    <w:rsid w:val="0090393F"/>
    <w:rsid w:val="00903B48"/>
    <w:rsid w:val="0090415F"/>
    <w:rsid w:val="00904BAA"/>
    <w:rsid w:val="00904EC5"/>
    <w:rsid w:val="0090601B"/>
    <w:rsid w:val="00907165"/>
    <w:rsid w:val="009118AD"/>
    <w:rsid w:val="00914235"/>
    <w:rsid w:val="00914E2B"/>
    <w:rsid w:val="00917657"/>
    <w:rsid w:val="00920670"/>
    <w:rsid w:val="00921465"/>
    <w:rsid w:val="00921479"/>
    <w:rsid w:val="0092181B"/>
    <w:rsid w:val="00921934"/>
    <w:rsid w:val="00921C23"/>
    <w:rsid w:val="0092220A"/>
    <w:rsid w:val="0092252D"/>
    <w:rsid w:val="00924BCD"/>
    <w:rsid w:val="009252FF"/>
    <w:rsid w:val="0092548F"/>
    <w:rsid w:val="009259A6"/>
    <w:rsid w:val="00925DD7"/>
    <w:rsid w:val="009317E4"/>
    <w:rsid w:val="00932690"/>
    <w:rsid w:val="00933F9D"/>
    <w:rsid w:val="00937813"/>
    <w:rsid w:val="009415CC"/>
    <w:rsid w:val="00941E27"/>
    <w:rsid w:val="00941FCA"/>
    <w:rsid w:val="009427C5"/>
    <w:rsid w:val="00944AC5"/>
    <w:rsid w:val="0094538F"/>
    <w:rsid w:val="00945A0C"/>
    <w:rsid w:val="00945A72"/>
    <w:rsid w:val="009464B2"/>
    <w:rsid w:val="0094661C"/>
    <w:rsid w:val="009476A3"/>
    <w:rsid w:val="00951491"/>
    <w:rsid w:val="00952335"/>
    <w:rsid w:val="00952854"/>
    <w:rsid w:val="00953F4A"/>
    <w:rsid w:val="00954134"/>
    <w:rsid w:val="00954581"/>
    <w:rsid w:val="009554F8"/>
    <w:rsid w:val="0095594A"/>
    <w:rsid w:val="00956054"/>
    <w:rsid w:val="0095761E"/>
    <w:rsid w:val="00957B74"/>
    <w:rsid w:val="00957E7C"/>
    <w:rsid w:val="00957EBF"/>
    <w:rsid w:val="00960CC7"/>
    <w:rsid w:val="0096112C"/>
    <w:rsid w:val="009615B3"/>
    <w:rsid w:val="009619D8"/>
    <w:rsid w:val="00961AB4"/>
    <w:rsid w:val="00963F4D"/>
    <w:rsid w:val="00965292"/>
    <w:rsid w:val="009654C8"/>
    <w:rsid w:val="00965828"/>
    <w:rsid w:val="00965D13"/>
    <w:rsid w:val="00965EF8"/>
    <w:rsid w:val="00967180"/>
    <w:rsid w:val="00974058"/>
    <w:rsid w:val="009761A6"/>
    <w:rsid w:val="00980B4D"/>
    <w:rsid w:val="0098115A"/>
    <w:rsid w:val="009833CC"/>
    <w:rsid w:val="0098398C"/>
    <w:rsid w:val="00985927"/>
    <w:rsid w:val="0098662B"/>
    <w:rsid w:val="00987A97"/>
    <w:rsid w:val="00990CCA"/>
    <w:rsid w:val="009914AE"/>
    <w:rsid w:val="009964E3"/>
    <w:rsid w:val="00997A80"/>
    <w:rsid w:val="00997B3A"/>
    <w:rsid w:val="00997DD7"/>
    <w:rsid w:val="009A068F"/>
    <w:rsid w:val="009A1CAE"/>
    <w:rsid w:val="009A3419"/>
    <w:rsid w:val="009A3FB9"/>
    <w:rsid w:val="009A6047"/>
    <w:rsid w:val="009A62AB"/>
    <w:rsid w:val="009B01DB"/>
    <w:rsid w:val="009B12EE"/>
    <w:rsid w:val="009B1E4F"/>
    <w:rsid w:val="009B34F8"/>
    <w:rsid w:val="009B3638"/>
    <w:rsid w:val="009B56AD"/>
    <w:rsid w:val="009B5A34"/>
    <w:rsid w:val="009B7B7D"/>
    <w:rsid w:val="009C1BCD"/>
    <w:rsid w:val="009C21C9"/>
    <w:rsid w:val="009C25E4"/>
    <w:rsid w:val="009C3D8A"/>
    <w:rsid w:val="009C3F8E"/>
    <w:rsid w:val="009C4F9E"/>
    <w:rsid w:val="009D01FB"/>
    <w:rsid w:val="009D341F"/>
    <w:rsid w:val="009D3829"/>
    <w:rsid w:val="009D460E"/>
    <w:rsid w:val="009D4C43"/>
    <w:rsid w:val="009D4DBF"/>
    <w:rsid w:val="009D67A6"/>
    <w:rsid w:val="009D737C"/>
    <w:rsid w:val="009D7C5F"/>
    <w:rsid w:val="009E0140"/>
    <w:rsid w:val="009E0611"/>
    <w:rsid w:val="009E06B0"/>
    <w:rsid w:val="009E17B5"/>
    <w:rsid w:val="009E288E"/>
    <w:rsid w:val="009E4A50"/>
    <w:rsid w:val="009E5AEF"/>
    <w:rsid w:val="009E6408"/>
    <w:rsid w:val="009E6ED1"/>
    <w:rsid w:val="009E7304"/>
    <w:rsid w:val="009F15E1"/>
    <w:rsid w:val="009F2BAE"/>
    <w:rsid w:val="009F2DC5"/>
    <w:rsid w:val="009F6B82"/>
    <w:rsid w:val="00A006DE"/>
    <w:rsid w:val="00A019ED"/>
    <w:rsid w:val="00A01AFD"/>
    <w:rsid w:val="00A02210"/>
    <w:rsid w:val="00A02376"/>
    <w:rsid w:val="00A02407"/>
    <w:rsid w:val="00A02E8B"/>
    <w:rsid w:val="00A03549"/>
    <w:rsid w:val="00A04F4C"/>
    <w:rsid w:val="00A05B23"/>
    <w:rsid w:val="00A10AB9"/>
    <w:rsid w:val="00A11117"/>
    <w:rsid w:val="00A12778"/>
    <w:rsid w:val="00A133DE"/>
    <w:rsid w:val="00A13807"/>
    <w:rsid w:val="00A1586A"/>
    <w:rsid w:val="00A15C72"/>
    <w:rsid w:val="00A17320"/>
    <w:rsid w:val="00A2022F"/>
    <w:rsid w:val="00A2133E"/>
    <w:rsid w:val="00A222CF"/>
    <w:rsid w:val="00A22E9C"/>
    <w:rsid w:val="00A235FF"/>
    <w:rsid w:val="00A23E99"/>
    <w:rsid w:val="00A2541B"/>
    <w:rsid w:val="00A271B0"/>
    <w:rsid w:val="00A3045E"/>
    <w:rsid w:val="00A3092A"/>
    <w:rsid w:val="00A31CF6"/>
    <w:rsid w:val="00A327F7"/>
    <w:rsid w:val="00A334B4"/>
    <w:rsid w:val="00A357E3"/>
    <w:rsid w:val="00A359AE"/>
    <w:rsid w:val="00A3654A"/>
    <w:rsid w:val="00A37671"/>
    <w:rsid w:val="00A37C73"/>
    <w:rsid w:val="00A40BBF"/>
    <w:rsid w:val="00A40DF3"/>
    <w:rsid w:val="00A41139"/>
    <w:rsid w:val="00A41D50"/>
    <w:rsid w:val="00A427EC"/>
    <w:rsid w:val="00A43206"/>
    <w:rsid w:val="00A435F5"/>
    <w:rsid w:val="00A43805"/>
    <w:rsid w:val="00A44AAC"/>
    <w:rsid w:val="00A44DAB"/>
    <w:rsid w:val="00A44FE9"/>
    <w:rsid w:val="00A45347"/>
    <w:rsid w:val="00A46CE8"/>
    <w:rsid w:val="00A54D2C"/>
    <w:rsid w:val="00A61A0E"/>
    <w:rsid w:val="00A61C40"/>
    <w:rsid w:val="00A61F00"/>
    <w:rsid w:val="00A630D9"/>
    <w:rsid w:val="00A63538"/>
    <w:rsid w:val="00A63F5F"/>
    <w:rsid w:val="00A649D4"/>
    <w:rsid w:val="00A664E2"/>
    <w:rsid w:val="00A66A88"/>
    <w:rsid w:val="00A66C05"/>
    <w:rsid w:val="00A67141"/>
    <w:rsid w:val="00A703F0"/>
    <w:rsid w:val="00A70A05"/>
    <w:rsid w:val="00A70A48"/>
    <w:rsid w:val="00A719A8"/>
    <w:rsid w:val="00A71B28"/>
    <w:rsid w:val="00A73377"/>
    <w:rsid w:val="00A73BFF"/>
    <w:rsid w:val="00A75681"/>
    <w:rsid w:val="00A7593E"/>
    <w:rsid w:val="00A759D1"/>
    <w:rsid w:val="00A764B7"/>
    <w:rsid w:val="00A7764C"/>
    <w:rsid w:val="00A77880"/>
    <w:rsid w:val="00A8041A"/>
    <w:rsid w:val="00A825F0"/>
    <w:rsid w:val="00A8276E"/>
    <w:rsid w:val="00A82F68"/>
    <w:rsid w:val="00A858F6"/>
    <w:rsid w:val="00A86A86"/>
    <w:rsid w:val="00A87388"/>
    <w:rsid w:val="00A87B0F"/>
    <w:rsid w:val="00A87C0A"/>
    <w:rsid w:val="00A87E5C"/>
    <w:rsid w:val="00A87EB4"/>
    <w:rsid w:val="00A9011E"/>
    <w:rsid w:val="00A90B7E"/>
    <w:rsid w:val="00A92B17"/>
    <w:rsid w:val="00A92E40"/>
    <w:rsid w:val="00A9361C"/>
    <w:rsid w:val="00A960EF"/>
    <w:rsid w:val="00A9613A"/>
    <w:rsid w:val="00AA0D14"/>
    <w:rsid w:val="00AA32A6"/>
    <w:rsid w:val="00AA3768"/>
    <w:rsid w:val="00AA38CE"/>
    <w:rsid w:val="00AA3D3D"/>
    <w:rsid w:val="00AA5341"/>
    <w:rsid w:val="00AA5AE0"/>
    <w:rsid w:val="00AA6023"/>
    <w:rsid w:val="00AB068C"/>
    <w:rsid w:val="00AB078E"/>
    <w:rsid w:val="00AB0AC9"/>
    <w:rsid w:val="00AB1993"/>
    <w:rsid w:val="00AB1F2A"/>
    <w:rsid w:val="00AB37D3"/>
    <w:rsid w:val="00AC077B"/>
    <w:rsid w:val="00AC2762"/>
    <w:rsid w:val="00AC357C"/>
    <w:rsid w:val="00AC45CB"/>
    <w:rsid w:val="00AC668E"/>
    <w:rsid w:val="00AC6974"/>
    <w:rsid w:val="00AD083A"/>
    <w:rsid w:val="00AD15C8"/>
    <w:rsid w:val="00AD280E"/>
    <w:rsid w:val="00AD2AD1"/>
    <w:rsid w:val="00AD5587"/>
    <w:rsid w:val="00AD5733"/>
    <w:rsid w:val="00AD7EED"/>
    <w:rsid w:val="00AE084F"/>
    <w:rsid w:val="00AE104A"/>
    <w:rsid w:val="00AE2850"/>
    <w:rsid w:val="00AE4020"/>
    <w:rsid w:val="00AE4668"/>
    <w:rsid w:val="00AE7524"/>
    <w:rsid w:val="00AE7BEA"/>
    <w:rsid w:val="00AF0D9F"/>
    <w:rsid w:val="00AF0E97"/>
    <w:rsid w:val="00AF173F"/>
    <w:rsid w:val="00AF4295"/>
    <w:rsid w:val="00AF4B56"/>
    <w:rsid w:val="00AF54A8"/>
    <w:rsid w:val="00AF6A4D"/>
    <w:rsid w:val="00AF6BBD"/>
    <w:rsid w:val="00AF6C2B"/>
    <w:rsid w:val="00AF7BDE"/>
    <w:rsid w:val="00B026AC"/>
    <w:rsid w:val="00B03E20"/>
    <w:rsid w:val="00B04103"/>
    <w:rsid w:val="00B0588F"/>
    <w:rsid w:val="00B05EA1"/>
    <w:rsid w:val="00B06D56"/>
    <w:rsid w:val="00B06E24"/>
    <w:rsid w:val="00B06E58"/>
    <w:rsid w:val="00B076E8"/>
    <w:rsid w:val="00B07C0C"/>
    <w:rsid w:val="00B10631"/>
    <w:rsid w:val="00B10BF5"/>
    <w:rsid w:val="00B10D6F"/>
    <w:rsid w:val="00B11B19"/>
    <w:rsid w:val="00B1556F"/>
    <w:rsid w:val="00B1582D"/>
    <w:rsid w:val="00B16300"/>
    <w:rsid w:val="00B17E3A"/>
    <w:rsid w:val="00B17F61"/>
    <w:rsid w:val="00B21347"/>
    <w:rsid w:val="00B23176"/>
    <w:rsid w:val="00B23C98"/>
    <w:rsid w:val="00B249C7"/>
    <w:rsid w:val="00B24AAC"/>
    <w:rsid w:val="00B24B59"/>
    <w:rsid w:val="00B24CAB"/>
    <w:rsid w:val="00B252E5"/>
    <w:rsid w:val="00B25755"/>
    <w:rsid w:val="00B30355"/>
    <w:rsid w:val="00B3142F"/>
    <w:rsid w:val="00B33B53"/>
    <w:rsid w:val="00B33E6F"/>
    <w:rsid w:val="00B34B60"/>
    <w:rsid w:val="00B371DF"/>
    <w:rsid w:val="00B40BB9"/>
    <w:rsid w:val="00B40D5E"/>
    <w:rsid w:val="00B412EE"/>
    <w:rsid w:val="00B41AC7"/>
    <w:rsid w:val="00B41E54"/>
    <w:rsid w:val="00B42352"/>
    <w:rsid w:val="00B42506"/>
    <w:rsid w:val="00B43FC9"/>
    <w:rsid w:val="00B44D06"/>
    <w:rsid w:val="00B4506D"/>
    <w:rsid w:val="00B46443"/>
    <w:rsid w:val="00B47B8F"/>
    <w:rsid w:val="00B5147A"/>
    <w:rsid w:val="00B51FF5"/>
    <w:rsid w:val="00B52081"/>
    <w:rsid w:val="00B520FE"/>
    <w:rsid w:val="00B52FC5"/>
    <w:rsid w:val="00B5485F"/>
    <w:rsid w:val="00B57592"/>
    <w:rsid w:val="00B577E4"/>
    <w:rsid w:val="00B57E2F"/>
    <w:rsid w:val="00B60A40"/>
    <w:rsid w:val="00B60C94"/>
    <w:rsid w:val="00B615D1"/>
    <w:rsid w:val="00B62381"/>
    <w:rsid w:val="00B62953"/>
    <w:rsid w:val="00B62B3D"/>
    <w:rsid w:val="00B6407B"/>
    <w:rsid w:val="00B64D3A"/>
    <w:rsid w:val="00B665C6"/>
    <w:rsid w:val="00B66815"/>
    <w:rsid w:val="00B6734D"/>
    <w:rsid w:val="00B70160"/>
    <w:rsid w:val="00B718F8"/>
    <w:rsid w:val="00B71E9C"/>
    <w:rsid w:val="00B73B23"/>
    <w:rsid w:val="00B744F9"/>
    <w:rsid w:val="00B74A0C"/>
    <w:rsid w:val="00B74ABE"/>
    <w:rsid w:val="00B74CAC"/>
    <w:rsid w:val="00B75886"/>
    <w:rsid w:val="00B76E28"/>
    <w:rsid w:val="00B778FF"/>
    <w:rsid w:val="00B77F2B"/>
    <w:rsid w:val="00B81741"/>
    <w:rsid w:val="00B857AD"/>
    <w:rsid w:val="00B876B9"/>
    <w:rsid w:val="00B9008D"/>
    <w:rsid w:val="00B91B78"/>
    <w:rsid w:val="00B91C7B"/>
    <w:rsid w:val="00B91CC6"/>
    <w:rsid w:val="00B9226A"/>
    <w:rsid w:val="00B922D9"/>
    <w:rsid w:val="00B962AD"/>
    <w:rsid w:val="00B968B1"/>
    <w:rsid w:val="00BA01D2"/>
    <w:rsid w:val="00BA0F6E"/>
    <w:rsid w:val="00BA18E1"/>
    <w:rsid w:val="00BA229C"/>
    <w:rsid w:val="00BA7339"/>
    <w:rsid w:val="00BA7B3D"/>
    <w:rsid w:val="00BB10C6"/>
    <w:rsid w:val="00BB312B"/>
    <w:rsid w:val="00BB42B2"/>
    <w:rsid w:val="00BB4D37"/>
    <w:rsid w:val="00BB6F5C"/>
    <w:rsid w:val="00BB727B"/>
    <w:rsid w:val="00BB78BA"/>
    <w:rsid w:val="00BC147F"/>
    <w:rsid w:val="00BC163E"/>
    <w:rsid w:val="00BC1C68"/>
    <w:rsid w:val="00BC34DC"/>
    <w:rsid w:val="00BC40D8"/>
    <w:rsid w:val="00BC40E6"/>
    <w:rsid w:val="00BC6472"/>
    <w:rsid w:val="00BC6C38"/>
    <w:rsid w:val="00BC6CF7"/>
    <w:rsid w:val="00BC7DB9"/>
    <w:rsid w:val="00BD11A7"/>
    <w:rsid w:val="00BD19B9"/>
    <w:rsid w:val="00BD3CEB"/>
    <w:rsid w:val="00BD3F73"/>
    <w:rsid w:val="00BD4CF8"/>
    <w:rsid w:val="00BD52D1"/>
    <w:rsid w:val="00BD5E61"/>
    <w:rsid w:val="00BE0B2C"/>
    <w:rsid w:val="00BE395E"/>
    <w:rsid w:val="00BE566B"/>
    <w:rsid w:val="00BE74E2"/>
    <w:rsid w:val="00BE776E"/>
    <w:rsid w:val="00BF0023"/>
    <w:rsid w:val="00BF0096"/>
    <w:rsid w:val="00BF096D"/>
    <w:rsid w:val="00BF12E7"/>
    <w:rsid w:val="00BF1696"/>
    <w:rsid w:val="00BF1750"/>
    <w:rsid w:val="00BF19F3"/>
    <w:rsid w:val="00BF2B78"/>
    <w:rsid w:val="00BF2BBF"/>
    <w:rsid w:val="00BF2C8C"/>
    <w:rsid w:val="00BF32D9"/>
    <w:rsid w:val="00BF3C19"/>
    <w:rsid w:val="00BF3FCD"/>
    <w:rsid w:val="00BF410F"/>
    <w:rsid w:val="00BF53FE"/>
    <w:rsid w:val="00BF541B"/>
    <w:rsid w:val="00BF7DB7"/>
    <w:rsid w:val="00C0058C"/>
    <w:rsid w:val="00C009B3"/>
    <w:rsid w:val="00C024A5"/>
    <w:rsid w:val="00C03AAF"/>
    <w:rsid w:val="00C0562C"/>
    <w:rsid w:val="00C065AD"/>
    <w:rsid w:val="00C079C9"/>
    <w:rsid w:val="00C1067B"/>
    <w:rsid w:val="00C10AEC"/>
    <w:rsid w:val="00C112B4"/>
    <w:rsid w:val="00C11402"/>
    <w:rsid w:val="00C1258E"/>
    <w:rsid w:val="00C12DED"/>
    <w:rsid w:val="00C1320C"/>
    <w:rsid w:val="00C13D87"/>
    <w:rsid w:val="00C16283"/>
    <w:rsid w:val="00C1783E"/>
    <w:rsid w:val="00C17955"/>
    <w:rsid w:val="00C214D7"/>
    <w:rsid w:val="00C214E4"/>
    <w:rsid w:val="00C219EF"/>
    <w:rsid w:val="00C21DD8"/>
    <w:rsid w:val="00C2264A"/>
    <w:rsid w:val="00C25C98"/>
    <w:rsid w:val="00C2647F"/>
    <w:rsid w:val="00C27D6F"/>
    <w:rsid w:val="00C3148A"/>
    <w:rsid w:val="00C33023"/>
    <w:rsid w:val="00C33239"/>
    <w:rsid w:val="00C340C7"/>
    <w:rsid w:val="00C34731"/>
    <w:rsid w:val="00C3553C"/>
    <w:rsid w:val="00C35946"/>
    <w:rsid w:val="00C35FA4"/>
    <w:rsid w:val="00C3601B"/>
    <w:rsid w:val="00C36CDA"/>
    <w:rsid w:val="00C37090"/>
    <w:rsid w:val="00C40BA7"/>
    <w:rsid w:val="00C41BFB"/>
    <w:rsid w:val="00C41CFD"/>
    <w:rsid w:val="00C42970"/>
    <w:rsid w:val="00C42C38"/>
    <w:rsid w:val="00C457A8"/>
    <w:rsid w:val="00C47866"/>
    <w:rsid w:val="00C509EA"/>
    <w:rsid w:val="00C51001"/>
    <w:rsid w:val="00C5365E"/>
    <w:rsid w:val="00C556F9"/>
    <w:rsid w:val="00C55F8B"/>
    <w:rsid w:val="00C574FE"/>
    <w:rsid w:val="00C57973"/>
    <w:rsid w:val="00C6149C"/>
    <w:rsid w:val="00C62F92"/>
    <w:rsid w:val="00C63674"/>
    <w:rsid w:val="00C64805"/>
    <w:rsid w:val="00C64D4C"/>
    <w:rsid w:val="00C64F8E"/>
    <w:rsid w:val="00C65019"/>
    <w:rsid w:val="00C662AA"/>
    <w:rsid w:val="00C705E7"/>
    <w:rsid w:val="00C71043"/>
    <w:rsid w:val="00C724E8"/>
    <w:rsid w:val="00C73159"/>
    <w:rsid w:val="00C74760"/>
    <w:rsid w:val="00C74D04"/>
    <w:rsid w:val="00C76157"/>
    <w:rsid w:val="00C7685C"/>
    <w:rsid w:val="00C81500"/>
    <w:rsid w:val="00C81E0C"/>
    <w:rsid w:val="00C822E8"/>
    <w:rsid w:val="00C8259D"/>
    <w:rsid w:val="00C83FB7"/>
    <w:rsid w:val="00C84375"/>
    <w:rsid w:val="00C84F02"/>
    <w:rsid w:val="00C8565E"/>
    <w:rsid w:val="00C85903"/>
    <w:rsid w:val="00C85F85"/>
    <w:rsid w:val="00C8661C"/>
    <w:rsid w:val="00C9184E"/>
    <w:rsid w:val="00C933B6"/>
    <w:rsid w:val="00C94327"/>
    <w:rsid w:val="00C9466B"/>
    <w:rsid w:val="00CA0B6B"/>
    <w:rsid w:val="00CA1AA9"/>
    <w:rsid w:val="00CA2D37"/>
    <w:rsid w:val="00CA41A5"/>
    <w:rsid w:val="00CA4E19"/>
    <w:rsid w:val="00CB007E"/>
    <w:rsid w:val="00CB0277"/>
    <w:rsid w:val="00CB2054"/>
    <w:rsid w:val="00CB27F1"/>
    <w:rsid w:val="00CB2D46"/>
    <w:rsid w:val="00CB2E8D"/>
    <w:rsid w:val="00CB3326"/>
    <w:rsid w:val="00CB4992"/>
    <w:rsid w:val="00CB4D44"/>
    <w:rsid w:val="00CB5BB7"/>
    <w:rsid w:val="00CB5D14"/>
    <w:rsid w:val="00CB69AE"/>
    <w:rsid w:val="00CB74F7"/>
    <w:rsid w:val="00CB764E"/>
    <w:rsid w:val="00CC0F48"/>
    <w:rsid w:val="00CC10DF"/>
    <w:rsid w:val="00CC12E9"/>
    <w:rsid w:val="00CC14A3"/>
    <w:rsid w:val="00CC2635"/>
    <w:rsid w:val="00CC2680"/>
    <w:rsid w:val="00CC2A72"/>
    <w:rsid w:val="00CC49CF"/>
    <w:rsid w:val="00CC4A29"/>
    <w:rsid w:val="00CC50B8"/>
    <w:rsid w:val="00CC61B2"/>
    <w:rsid w:val="00CC6363"/>
    <w:rsid w:val="00CC7500"/>
    <w:rsid w:val="00CD0983"/>
    <w:rsid w:val="00CD0C64"/>
    <w:rsid w:val="00CD0F15"/>
    <w:rsid w:val="00CD2239"/>
    <w:rsid w:val="00CD32AF"/>
    <w:rsid w:val="00CD3C2B"/>
    <w:rsid w:val="00CD5D25"/>
    <w:rsid w:val="00CD6054"/>
    <w:rsid w:val="00CD6C7F"/>
    <w:rsid w:val="00CD7F06"/>
    <w:rsid w:val="00CE0E9C"/>
    <w:rsid w:val="00CE19CD"/>
    <w:rsid w:val="00CE1EFB"/>
    <w:rsid w:val="00CE2720"/>
    <w:rsid w:val="00CE434C"/>
    <w:rsid w:val="00CE48DF"/>
    <w:rsid w:val="00CF1A02"/>
    <w:rsid w:val="00CF4AFC"/>
    <w:rsid w:val="00CF58F7"/>
    <w:rsid w:val="00CF5AFD"/>
    <w:rsid w:val="00CF72F3"/>
    <w:rsid w:val="00CF7410"/>
    <w:rsid w:val="00CF75A7"/>
    <w:rsid w:val="00CF7845"/>
    <w:rsid w:val="00D004E0"/>
    <w:rsid w:val="00D0385A"/>
    <w:rsid w:val="00D04643"/>
    <w:rsid w:val="00D04D05"/>
    <w:rsid w:val="00D05578"/>
    <w:rsid w:val="00D05666"/>
    <w:rsid w:val="00D07746"/>
    <w:rsid w:val="00D13860"/>
    <w:rsid w:val="00D14759"/>
    <w:rsid w:val="00D15D26"/>
    <w:rsid w:val="00D16D7B"/>
    <w:rsid w:val="00D178B9"/>
    <w:rsid w:val="00D178F7"/>
    <w:rsid w:val="00D22C72"/>
    <w:rsid w:val="00D23888"/>
    <w:rsid w:val="00D247AC"/>
    <w:rsid w:val="00D24D81"/>
    <w:rsid w:val="00D302AB"/>
    <w:rsid w:val="00D31414"/>
    <w:rsid w:val="00D35EF3"/>
    <w:rsid w:val="00D369B0"/>
    <w:rsid w:val="00D36E20"/>
    <w:rsid w:val="00D4137A"/>
    <w:rsid w:val="00D42018"/>
    <w:rsid w:val="00D43E96"/>
    <w:rsid w:val="00D44BCE"/>
    <w:rsid w:val="00D45BE7"/>
    <w:rsid w:val="00D477D1"/>
    <w:rsid w:val="00D47EAA"/>
    <w:rsid w:val="00D5027F"/>
    <w:rsid w:val="00D509E2"/>
    <w:rsid w:val="00D51734"/>
    <w:rsid w:val="00D53001"/>
    <w:rsid w:val="00D53A59"/>
    <w:rsid w:val="00D54EC3"/>
    <w:rsid w:val="00D567A0"/>
    <w:rsid w:val="00D56C78"/>
    <w:rsid w:val="00D61619"/>
    <w:rsid w:val="00D61B5B"/>
    <w:rsid w:val="00D63208"/>
    <w:rsid w:val="00D63232"/>
    <w:rsid w:val="00D6347D"/>
    <w:rsid w:val="00D64014"/>
    <w:rsid w:val="00D64959"/>
    <w:rsid w:val="00D64A99"/>
    <w:rsid w:val="00D66BBC"/>
    <w:rsid w:val="00D66F66"/>
    <w:rsid w:val="00D66FDF"/>
    <w:rsid w:val="00D70BDB"/>
    <w:rsid w:val="00D70D38"/>
    <w:rsid w:val="00D72CB5"/>
    <w:rsid w:val="00D73AF8"/>
    <w:rsid w:val="00D74C4B"/>
    <w:rsid w:val="00D8166E"/>
    <w:rsid w:val="00D81B61"/>
    <w:rsid w:val="00D82A0F"/>
    <w:rsid w:val="00D83A3F"/>
    <w:rsid w:val="00D843EE"/>
    <w:rsid w:val="00D84440"/>
    <w:rsid w:val="00D85911"/>
    <w:rsid w:val="00D85D2C"/>
    <w:rsid w:val="00D878A7"/>
    <w:rsid w:val="00D87D48"/>
    <w:rsid w:val="00D91B39"/>
    <w:rsid w:val="00D928E0"/>
    <w:rsid w:val="00D95BC0"/>
    <w:rsid w:val="00D962F6"/>
    <w:rsid w:val="00D96B3C"/>
    <w:rsid w:val="00D97EE4"/>
    <w:rsid w:val="00DA0402"/>
    <w:rsid w:val="00DA1B65"/>
    <w:rsid w:val="00DA1BCD"/>
    <w:rsid w:val="00DA251B"/>
    <w:rsid w:val="00DA2A28"/>
    <w:rsid w:val="00DA2BD2"/>
    <w:rsid w:val="00DA4192"/>
    <w:rsid w:val="00DA5D2D"/>
    <w:rsid w:val="00DA6AFE"/>
    <w:rsid w:val="00DB180D"/>
    <w:rsid w:val="00DB1AE7"/>
    <w:rsid w:val="00DB5AB6"/>
    <w:rsid w:val="00DB5D0D"/>
    <w:rsid w:val="00DB5F1E"/>
    <w:rsid w:val="00DB7199"/>
    <w:rsid w:val="00DB7F4F"/>
    <w:rsid w:val="00DC0666"/>
    <w:rsid w:val="00DC15AF"/>
    <w:rsid w:val="00DC168D"/>
    <w:rsid w:val="00DC2249"/>
    <w:rsid w:val="00DC235A"/>
    <w:rsid w:val="00DC36D1"/>
    <w:rsid w:val="00DC39B9"/>
    <w:rsid w:val="00DC3A62"/>
    <w:rsid w:val="00DC4508"/>
    <w:rsid w:val="00DC5260"/>
    <w:rsid w:val="00DC6488"/>
    <w:rsid w:val="00DC711E"/>
    <w:rsid w:val="00DD17CB"/>
    <w:rsid w:val="00DD17E9"/>
    <w:rsid w:val="00DD252D"/>
    <w:rsid w:val="00DD3882"/>
    <w:rsid w:val="00DD4E81"/>
    <w:rsid w:val="00DD5395"/>
    <w:rsid w:val="00DD7B9C"/>
    <w:rsid w:val="00DD7EB9"/>
    <w:rsid w:val="00DE0812"/>
    <w:rsid w:val="00DE10D0"/>
    <w:rsid w:val="00DE1FCF"/>
    <w:rsid w:val="00DE4834"/>
    <w:rsid w:val="00DE5775"/>
    <w:rsid w:val="00DE6D00"/>
    <w:rsid w:val="00DE798F"/>
    <w:rsid w:val="00DE7A45"/>
    <w:rsid w:val="00DF156B"/>
    <w:rsid w:val="00DF36DF"/>
    <w:rsid w:val="00DF400C"/>
    <w:rsid w:val="00DF44BA"/>
    <w:rsid w:val="00DF4D46"/>
    <w:rsid w:val="00DF6BA5"/>
    <w:rsid w:val="00DF7A9C"/>
    <w:rsid w:val="00DF7F01"/>
    <w:rsid w:val="00E00D6E"/>
    <w:rsid w:val="00E01A37"/>
    <w:rsid w:val="00E02293"/>
    <w:rsid w:val="00E02A31"/>
    <w:rsid w:val="00E045BE"/>
    <w:rsid w:val="00E056A4"/>
    <w:rsid w:val="00E0604E"/>
    <w:rsid w:val="00E06490"/>
    <w:rsid w:val="00E07484"/>
    <w:rsid w:val="00E1137F"/>
    <w:rsid w:val="00E115E1"/>
    <w:rsid w:val="00E11D5F"/>
    <w:rsid w:val="00E126E8"/>
    <w:rsid w:val="00E142E7"/>
    <w:rsid w:val="00E15179"/>
    <w:rsid w:val="00E15ECA"/>
    <w:rsid w:val="00E16D3A"/>
    <w:rsid w:val="00E174E8"/>
    <w:rsid w:val="00E17EEE"/>
    <w:rsid w:val="00E20B0B"/>
    <w:rsid w:val="00E227D2"/>
    <w:rsid w:val="00E23315"/>
    <w:rsid w:val="00E24670"/>
    <w:rsid w:val="00E24C3D"/>
    <w:rsid w:val="00E25199"/>
    <w:rsid w:val="00E27DD4"/>
    <w:rsid w:val="00E32993"/>
    <w:rsid w:val="00E33362"/>
    <w:rsid w:val="00E338FE"/>
    <w:rsid w:val="00E33BBA"/>
    <w:rsid w:val="00E34913"/>
    <w:rsid w:val="00E354DE"/>
    <w:rsid w:val="00E415FA"/>
    <w:rsid w:val="00E41C32"/>
    <w:rsid w:val="00E42020"/>
    <w:rsid w:val="00E43286"/>
    <w:rsid w:val="00E4358C"/>
    <w:rsid w:val="00E463C6"/>
    <w:rsid w:val="00E464CF"/>
    <w:rsid w:val="00E46594"/>
    <w:rsid w:val="00E46746"/>
    <w:rsid w:val="00E474E3"/>
    <w:rsid w:val="00E502E1"/>
    <w:rsid w:val="00E51174"/>
    <w:rsid w:val="00E535F2"/>
    <w:rsid w:val="00E539C3"/>
    <w:rsid w:val="00E53E2C"/>
    <w:rsid w:val="00E54253"/>
    <w:rsid w:val="00E56AFF"/>
    <w:rsid w:val="00E575E3"/>
    <w:rsid w:val="00E60656"/>
    <w:rsid w:val="00E610A6"/>
    <w:rsid w:val="00E6235A"/>
    <w:rsid w:val="00E62487"/>
    <w:rsid w:val="00E62CD5"/>
    <w:rsid w:val="00E63591"/>
    <w:rsid w:val="00E63C5B"/>
    <w:rsid w:val="00E645E9"/>
    <w:rsid w:val="00E650E1"/>
    <w:rsid w:val="00E65509"/>
    <w:rsid w:val="00E65A71"/>
    <w:rsid w:val="00E65B1E"/>
    <w:rsid w:val="00E65B4C"/>
    <w:rsid w:val="00E66190"/>
    <w:rsid w:val="00E670D4"/>
    <w:rsid w:val="00E70E1F"/>
    <w:rsid w:val="00E71402"/>
    <w:rsid w:val="00E720AE"/>
    <w:rsid w:val="00E7264F"/>
    <w:rsid w:val="00E7335C"/>
    <w:rsid w:val="00E7442B"/>
    <w:rsid w:val="00E750D6"/>
    <w:rsid w:val="00E75971"/>
    <w:rsid w:val="00E76334"/>
    <w:rsid w:val="00E80134"/>
    <w:rsid w:val="00E8053B"/>
    <w:rsid w:val="00E80923"/>
    <w:rsid w:val="00E80C2E"/>
    <w:rsid w:val="00E80FE2"/>
    <w:rsid w:val="00E81065"/>
    <w:rsid w:val="00E812F2"/>
    <w:rsid w:val="00E8392A"/>
    <w:rsid w:val="00E84C73"/>
    <w:rsid w:val="00E85CEB"/>
    <w:rsid w:val="00E86AEE"/>
    <w:rsid w:val="00E86E09"/>
    <w:rsid w:val="00E87664"/>
    <w:rsid w:val="00E876A7"/>
    <w:rsid w:val="00E906F5"/>
    <w:rsid w:val="00E948C8"/>
    <w:rsid w:val="00E95EE8"/>
    <w:rsid w:val="00E9717B"/>
    <w:rsid w:val="00E975B7"/>
    <w:rsid w:val="00E97A2F"/>
    <w:rsid w:val="00EA3441"/>
    <w:rsid w:val="00EA3EB1"/>
    <w:rsid w:val="00EA62BD"/>
    <w:rsid w:val="00EA69ED"/>
    <w:rsid w:val="00EA6A0F"/>
    <w:rsid w:val="00EB03E4"/>
    <w:rsid w:val="00EB0656"/>
    <w:rsid w:val="00EB2DEC"/>
    <w:rsid w:val="00EB4E0B"/>
    <w:rsid w:val="00EB5969"/>
    <w:rsid w:val="00EB5E2C"/>
    <w:rsid w:val="00EB618B"/>
    <w:rsid w:val="00EB6511"/>
    <w:rsid w:val="00EC5EBE"/>
    <w:rsid w:val="00EC6515"/>
    <w:rsid w:val="00EC6BAE"/>
    <w:rsid w:val="00EC6E61"/>
    <w:rsid w:val="00EC73AA"/>
    <w:rsid w:val="00EC78C6"/>
    <w:rsid w:val="00EC7EE8"/>
    <w:rsid w:val="00ED0550"/>
    <w:rsid w:val="00ED0805"/>
    <w:rsid w:val="00ED1385"/>
    <w:rsid w:val="00ED28F6"/>
    <w:rsid w:val="00ED4EA2"/>
    <w:rsid w:val="00ED5A19"/>
    <w:rsid w:val="00ED617D"/>
    <w:rsid w:val="00ED61DE"/>
    <w:rsid w:val="00ED66D0"/>
    <w:rsid w:val="00EE22F1"/>
    <w:rsid w:val="00EE26AE"/>
    <w:rsid w:val="00EE3613"/>
    <w:rsid w:val="00EE4087"/>
    <w:rsid w:val="00EE5013"/>
    <w:rsid w:val="00EE6964"/>
    <w:rsid w:val="00EE762D"/>
    <w:rsid w:val="00EE7754"/>
    <w:rsid w:val="00EF09BE"/>
    <w:rsid w:val="00EF163D"/>
    <w:rsid w:val="00EF1D58"/>
    <w:rsid w:val="00EF1F9C"/>
    <w:rsid w:val="00EF1FE9"/>
    <w:rsid w:val="00EF286E"/>
    <w:rsid w:val="00EF4028"/>
    <w:rsid w:val="00EF5296"/>
    <w:rsid w:val="00EF784C"/>
    <w:rsid w:val="00F009B4"/>
    <w:rsid w:val="00F0251B"/>
    <w:rsid w:val="00F03C45"/>
    <w:rsid w:val="00F0653C"/>
    <w:rsid w:val="00F0690A"/>
    <w:rsid w:val="00F071F0"/>
    <w:rsid w:val="00F10705"/>
    <w:rsid w:val="00F1342E"/>
    <w:rsid w:val="00F155E0"/>
    <w:rsid w:val="00F15638"/>
    <w:rsid w:val="00F15D9B"/>
    <w:rsid w:val="00F173E9"/>
    <w:rsid w:val="00F175F2"/>
    <w:rsid w:val="00F20009"/>
    <w:rsid w:val="00F20913"/>
    <w:rsid w:val="00F21B32"/>
    <w:rsid w:val="00F21F04"/>
    <w:rsid w:val="00F2316A"/>
    <w:rsid w:val="00F244C8"/>
    <w:rsid w:val="00F268C8"/>
    <w:rsid w:val="00F31A39"/>
    <w:rsid w:val="00F31A48"/>
    <w:rsid w:val="00F31B51"/>
    <w:rsid w:val="00F320BA"/>
    <w:rsid w:val="00F32E46"/>
    <w:rsid w:val="00F3499C"/>
    <w:rsid w:val="00F37D1B"/>
    <w:rsid w:val="00F40C18"/>
    <w:rsid w:val="00F43595"/>
    <w:rsid w:val="00F45792"/>
    <w:rsid w:val="00F50090"/>
    <w:rsid w:val="00F514FC"/>
    <w:rsid w:val="00F5256C"/>
    <w:rsid w:val="00F53D59"/>
    <w:rsid w:val="00F5462F"/>
    <w:rsid w:val="00F560D7"/>
    <w:rsid w:val="00F56F61"/>
    <w:rsid w:val="00F6020F"/>
    <w:rsid w:val="00F60867"/>
    <w:rsid w:val="00F63C13"/>
    <w:rsid w:val="00F67FDC"/>
    <w:rsid w:val="00F72838"/>
    <w:rsid w:val="00F747E2"/>
    <w:rsid w:val="00F766A8"/>
    <w:rsid w:val="00F76E72"/>
    <w:rsid w:val="00F77221"/>
    <w:rsid w:val="00F80973"/>
    <w:rsid w:val="00F8103A"/>
    <w:rsid w:val="00F8179E"/>
    <w:rsid w:val="00F822E8"/>
    <w:rsid w:val="00F82BAD"/>
    <w:rsid w:val="00F832A3"/>
    <w:rsid w:val="00F83B55"/>
    <w:rsid w:val="00F83C88"/>
    <w:rsid w:val="00F8418C"/>
    <w:rsid w:val="00F84583"/>
    <w:rsid w:val="00F85013"/>
    <w:rsid w:val="00F86034"/>
    <w:rsid w:val="00F91841"/>
    <w:rsid w:val="00F92E1E"/>
    <w:rsid w:val="00F94366"/>
    <w:rsid w:val="00F96753"/>
    <w:rsid w:val="00F96A10"/>
    <w:rsid w:val="00FA031D"/>
    <w:rsid w:val="00FA0E22"/>
    <w:rsid w:val="00FA26F5"/>
    <w:rsid w:val="00FA27BC"/>
    <w:rsid w:val="00FA2D14"/>
    <w:rsid w:val="00FA3EC6"/>
    <w:rsid w:val="00FA3FF0"/>
    <w:rsid w:val="00FA4B5E"/>
    <w:rsid w:val="00FA5537"/>
    <w:rsid w:val="00FA6AFD"/>
    <w:rsid w:val="00FA79E6"/>
    <w:rsid w:val="00FB0102"/>
    <w:rsid w:val="00FB01BF"/>
    <w:rsid w:val="00FB1BD7"/>
    <w:rsid w:val="00FB2A8E"/>
    <w:rsid w:val="00FB3003"/>
    <w:rsid w:val="00FB31F3"/>
    <w:rsid w:val="00FB69CD"/>
    <w:rsid w:val="00FC1034"/>
    <w:rsid w:val="00FC12C6"/>
    <w:rsid w:val="00FC23B0"/>
    <w:rsid w:val="00FC26A6"/>
    <w:rsid w:val="00FC2FB6"/>
    <w:rsid w:val="00FC7D7C"/>
    <w:rsid w:val="00FD1B92"/>
    <w:rsid w:val="00FD1F87"/>
    <w:rsid w:val="00FD20F9"/>
    <w:rsid w:val="00FD29C0"/>
    <w:rsid w:val="00FD2E55"/>
    <w:rsid w:val="00FE0537"/>
    <w:rsid w:val="00FE1A4F"/>
    <w:rsid w:val="00FE446B"/>
    <w:rsid w:val="00FE63DE"/>
    <w:rsid w:val="00FE795C"/>
    <w:rsid w:val="00FE7A1A"/>
    <w:rsid w:val="00FE7D00"/>
    <w:rsid w:val="00FF1A38"/>
    <w:rsid w:val="00FF1B5D"/>
    <w:rsid w:val="00FF283A"/>
    <w:rsid w:val="00FF28D3"/>
    <w:rsid w:val="00FF2A04"/>
    <w:rsid w:val="00FF6258"/>
    <w:rsid w:val="00FF7EE1"/>
    <w:rsid w:val="0262D6C5"/>
    <w:rsid w:val="067A8D35"/>
    <w:rsid w:val="08111316"/>
    <w:rsid w:val="0E7C0A66"/>
    <w:rsid w:val="0F131E7F"/>
    <w:rsid w:val="14DCB460"/>
    <w:rsid w:val="1AD76398"/>
    <w:rsid w:val="1AFA847E"/>
    <w:rsid w:val="1DD5C7BC"/>
    <w:rsid w:val="2210DF5F"/>
    <w:rsid w:val="25A9C45B"/>
    <w:rsid w:val="274ABEEA"/>
    <w:rsid w:val="28B13F9C"/>
    <w:rsid w:val="2A1AB5A6"/>
    <w:rsid w:val="2AE6724A"/>
    <w:rsid w:val="325F15C5"/>
    <w:rsid w:val="34247C95"/>
    <w:rsid w:val="3940E21F"/>
    <w:rsid w:val="4240193A"/>
    <w:rsid w:val="42851029"/>
    <w:rsid w:val="4CDB55EB"/>
    <w:rsid w:val="514A4ECE"/>
    <w:rsid w:val="53691CA1"/>
    <w:rsid w:val="56A025EB"/>
    <w:rsid w:val="57466CF1"/>
    <w:rsid w:val="59D72F35"/>
    <w:rsid w:val="5A23AE08"/>
    <w:rsid w:val="5BC411F0"/>
    <w:rsid w:val="5E335C8A"/>
    <w:rsid w:val="5EC5CB8B"/>
    <w:rsid w:val="6501B699"/>
    <w:rsid w:val="65922F41"/>
    <w:rsid w:val="681D07D0"/>
    <w:rsid w:val="69628964"/>
    <w:rsid w:val="6A5CB4B3"/>
    <w:rsid w:val="70912002"/>
    <w:rsid w:val="78A9DAD0"/>
    <w:rsid w:val="7A60B78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ADA479EA-2622-4EF9-9414-6BAD0F03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9A"/>
    <w:pPr>
      <w:tabs>
        <w:tab w:val="left" w:pos="288"/>
      </w:tabs>
      <w:spacing w:after="0" w:line="240" w:lineRule="auto"/>
      <w:jc w:val="both"/>
    </w:pPr>
    <w:rPr>
      <w:rFonts w:eastAsiaTheme="minorEastAsia" w:cs="Times New Roman"/>
      <w:szCs w:val="24"/>
      <w:lang w:eastAsia="ja-JP"/>
    </w:rPr>
  </w:style>
  <w:style w:type="paragraph" w:styleId="Heading1">
    <w:name w:val="heading 1"/>
    <w:basedOn w:val="Normal"/>
    <w:next w:val="Normal"/>
    <w:link w:val="Heading1Char"/>
    <w:uiPriority w:val="9"/>
    <w:qFormat/>
    <w:rsid w:val="008C19D8"/>
    <w:pPr>
      <w:keepNext/>
      <w:keepLines/>
      <w:tabs>
        <w:tab w:val="clear" w:pos="288"/>
      </w:tabs>
      <w:spacing w:before="480" w:line="276" w:lineRule="auto"/>
      <w:outlineLvl w:val="0"/>
    </w:pPr>
    <w:rPr>
      <w:rFonts w:eastAsia="Times New Roman"/>
      <w:b/>
      <w:bCs/>
      <w:color w:val="808080" w:themeColor="background1" w:themeShade="8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8C19D8"/>
    <w:rPr>
      <w:rFonts w:eastAsia="Times New Roman" w:cs="Times New Roman"/>
      <w:b/>
      <w:bCs/>
      <w:color w:val="808080" w:themeColor="background1" w:themeShade="80"/>
      <w:sz w:val="28"/>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sz w:val="24"/>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NoSpacing">
    <w:name w:val="No Spacing"/>
    <w:uiPriority w:val="1"/>
    <w:qFormat/>
    <w:rsid w:val="00E174E8"/>
    <w:pPr>
      <w:tabs>
        <w:tab w:val="left" w:pos="288"/>
      </w:tabs>
      <w:spacing w:after="0" w:line="240" w:lineRule="auto"/>
      <w:jc w:val="both"/>
    </w:pPr>
    <w:rPr>
      <w:rFonts w:eastAsiaTheme="minorEastAsia" w:cs="Times New Roman"/>
      <w:szCs w:val="24"/>
      <w:lang w:eastAsia="ja-JP"/>
    </w:rPr>
  </w:style>
  <w:style w:type="paragraph" w:styleId="FootnoteText">
    <w:name w:val="footnote text"/>
    <w:basedOn w:val="Normal"/>
    <w:link w:val="FootnoteTextChar"/>
    <w:uiPriority w:val="99"/>
    <w:semiHidden/>
    <w:unhideWhenUsed/>
    <w:rsid w:val="0063473D"/>
    <w:pPr>
      <w:ind w:left="288"/>
      <w:jc w:val="left"/>
    </w:pPr>
    <w:rPr>
      <w:rFonts w:ascii="Arial" w:hAnsi="Arial"/>
      <w:sz w:val="20"/>
      <w:szCs w:val="20"/>
    </w:rPr>
  </w:style>
  <w:style w:type="character" w:customStyle="1" w:styleId="FootnoteTextChar">
    <w:name w:val="Footnote Text Char"/>
    <w:basedOn w:val="DefaultParagraphFont"/>
    <w:link w:val="FootnoteText"/>
    <w:uiPriority w:val="99"/>
    <w:semiHidden/>
    <w:rsid w:val="0063473D"/>
    <w:rPr>
      <w:rFonts w:ascii="Arial" w:eastAsiaTheme="minorEastAsia" w:hAnsi="Arial" w:cs="Times New Roman"/>
      <w:sz w:val="20"/>
      <w:szCs w:val="20"/>
      <w:lang w:eastAsia="ja-JP"/>
    </w:rPr>
  </w:style>
  <w:style w:type="character" w:styleId="FootnoteReference">
    <w:name w:val="footnote reference"/>
    <w:basedOn w:val="DefaultParagraphFont"/>
    <w:semiHidden/>
    <w:unhideWhenUsed/>
    <w:rsid w:val="0063473D"/>
    <w:rPr>
      <w:vertAlign w:val="superscript"/>
    </w:rPr>
  </w:style>
  <w:style w:type="paragraph" w:styleId="ListParagraph">
    <w:name w:val="List Paragraph"/>
    <w:basedOn w:val="Normal"/>
    <w:uiPriority w:val="34"/>
    <w:qFormat/>
    <w:rsid w:val="00234DFD"/>
    <w:pPr>
      <w:ind w:left="720"/>
      <w:contextualSpacing/>
    </w:pPr>
  </w:style>
  <w:style w:type="character" w:styleId="CommentReference">
    <w:name w:val="annotation reference"/>
    <w:basedOn w:val="DefaultParagraphFont"/>
    <w:uiPriority w:val="99"/>
    <w:semiHidden/>
    <w:unhideWhenUsed/>
    <w:rsid w:val="00B026AC"/>
    <w:rPr>
      <w:sz w:val="16"/>
      <w:szCs w:val="16"/>
    </w:rPr>
  </w:style>
  <w:style w:type="paragraph" w:styleId="CommentText">
    <w:name w:val="annotation text"/>
    <w:basedOn w:val="Normal"/>
    <w:link w:val="CommentTextChar"/>
    <w:uiPriority w:val="99"/>
    <w:semiHidden/>
    <w:unhideWhenUsed/>
    <w:rsid w:val="00B026AC"/>
    <w:rPr>
      <w:sz w:val="20"/>
      <w:szCs w:val="20"/>
    </w:rPr>
  </w:style>
  <w:style w:type="character" w:customStyle="1" w:styleId="CommentTextChar">
    <w:name w:val="Comment Text Char"/>
    <w:basedOn w:val="DefaultParagraphFont"/>
    <w:link w:val="CommentText"/>
    <w:uiPriority w:val="99"/>
    <w:semiHidden/>
    <w:rsid w:val="00B026AC"/>
    <w:rPr>
      <w:rFonts w:eastAsiaTheme="minorEastAs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B026AC"/>
    <w:rPr>
      <w:b/>
      <w:bCs/>
    </w:rPr>
  </w:style>
  <w:style w:type="character" w:customStyle="1" w:styleId="CommentSubjectChar">
    <w:name w:val="Comment Subject Char"/>
    <w:basedOn w:val="CommentTextChar"/>
    <w:link w:val="CommentSubject"/>
    <w:uiPriority w:val="99"/>
    <w:semiHidden/>
    <w:rsid w:val="00B026AC"/>
    <w:rPr>
      <w:rFonts w:eastAsiaTheme="minorEastAsia" w:cs="Times New Roman"/>
      <w:b/>
      <w:bCs/>
      <w:sz w:val="20"/>
      <w:szCs w:val="20"/>
      <w:lang w:eastAsia="ja-JP"/>
    </w:rPr>
  </w:style>
  <w:style w:type="paragraph" w:customStyle="1" w:styleId="Default">
    <w:name w:val="Default"/>
    <w:rsid w:val="007A16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0210A"/>
    <w:rPr>
      <w:color w:val="0563C1" w:themeColor="hyperlink"/>
      <w:u w:val="single"/>
    </w:rPr>
  </w:style>
  <w:style w:type="character" w:styleId="UnresolvedMention">
    <w:name w:val="Unresolved Mention"/>
    <w:basedOn w:val="DefaultParagraphFont"/>
    <w:uiPriority w:val="99"/>
    <w:semiHidden/>
    <w:unhideWhenUsed/>
    <w:rsid w:val="0010210A"/>
    <w:rPr>
      <w:color w:val="605E5C"/>
      <w:shd w:val="clear" w:color="auto" w:fill="E1DFDD"/>
    </w:rPr>
  </w:style>
  <w:style w:type="paragraph" w:styleId="NormalWeb">
    <w:name w:val="Normal (Web)"/>
    <w:basedOn w:val="Normal"/>
    <w:uiPriority w:val="99"/>
    <w:unhideWhenUsed/>
    <w:rsid w:val="00954134"/>
    <w:pPr>
      <w:tabs>
        <w:tab w:val="clear" w:pos="288"/>
      </w:tabs>
      <w:spacing w:before="100" w:beforeAutospacing="1" w:after="100" w:afterAutospacing="1"/>
      <w:jc w:val="left"/>
    </w:pPr>
    <w:rPr>
      <w:rFonts w:ascii="Calibri" w:eastAsiaTheme="minorHAnsi" w:hAnsi="Calibri" w:cs="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084">
      <w:bodyDiv w:val="1"/>
      <w:marLeft w:val="0"/>
      <w:marRight w:val="0"/>
      <w:marTop w:val="0"/>
      <w:marBottom w:val="0"/>
      <w:divBdr>
        <w:top w:val="none" w:sz="0" w:space="0" w:color="auto"/>
        <w:left w:val="none" w:sz="0" w:space="0" w:color="auto"/>
        <w:bottom w:val="none" w:sz="0" w:space="0" w:color="auto"/>
        <w:right w:val="none" w:sz="0" w:space="0" w:color="auto"/>
      </w:divBdr>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314336591">
      <w:bodyDiv w:val="1"/>
      <w:marLeft w:val="0"/>
      <w:marRight w:val="0"/>
      <w:marTop w:val="0"/>
      <w:marBottom w:val="0"/>
      <w:divBdr>
        <w:top w:val="none" w:sz="0" w:space="0" w:color="auto"/>
        <w:left w:val="none" w:sz="0" w:space="0" w:color="auto"/>
        <w:bottom w:val="none" w:sz="0" w:space="0" w:color="auto"/>
        <w:right w:val="none" w:sz="0" w:space="0" w:color="auto"/>
      </w:divBdr>
    </w:div>
    <w:div w:id="633214734">
      <w:bodyDiv w:val="1"/>
      <w:marLeft w:val="0"/>
      <w:marRight w:val="0"/>
      <w:marTop w:val="0"/>
      <w:marBottom w:val="0"/>
      <w:divBdr>
        <w:top w:val="none" w:sz="0" w:space="0" w:color="auto"/>
        <w:left w:val="none" w:sz="0" w:space="0" w:color="auto"/>
        <w:bottom w:val="none" w:sz="0" w:space="0" w:color="auto"/>
        <w:right w:val="none" w:sz="0" w:space="0" w:color="auto"/>
      </w:divBdr>
    </w:div>
    <w:div w:id="657466151">
      <w:bodyDiv w:val="1"/>
      <w:marLeft w:val="0"/>
      <w:marRight w:val="0"/>
      <w:marTop w:val="0"/>
      <w:marBottom w:val="0"/>
      <w:divBdr>
        <w:top w:val="none" w:sz="0" w:space="0" w:color="auto"/>
        <w:left w:val="none" w:sz="0" w:space="0" w:color="auto"/>
        <w:bottom w:val="none" w:sz="0" w:space="0" w:color="auto"/>
        <w:right w:val="none" w:sz="0" w:space="0" w:color="auto"/>
      </w:divBdr>
    </w:div>
    <w:div w:id="916597230">
      <w:bodyDiv w:val="1"/>
      <w:marLeft w:val="0"/>
      <w:marRight w:val="0"/>
      <w:marTop w:val="0"/>
      <w:marBottom w:val="0"/>
      <w:divBdr>
        <w:top w:val="none" w:sz="0" w:space="0" w:color="auto"/>
        <w:left w:val="none" w:sz="0" w:space="0" w:color="auto"/>
        <w:bottom w:val="none" w:sz="0" w:space="0" w:color="auto"/>
        <w:right w:val="none" w:sz="0" w:space="0" w:color="auto"/>
      </w:divBdr>
    </w:div>
    <w:div w:id="1717776109">
      <w:bodyDiv w:val="1"/>
      <w:marLeft w:val="0"/>
      <w:marRight w:val="0"/>
      <w:marTop w:val="0"/>
      <w:marBottom w:val="0"/>
      <w:divBdr>
        <w:top w:val="none" w:sz="0" w:space="0" w:color="auto"/>
        <w:left w:val="none" w:sz="0" w:space="0" w:color="auto"/>
        <w:bottom w:val="none" w:sz="0" w:space="0" w:color="auto"/>
        <w:right w:val="none" w:sz="0" w:space="0" w:color="auto"/>
      </w:divBdr>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aic.gov.au/publications/tandi/tandi53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qed.qld.gov.au/our-publications/reports/statistics/Documents/enrolments-summar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Matilda Alexander</DisplayName>
        <AccountId>18</AccountId>
        <AccountType/>
      </UserInfo>
      <UserInfo>
        <DisplayName>Emma Phillips</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2" ma:contentTypeDescription="Create a new document." ma:contentTypeScope="" ma:versionID="c20ac5b62350906678b0f9b5b8524b0a">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6d2781c55cc32a3d754db2f5079e5dce"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F03C-931C-4E0F-BB31-5713FB067712}">
  <ds:schemaRefs>
    <ds:schemaRef ds:uri="http://schemas.microsoft.com/office/2006/metadata/properties"/>
    <ds:schemaRef ds:uri="http://schemas.microsoft.com/office/infopath/2007/PartnerControls"/>
    <ds:schemaRef ds:uri="422eb771-ca73-43f7-ae9a-92fcdf6b2d87"/>
  </ds:schemaRefs>
</ds:datastoreItem>
</file>

<file path=customXml/itemProps2.xml><?xml version="1.0" encoding="utf-8"?>
<ds:datastoreItem xmlns:ds="http://schemas.openxmlformats.org/officeDocument/2006/customXml" ds:itemID="{3E9EEB29-A86E-4E4F-A25A-712B49D5D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D1BCE-0E09-48B1-8C5E-5BDD89FD6B15}">
  <ds:schemaRefs>
    <ds:schemaRef ds:uri="http://schemas.microsoft.com/sharepoint/v3/contenttype/forms"/>
  </ds:schemaRefs>
</ds:datastoreItem>
</file>

<file path=customXml/itemProps4.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8641</Words>
  <Characters>49254</Characters>
  <Application>Microsoft Office Word</Application>
  <DocSecurity>0</DocSecurity>
  <Lines>410</Lines>
  <Paragraphs>115</Paragraphs>
  <ScaleCrop>false</ScaleCrop>
  <Company>Brendon Pearce</Company>
  <LinksUpToDate>false</LinksUpToDate>
  <CharactersWithSpaces>57780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2</cp:revision>
  <dcterms:created xsi:type="dcterms:W3CDTF">2022-02-15T04:26:00Z</dcterms:created>
  <dcterms:modified xsi:type="dcterms:W3CDTF">2022-02-15T04:26:00Z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ies>
</file>