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D94FD" w14:textId="77777777" w:rsidR="00C743CA" w:rsidRDefault="0081212E" w:rsidP="0081212E">
      <w:pPr>
        <w:pStyle w:val="Title"/>
        <w:spacing w:line="187" w:lineRule="auto"/>
        <w:jc w:val="left"/>
      </w:pPr>
      <w:r>
        <w:pict w14:anchorId="299F9014">
          <v:group id="docshapegroup1" o:spid="_x0000_s1029" style="position:absolute;left:0;text-align:left;margin-left:0;margin-top:24.05pt;width:595.5pt;height:818.25pt;z-index:-15819264;mso-position-horizontal-relative:page;mso-position-vertical-relative:page" coordorigin=",481" coordsize="11910,1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2" type="#_x0000_t75" style="position:absolute;top:480;width:11905;height:16365">
              <v:imagedata r:id="rId5" o:title=""/>
            </v:shape>
            <v:shape id="docshape3" o:spid="_x0000_s1031" type="#_x0000_t75" style="position:absolute;left:8158;top:2614;width:3752;height:4400">
              <v:imagedata r:id="rId6" o:title=""/>
            </v:shape>
            <v:shape id="docshape4" o:spid="_x0000_s1030" type="#_x0000_t75" style="position:absolute;left:9577;top:1111;width:1697;height:1066">
              <v:imagedata r:id="rId7" o:title=""/>
            </v:shape>
            <w10:wrap anchorx="page" anchory="page"/>
          </v:group>
        </w:pict>
      </w:r>
      <w:r>
        <w:rPr>
          <w:w w:val="110"/>
        </w:rPr>
        <w:t>Guardian for Restrictive</w:t>
      </w:r>
      <w:r>
        <w:rPr>
          <w:spacing w:val="-32"/>
          <w:w w:val="110"/>
        </w:rPr>
        <w:t xml:space="preserve"> </w:t>
      </w:r>
      <w:r>
        <w:rPr>
          <w:spacing w:val="-2"/>
          <w:w w:val="105"/>
        </w:rPr>
        <w:t>Practices</w:t>
      </w:r>
    </w:p>
    <w:p w14:paraId="623970AB" w14:textId="77777777" w:rsidR="00C743CA" w:rsidRDefault="0081212E" w:rsidP="0081212E">
      <w:pPr>
        <w:pStyle w:val="Heading1"/>
        <w:spacing w:before="412"/>
        <w:jc w:val="left"/>
        <w:rPr>
          <w:b/>
        </w:rPr>
      </w:pPr>
      <w:r>
        <w:rPr>
          <w:b/>
        </w:rPr>
        <w:t>What</w:t>
      </w:r>
      <w:r>
        <w:rPr>
          <w:b/>
          <w:spacing w:val="15"/>
        </w:rPr>
        <w:t xml:space="preserve"> </w:t>
      </w:r>
      <w:r>
        <w:rPr>
          <w:b/>
        </w:rPr>
        <w:t>are</w:t>
      </w:r>
      <w:r>
        <w:rPr>
          <w:b/>
          <w:spacing w:val="15"/>
        </w:rPr>
        <w:t xml:space="preserve"> </w:t>
      </w:r>
      <w:r>
        <w:rPr>
          <w:b/>
        </w:rPr>
        <w:t>restrictive</w:t>
      </w:r>
      <w:r>
        <w:rPr>
          <w:b/>
          <w:spacing w:val="15"/>
        </w:rPr>
        <w:t xml:space="preserve"> </w:t>
      </w:r>
      <w:r>
        <w:rPr>
          <w:b/>
          <w:spacing w:val="-2"/>
        </w:rPr>
        <w:t>practices?</w:t>
      </w:r>
    </w:p>
    <w:p w14:paraId="50A44A41" w14:textId="77777777" w:rsidR="00C743CA" w:rsidRDefault="0081212E" w:rsidP="0081212E">
      <w:pPr>
        <w:pStyle w:val="BodyText"/>
        <w:spacing w:before="112" w:line="242" w:lineRule="auto"/>
        <w:ind w:left="111" w:right="2859"/>
      </w:pPr>
      <w:r>
        <w:t>Restrictive practices are methods used to respond to the behaviour</w:t>
      </w:r>
      <w:r>
        <w:rPr>
          <w:spacing w:val="-1"/>
        </w:rPr>
        <w:t xml:space="preserve"> </w:t>
      </w:r>
      <w:r>
        <w:t>of</w:t>
      </w:r>
      <w:r>
        <w:rPr>
          <w:spacing w:val="-1"/>
        </w:rPr>
        <w:t xml:space="preserve"> </w:t>
      </w:r>
      <w:r>
        <w:t>a</w:t>
      </w:r>
      <w:r>
        <w:rPr>
          <w:spacing w:val="-1"/>
        </w:rPr>
        <w:t xml:space="preserve"> </w:t>
      </w:r>
      <w:r>
        <w:t>person</w:t>
      </w:r>
      <w:r>
        <w:rPr>
          <w:spacing w:val="-1"/>
        </w:rPr>
        <w:t xml:space="preserve"> </w:t>
      </w:r>
      <w:r>
        <w:t>with</w:t>
      </w:r>
      <w:r>
        <w:rPr>
          <w:spacing w:val="-1"/>
        </w:rPr>
        <w:t xml:space="preserve"> </w:t>
      </w:r>
      <w:r>
        <w:t>an</w:t>
      </w:r>
      <w:r>
        <w:rPr>
          <w:spacing w:val="-1"/>
        </w:rPr>
        <w:t xml:space="preserve"> </w:t>
      </w:r>
      <w:r>
        <w:t>intellectual</w:t>
      </w:r>
      <w:r>
        <w:rPr>
          <w:spacing w:val="-1"/>
        </w:rPr>
        <w:t xml:space="preserve"> </w:t>
      </w:r>
      <w:r>
        <w:t>or</w:t>
      </w:r>
      <w:r>
        <w:rPr>
          <w:spacing w:val="-1"/>
        </w:rPr>
        <w:t xml:space="preserve"> </w:t>
      </w:r>
      <w:r>
        <w:t>cognitive</w:t>
      </w:r>
      <w:r>
        <w:rPr>
          <w:spacing w:val="-1"/>
        </w:rPr>
        <w:t xml:space="preserve"> </w:t>
      </w:r>
      <w:r>
        <w:t>disability that causes harm, or a serious risk of harm, to the person or others. For example, holding an adult’s hands to stop them from hitting themselves is a restrictive practice.</w:t>
      </w:r>
    </w:p>
    <w:p w14:paraId="49C17C4D" w14:textId="77777777" w:rsidR="00C743CA" w:rsidRDefault="0081212E" w:rsidP="0081212E">
      <w:pPr>
        <w:spacing w:before="173" w:line="242" w:lineRule="auto"/>
        <w:ind w:left="111" w:right="2854"/>
        <w:rPr>
          <w:sz w:val="23"/>
        </w:rPr>
      </w:pPr>
      <w:r>
        <w:rPr>
          <w:sz w:val="23"/>
        </w:rPr>
        <w:t>Restrictive practices are regulated in different ways, depending on who t</w:t>
      </w:r>
      <w:r>
        <w:rPr>
          <w:sz w:val="23"/>
        </w:rPr>
        <w:t>hey are used by and the context in which they are used. This Fact Sheet focusses on the use of restrictive</w:t>
      </w:r>
      <w:r>
        <w:rPr>
          <w:spacing w:val="40"/>
          <w:sz w:val="23"/>
        </w:rPr>
        <w:t xml:space="preserve"> </w:t>
      </w:r>
      <w:r>
        <w:rPr>
          <w:sz w:val="23"/>
        </w:rPr>
        <w:t xml:space="preserve">practices on adults by disability service providers, as regulated by the </w:t>
      </w:r>
      <w:r>
        <w:rPr>
          <w:i/>
          <w:sz w:val="23"/>
        </w:rPr>
        <w:t xml:space="preserve">Disability Services Act 2006 </w:t>
      </w:r>
      <w:r>
        <w:rPr>
          <w:sz w:val="23"/>
        </w:rPr>
        <w:t xml:space="preserve">(Qld) and the </w:t>
      </w:r>
      <w:r>
        <w:rPr>
          <w:i/>
          <w:sz w:val="23"/>
        </w:rPr>
        <w:t>Guardianship</w:t>
      </w:r>
      <w:r>
        <w:rPr>
          <w:i/>
          <w:spacing w:val="80"/>
          <w:sz w:val="23"/>
        </w:rPr>
        <w:t xml:space="preserve"> </w:t>
      </w:r>
      <w:r>
        <w:rPr>
          <w:i/>
          <w:sz w:val="23"/>
        </w:rPr>
        <w:t>and Administration A</w:t>
      </w:r>
      <w:r>
        <w:rPr>
          <w:i/>
          <w:sz w:val="23"/>
        </w:rPr>
        <w:t xml:space="preserve">ct 2000 </w:t>
      </w:r>
      <w:r>
        <w:rPr>
          <w:sz w:val="23"/>
        </w:rPr>
        <w:t>(Qld).</w:t>
      </w:r>
    </w:p>
    <w:p w14:paraId="1ECA63E7" w14:textId="77777777" w:rsidR="00C743CA" w:rsidRDefault="0081212E" w:rsidP="0081212E">
      <w:pPr>
        <w:pStyle w:val="BodyText"/>
        <w:spacing w:before="172" w:line="242" w:lineRule="auto"/>
        <w:ind w:left="111" w:right="125"/>
      </w:pPr>
      <w:r>
        <w:t>Restrictive practices constitute a serious infringement of the liberty of the person subjected to them and they are therefore subject to a rigorous authorisation process. They can only be used where it is shown that a less restrictive respon</w:t>
      </w:r>
      <w:r>
        <w:t>se is not sufficient to protect the person and/or others from harm. Restrictive practices can only be used after consent has been provided</w:t>
      </w:r>
      <w:r>
        <w:rPr>
          <w:spacing w:val="80"/>
        </w:rPr>
        <w:t xml:space="preserve"> </w:t>
      </w:r>
      <w:r>
        <w:t>and the level of consent needed depends on the type of restrictive practice being used.</w:t>
      </w:r>
    </w:p>
    <w:p w14:paraId="556744CC" w14:textId="77777777" w:rsidR="00C743CA" w:rsidRDefault="0081212E" w:rsidP="0081212E">
      <w:pPr>
        <w:pStyle w:val="BodyText"/>
        <w:spacing w:before="172" w:line="242" w:lineRule="auto"/>
        <w:ind w:left="111" w:right="129"/>
      </w:pPr>
      <w:r>
        <w:t>Generally, the use of seclusi</w:t>
      </w:r>
      <w:r>
        <w:t xml:space="preserve">on and/or containment, other than in accordance with a </w:t>
      </w:r>
      <w:proofErr w:type="gramStart"/>
      <w:r>
        <w:t>short term</w:t>
      </w:r>
      <w:proofErr w:type="gramEnd"/>
      <w:r>
        <w:t xml:space="preserve"> approval, must be approved by the Queensland Civil and Administrative Tribunal</w:t>
      </w:r>
      <w:r>
        <w:rPr>
          <w:spacing w:val="-2"/>
        </w:rPr>
        <w:t xml:space="preserve"> </w:t>
      </w:r>
      <w:r>
        <w:t>(</w:t>
      </w:r>
      <w:r>
        <w:rPr>
          <w:b/>
        </w:rPr>
        <w:t>QCAT</w:t>
      </w:r>
      <w:r>
        <w:t>). It is important to be aware that a general guardian appointed by QCAT for</w:t>
      </w:r>
      <w:r>
        <w:rPr>
          <w:spacing w:val="-3"/>
        </w:rPr>
        <w:t xml:space="preserve"> </w:t>
      </w:r>
      <w:r>
        <w:t>managing</w:t>
      </w:r>
      <w:r>
        <w:rPr>
          <w:spacing w:val="-3"/>
        </w:rPr>
        <w:t xml:space="preserve"> </w:t>
      </w:r>
      <w:r>
        <w:t>the</w:t>
      </w:r>
      <w:r>
        <w:rPr>
          <w:spacing w:val="-3"/>
        </w:rPr>
        <w:t xml:space="preserve"> </w:t>
      </w:r>
      <w:r>
        <w:t>personal</w:t>
      </w:r>
      <w:r>
        <w:rPr>
          <w:spacing w:val="-3"/>
        </w:rPr>
        <w:t xml:space="preserve"> </w:t>
      </w:r>
      <w:r>
        <w:t>affairs</w:t>
      </w:r>
      <w:r>
        <w:rPr>
          <w:spacing w:val="-3"/>
        </w:rPr>
        <w:t xml:space="preserve"> </w:t>
      </w:r>
      <w:r>
        <w:t>of</w:t>
      </w:r>
      <w:r>
        <w:rPr>
          <w:spacing w:val="-3"/>
        </w:rPr>
        <w:t xml:space="preserve"> </w:t>
      </w:r>
      <w:r>
        <w:t>an</w:t>
      </w:r>
      <w:r>
        <w:rPr>
          <w:spacing w:val="-3"/>
        </w:rPr>
        <w:t xml:space="preserve"> </w:t>
      </w:r>
      <w:r>
        <w:t>adult</w:t>
      </w:r>
      <w:r>
        <w:rPr>
          <w:spacing w:val="-3"/>
        </w:rPr>
        <w:t xml:space="preserve"> </w:t>
      </w:r>
      <w:r>
        <w:t>cannot</w:t>
      </w:r>
      <w:r>
        <w:rPr>
          <w:spacing w:val="-3"/>
        </w:rPr>
        <w:t xml:space="preserve"> </w:t>
      </w:r>
      <w:r>
        <w:t>make</w:t>
      </w:r>
      <w:r>
        <w:rPr>
          <w:spacing w:val="-3"/>
        </w:rPr>
        <w:t xml:space="preserve"> </w:t>
      </w:r>
      <w:r>
        <w:t>decisions</w:t>
      </w:r>
      <w:r>
        <w:rPr>
          <w:spacing w:val="-3"/>
        </w:rPr>
        <w:t xml:space="preserve"> </w:t>
      </w:r>
      <w:r>
        <w:t>regarding</w:t>
      </w:r>
      <w:r>
        <w:rPr>
          <w:spacing w:val="-3"/>
        </w:rPr>
        <w:t xml:space="preserve"> </w:t>
      </w:r>
      <w:r>
        <w:t>the</w:t>
      </w:r>
      <w:r>
        <w:rPr>
          <w:spacing w:val="-3"/>
        </w:rPr>
        <w:t xml:space="preserve"> </w:t>
      </w:r>
      <w:r>
        <w:t>use</w:t>
      </w:r>
      <w:r>
        <w:rPr>
          <w:spacing w:val="-3"/>
        </w:rPr>
        <w:t xml:space="preserve"> </w:t>
      </w:r>
      <w:r>
        <w:t>of restrictive practices. However, a guardian for restrictive practices can make certain decisions regarding the use of restrictive practices.</w:t>
      </w:r>
    </w:p>
    <w:p w14:paraId="75C72291" w14:textId="77777777" w:rsidR="00C743CA" w:rsidRDefault="00C743CA" w:rsidP="0081212E">
      <w:pPr>
        <w:pStyle w:val="BodyText"/>
        <w:rPr>
          <w:sz w:val="30"/>
        </w:rPr>
      </w:pPr>
    </w:p>
    <w:p w14:paraId="73861A6C" w14:textId="77777777" w:rsidR="00C743CA" w:rsidRDefault="00C743CA" w:rsidP="0081212E">
      <w:pPr>
        <w:pStyle w:val="BodyText"/>
        <w:spacing w:before="2"/>
        <w:rPr>
          <w:sz w:val="26"/>
        </w:rPr>
      </w:pPr>
    </w:p>
    <w:p w14:paraId="7AB083E9" w14:textId="77777777" w:rsidR="00C743CA" w:rsidRDefault="0081212E" w:rsidP="0081212E">
      <w:pPr>
        <w:pStyle w:val="Heading1"/>
        <w:spacing w:before="0" w:line="189" w:lineRule="auto"/>
        <w:ind w:right="184"/>
        <w:jc w:val="left"/>
        <w:rPr>
          <w:b/>
        </w:rPr>
      </w:pPr>
      <w:r>
        <w:rPr>
          <w:b/>
        </w:rPr>
        <w:t>What is the difference between a guardian and a guardian for restrictive practices?</w:t>
      </w:r>
    </w:p>
    <w:p w14:paraId="60C18A63" w14:textId="77777777" w:rsidR="00C743CA" w:rsidRDefault="0081212E" w:rsidP="0081212E">
      <w:pPr>
        <w:pStyle w:val="BodyText"/>
        <w:spacing w:before="88" w:line="242" w:lineRule="auto"/>
        <w:ind w:left="111" w:right="124"/>
      </w:pPr>
      <w:r>
        <w:t>A general guardian appointe</w:t>
      </w:r>
      <w:r>
        <w:t>d by QCAT is responsible for managing the personal affairs of an adult who does not have the capacity to do so. This can include making decisions regarding where the adult lives and the services they receive. Although a general guardian</w:t>
      </w:r>
      <w:r>
        <w:rPr>
          <w:spacing w:val="-2"/>
        </w:rPr>
        <w:t xml:space="preserve"> </w:t>
      </w:r>
      <w:r>
        <w:t>is</w:t>
      </w:r>
      <w:r>
        <w:rPr>
          <w:spacing w:val="-2"/>
        </w:rPr>
        <w:t xml:space="preserve"> </w:t>
      </w:r>
      <w:r>
        <w:t>entitled</w:t>
      </w:r>
      <w:r>
        <w:rPr>
          <w:spacing w:val="-2"/>
        </w:rPr>
        <w:t xml:space="preserve"> </w:t>
      </w:r>
      <w:r>
        <w:t>to</w:t>
      </w:r>
      <w:r>
        <w:rPr>
          <w:spacing w:val="-2"/>
        </w:rPr>
        <w:t xml:space="preserve"> </w:t>
      </w:r>
      <w:r>
        <w:t>be</w:t>
      </w:r>
      <w:r>
        <w:rPr>
          <w:spacing w:val="-2"/>
        </w:rPr>
        <w:t xml:space="preserve"> </w:t>
      </w:r>
      <w:r>
        <w:t>c</w:t>
      </w:r>
      <w:r>
        <w:t>onsulted</w:t>
      </w:r>
      <w:r>
        <w:rPr>
          <w:spacing w:val="-2"/>
        </w:rPr>
        <w:t xml:space="preserve"> </w:t>
      </w:r>
      <w:r>
        <w:t>on</w:t>
      </w:r>
      <w:r>
        <w:rPr>
          <w:spacing w:val="-2"/>
        </w:rPr>
        <w:t xml:space="preserve"> </w:t>
      </w:r>
      <w:r>
        <w:t>the</w:t>
      </w:r>
      <w:r>
        <w:rPr>
          <w:spacing w:val="-2"/>
        </w:rPr>
        <w:t xml:space="preserve"> </w:t>
      </w:r>
      <w:r>
        <w:t>use</w:t>
      </w:r>
      <w:r>
        <w:rPr>
          <w:spacing w:val="-2"/>
        </w:rPr>
        <w:t xml:space="preserve"> </w:t>
      </w:r>
      <w:r>
        <w:t>of</w:t>
      </w:r>
      <w:r>
        <w:rPr>
          <w:spacing w:val="-2"/>
        </w:rPr>
        <w:t xml:space="preserve"> </w:t>
      </w:r>
      <w:r>
        <w:t>restrictive</w:t>
      </w:r>
      <w:r>
        <w:rPr>
          <w:spacing w:val="-2"/>
        </w:rPr>
        <w:t xml:space="preserve"> </w:t>
      </w:r>
      <w:r>
        <w:t>practices,</w:t>
      </w:r>
      <w:r>
        <w:rPr>
          <w:spacing w:val="-2"/>
        </w:rPr>
        <w:t xml:space="preserve"> </w:t>
      </w:r>
      <w:r>
        <w:t>a</w:t>
      </w:r>
      <w:r>
        <w:rPr>
          <w:spacing w:val="-2"/>
        </w:rPr>
        <w:t xml:space="preserve"> </w:t>
      </w:r>
      <w:r>
        <w:t>general</w:t>
      </w:r>
      <w:r>
        <w:rPr>
          <w:spacing w:val="-2"/>
        </w:rPr>
        <w:t xml:space="preserve"> </w:t>
      </w:r>
      <w:r>
        <w:t xml:space="preserve">guardian does not have the authority to consent to the use of restrictive practices, </w:t>
      </w:r>
      <w:proofErr w:type="gramStart"/>
      <w:r>
        <w:t>with the exception of</w:t>
      </w:r>
      <w:proofErr w:type="gramEnd"/>
      <w:r>
        <w:t xml:space="preserve"> restricting access to objects. The general guardian would need to be appointed by QCAT as a g</w:t>
      </w:r>
      <w:r>
        <w:t xml:space="preserve">uardian for restrictive practices </w:t>
      </w:r>
      <w:proofErr w:type="gramStart"/>
      <w:r>
        <w:t>in order to</w:t>
      </w:r>
      <w:proofErr w:type="gramEnd"/>
      <w:r>
        <w:t xml:space="preserve"> be able to make decisions regarding their use.</w:t>
      </w:r>
    </w:p>
    <w:p w14:paraId="7BE6E4D5" w14:textId="77777777" w:rsidR="00C743CA" w:rsidRDefault="00C743CA" w:rsidP="0081212E">
      <w:pPr>
        <w:spacing w:line="242" w:lineRule="auto"/>
        <w:sectPr w:rsidR="00C743CA">
          <w:type w:val="continuous"/>
          <w:pgSz w:w="11910" w:h="16850"/>
          <w:pgMar w:top="780" w:right="1060" w:bottom="280" w:left="1080" w:header="720" w:footer="720" w:gutter="0"/>
          <w:cols w:space="720"/>
        </w:sectPr>
      </w:pPr>
    </w:p>
    <w:p w14:paraId="63E5BCA8" w14:textId="77777777" w:rsidR="00C743CA" w:rsidRDefault="0081212E" w:rsidP="0081212E">
      <w:pPr>
        <w:pStyle w:val="Heading1"/>
        <w:spacing w:before="71"/>
        <w:ind w:left="122"/>
        <w:jc w:val="left"/>
        <w:rPr>
          <w:b/>
        </w:rPr>
      </w:pPr>
      <w:r>
        <w:rPr>
          <w:noProof/>
        </w:rPr>
        <w:lastRenderedPageBreak/>
        <w:drawing>
          <wp:anchor distT="0" distB="0" distL="0" distR="0" simplePos="0" relativeHeight="487497728" behindDoc="1" locked="0" layoutInCell="1" allowOverlap="1" wp14:anchorId="6967262E" wp14:editId="3530A786">
            <wp:simplePos x="0" y="0"/>
            <wp:positionH relativeFrom="page">
              <wp:posOffset>0</wp:posOffset>
            </wp:positionH>
            <wp:positionV relativeFrom="page">
              <wp:posOffset>0</wp:posOffset>
            </wp:positionV>
            <wp:extent cx="7559666" cy="10696573"/>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7559666" cy="10696573"/>
                    </a:xfrm>
                    <a:prstGeom prst="rect">
                      <a:avLst/>
                    </a:prstGeom>
                  </pic:spPr>
                </pic:pic>
              </a:graphicData>
            </a:graphic>
          </wp:anchor>
        </w:drawing>
      </w:r>
      <w:r>
        <w:rPr>
          <w:b/>
        </w:rPr>
        <w:t>Who</w:t>
      </w:r>
      <w:r>
        <w:rPr>
          <w:b/>
          <w:spacing w:val="17"/>
        </w:rPr>
        <w:t xml:space="preserve"> </w:t>
      </w:r>
      <w:r>
        <w:rPr>
          <w:b/>
        </w:rPr>
        <w:t>can</w:t>
      </w:r>
      <w:r>
        <w:rPr>
          <w:b/>
          <w:spacing w:val="17"/>
        </w:rPr>
        <w:t xml:space="preserve"> </w:t>
      </w:r>
      <w:r>
        <w:rPr>
          <w:b/>
        </w:rPr>
        <w:t>be</w:t>
      </w:r>
      <w:r>
        <w:rPr>
          <w:b/>
          <w:spacing w:val="17"/>
        </w:rPr>
        <w:t xml:space="preserve"> </w:t>
      </w:r>
      <w:r>
        <w:rPr>
          <w:b/>
        </w:rPr>
        <w:t>appointed</w:t>
      </w:r>
      <w:r>
        <w:rPr>
          <w:b/>
          <w:spacing w:val="18"/>
        </w:rPr>
        <w:t xml:space="preserve"> </w:t>
      </w:r>
      <w:r>
        <w:rPr>
          <w:b/>
        </w:rPr>
        <w:t>as</w:t>
      </w:r>
      <w:r>
        <w:rPr>
          <w:b/>
          <w:spacing w:val="17"/>
        </w:rPr>
        <w:t xml:space="preserve"> </w:t>
      </w:r>
      <w:r>
        <w:rPr>
          <w:b/>
        </w:rPr>
        <w:t>a</w:t>
      </w:r>
      <w:r>
        <w:rPr>
          <w:b/>
          <w:spacing w:val="17"/>
        </w:rPr>
        <w:t xml:space="preserve"> </w:t>
      </w:r>
      <w:r>
        <w:rPr>
          <w:b/>
        </w:rPr>
        <w:t>guardian</w:t>
      </w:r>
      <w:r>
        <w:rPr>
          <w:b/>
          <w:spacing w:val="17"/>
        </w:rPr>
        <w:t xml:space="preserve"> </w:t>
      </w:r>
      <w:r>
        <w:rPr>
          <w:b/>
        </w:rPr>
        <w:t>for</w:t>
      </w:r>
      <w:r>
        <w:rPr>
          <w:b/>
          <w:spacing w:val="18"/>
        </w:rPr>
        <w:t xml:space="preserve"> </w:t>
      </w:r>
      <w:r>
        <w:rPr>
          <w:b/>
        </w:rPr>
        <w:t>restrictive</w:t>
      </w:r>
      <w:r>
        <w:rPr>
          <w:b/>
          <w:spacing w:val="17"/>
        </w:rPr>
        <w:t xml:space="preserve"> </w:t>
      </w:r>
      <w:r>
        <w:rPr>
          <w:b/>
          <w:spacing w:val="-2"/>
        </w:rPr>
        <w:t>practices?</w:t>
      </w:r>
    </w:p>
    <w:p w14:paraId="7F836DD7" w14:textId="77777777" w:rsidR="00C743CA" w:rsidRDefault="0081212E" w:rsidP="0081212E">
      <w:pPr>
        <w:pStyle w:val="BodyText"/>
        <w:spacing w:before="124" w:line="242" w:lineRule="auto"/>
        <w:ind w:left="118" w:right="120"/>
      </w:pPr>
      <w:r>
        <w:t xml:space="preserve">The criteria that QCAT considers when deciding whether to appoint an individual as a guardian for restrictive practices are essentially the same as those required for a general guardian (see guardianship factsheet). The person must be at least 18 years of </w:t>
      </w:r>
      <w:r>
        <w:t xml:space="preserve">age and not be a paid carer or health provider for the adult. QCAT will also </w:t>
      </w:r>
      <w:proofErr w:type="gramStart"/>
      <w:r>
        <w:t>take into account</w:t>
      </w:r>
      <w:proofErr w:type="gramEnd"/>
      <w:r>
        <w:t xml:space="preserve"> the adult’s</w:t>
      </w:r>
      <w:r>
        <w:rPr>
          <w:spacing w:val="-2"/>
        </w:rPr>
        <w:t xml:space="preserve"> </w:t>
      </w:r>
      <w:r>
        <w:t>wishes,</w:t>
      </w:r>
      <w:r>
        <w:rPr>
          <w:spacing w:val="-2"/>
        </w:rPr>
        <w:t xml:space="preserve"> </w:t>
      </w:r>
      <w:r>
        <w:t>so</w:t>
      </w:r>
      <w:r>
        <w:rPr>
          <w:spacing w:val="-2"/>
        </w:rPr>
        <w:t xml:space="preserve"> </w:t>
      </w:r>
      <w:r>
        <w:t>far</w:t>
      </w:r>
      <w:r>
        <w:rPr>
          <w:spacing w:val="-2"/>
        </w:rPr>
        <w:t xml:space="preserve"> </w:t>
      </w:r>
      <w:r>
        <w:t>as</w:t>
      </w:r>
      <w:r>
        <w:rPr>
          <w:spacing w:val="-2"/>
        </w:rPr>
        <w:t xml:space="preserve"> </w:t>
      </w:r>
      <w:r>
        <w:t>they</w:t>
      </w:r>
      <w:r>
        <w:rPr>
          <w:spacing w:val="-2"/>
        </w:rPr>
        <w:t xml:space="preserve"> </w:t>
      </w:r>
      <w:r>
        <w:t>can</w:t>
      </w:r>
      <w:r>
        <w:rPr>
          <w:spacing w:val="-2"/>
        </w:rPr>
        <w:t xml:space="preserve"> </w:t>
      </w:r>
      <w:r>
        <w:t>be</w:t>
      </w:r>
      <w:r>
        <w:rPr>
          <w:spacing w:val="-2"/>
        </w:rPr>
        <w:t xml:space="preserve"> </w:t>
      </w:r>
      <w:r>
        <w:t>ascertained,</w:t>
      </w:r>
      <w:r>
        <w:rPr>
          <w:spacing w:val="-2"/>
        </w:rPr>
        <w:t xml:space="preserve"> </w:t>
      </w:r>
      <w:r>
        <w:t>as</w:t>
      </w:r>
      <w:r>
        <w:rPr>
          <w:spacing w:val="-2"/>
        </w:rPr>
        <w:t xml:space="preserve"> </w:t>
      </w:r>
      <w:r>
        <w:t>well</w:t>
      </w:r>
      <w:r>
        <w:rPr>
          <w:spacing w:val="-2"/>
        </w:rPr>
        <w:t xml:space="preserve"> </w:t>
      </w:r>
      <w:r>
        <w:t>as</w:t>
      </w:r>
      <w:r>
        <w:rPr>
          <w:spacing w:val="-2"/>
        </w:rPr>
        <w:t xml:space="preserve"> </w:t>
      </w:r>
      <w:r>
        <w:t>the</w:t>
      </w:r>
      <w:r>
        <w:rPr>
          <w:spacing w:val="-2"/>
        </w:rPr>
        <w:t xml:space="preserve"> </w:t>
      </w:r>
      <w:r>
        <w:t>wishes</w:t>
      </w:r>
      <w:r>
        <w:rPr>
          <w:spacing w:val="-2"/>
        </w:rPr>
        <w:t xml:space="preserve"> </w:t>
      </w:r>
      <w:r>
        <w:t>of</w:t>
      </w:r>
      <w:r>
        <w:rPr>
          <w:spacing w:val="-2"/>
        </w:rPr>
        <w:t xml:space="preserve"> </w:t>
      </w:r>
      <w:r>
        <w:t>family</w:t>
      </w:r>
      <w:r>
        <w:rPr>
          <w:spacing w:val="-2"/>
        </w:rPr>
        <w:t xml:space="preserve"> </w:t>
      </w:r>
      <w:r>
        <w:t>members and interested parties.</w:t>
      </w:r>
    </w:p>
    <w:p w14:paraId="7019D820" w14:textId="77777777" w:rsidR="00C743CA" w:rsidRDefault="00C743CA" w:rsidP="0081212E">
      <w:pPr>
        <w:pStyle w:val="BodyText"/>
        <w:rPr>
          <w:sz w:val="20"/>
        </w:rPr>
      </w:pPr>
    </w:p>
    <w:p w14:paraId="2A8529C1" w14:textId="77777777" w:rsidR="00C743CA" w:rsidRDefault="00C743CA" w:rsidP="0081212E">
      <w:pPr>
        <w:pStyle w:val="BodyText"/>
        <w:spacing w:before="9"/>
        <w:rPr>
          <w:sz w:val="29"/>
        </w:rPr>
      </w:pPr>
    </w:p>
    <w:p w14:paraId="519F9AC4" w14:textId="77777777" w:rsidR="00C743CA" w:rsidRDefault="0081212E" w:rsidP="0081212E">
      <w:pPr>
        <w:pStyle w:val="Heading1"/>
        <w:spacing w:before="96"/>
        <w:ind w:left="122"/>
        <w:jc w:val="left"/>
        <w:rPr>
          <w:b/>
        </w:rPr>
      </w:pPr>
      <w:r>
        <w:rPr>
          <w:b/>
        </w:rPr>
        <w:t>What</w:t>
      </w:r>
      <w:r>
        <w:rPr>
          <w:b/>
          <w:spacing w:val="15"/>
        </w:rPr>
        <w:t xml:space="preserve"> </w:t>
      </w:r>
      <w:r>
        <w:rPr>
          <w:b/>
        </w:rPr>
        <w:t>decisions</w:t>
      </w:r>
      <w:r>
        <w:rPr>
          <w:b/>
          <w:spacing w:val="16"/>
        </w:rPr>
        <w:t xml:space="preserve"> </w:t>
      </w:r>
      <w:r>
        <w:rPr>
          <w:b/>
        </w:rPr>
        <w:t>can</w:t>
      </w:r>
      <w:r>
        <w:rPr>
          <w:b/>
          <w:spacing w:val="16"/>
        </w:rPr>
        <w:t xml:space="preserve"> </w:t>
      </w:r>
      <w:r>
        <w:rPr>
          <w:b/>
        </w:rPr>
        <w:t>a</w:t>
      </w:r>
      <w:r>
        <w:rPr>
          <w:b/>
          <w:spacing w:val="16"/>
        </w:rPr>
        <w:t xml:space="preserve"> </w:t>
      </w:r>
      <w:r>
        <w:rPr>
          <w:b/>
        </w:rPr>
        <w:t>guardian</w:t>
      </w:r>
      <w:r>
        <w:rPr>
          <w:b/>
          <w:spacing w:val="16"/>
        </w:rPr>
        <w:t xml:space="preserve"> </w:t>
      </w:r>
      <w:r>
        <w:rPr>
          <w:b/>
        </w:rPr>
        <w:t>for</w:t>
      </w:r>
      <w:r>
        <w:rPr>
          <w:b/>
          <w:spacing w:val="16"/>
        </w:rPr>
        <w:t xml:space="preserve"> </w:t>
      </w:r>
      <w:r>
        <w:rPr>
          <w:b/>
        </w:rPr>
        <w:t>restrictive</w:t>
      </w:r>
      <w:r>
        <w:rPr>
          <w:b/>
          <w:spacing w:val="16"/>
        </w:rPr>
        <w:t xml:space="preserve"> </w:t>
      </w:r>
      <w:r>
        <w:rPr>
          <w:b/>
        </w:rPr>
        <w:t>practices</w:t>
      </w:r>
      <w:r>
        <w:rPr>
          <w:b/>
          <w:spacing w:val="16"/>
        </w:rPr>
        <w:t xml:space="preserve"> </w:t>
      </w:r>
      <w:r>
        <w:rPr>
          <w:b/>
          <w:spacing w:val="-2"/>
        </w:rPr>
        <w:t>make?</w:t>
      </w:r>
    </w:p>
    <w:p w14:paraId="7301403E" w14:textId="77777777" w:rsidR="00C743CA" w:rsidRDefault="0081212E" w:rsidP="0081212E">
      <w:pPr>
        <w:pStyle w:val="BodyText"/>
        <w:spacing w:before="68" w:line="242" w:lineRule="auto"/>
        <w:ind w:left="122" w:right="114"/>
      </w:pPr>
      <w:r>
        <w:t xml:space="preserve">A guardian for restrictive practices can authorise the use of chemical, physical and mechanical </w:t>
      </w:r>
      <w:proofErr w:type="gramStart"/>
      <w:r>
        <w:t>restraint</w:t>
      </w:r>
      <w:proofErr w:type="gramEnd"/>
      <w:r>
        <w:t xml:space="preserve"> and restricting access to objects (see Restrictive Practices Fact Sheet).</w:t>
      </w:r>
      <w:r>
        <w:rPr>
          <w:spacing w:val="40"/>
        </w:rPr>
        <w:t xml:space="preserve"> </w:t>
      </w:r>
      <w:r>
        <w:t xml:space="preserve">The guardian for restrictive practices does not </w:t>
      </w:r>
      <w:r>
        <w:t>have the authority to consent to the use of containment and seclusion except where it is for the provision of respite/community access services.</w:t>
      </w:r>
    </w:p>
    <w:p w14:paraId="120A9212" w14:textId="77777777" w:rsidR="00C743CA" w:rsidRDefault="00C743CA" w:rsidP="0081212E">
      <w:pPr>
        <w:pStyle w:val="BodyText"/>
        <w:rPr>
          <w:sz w:val="20"/>
        </w:rPr>
      </w:pPr>
    </w:p>
    <w:p w14:paraId="3A9286A5" w14:textId="77777777" w:rsidR="00C743CA" w:rsidRDefault="00C743CA" w:rsidP="0081212E">
      <w:pPr>
        <w:pStyle w:val="BodyText"/>
        <w:spacing w:before="10"/>
        <w:rPr>
          <w:sz w:val="29"/>
        </w:rPr>
      </w:pPr>
    </w:p>
    <w:p w14:paraId="22443412" w14:textId="77777777" w:rsidR="00C743CA" w:rsidRDefault="0081212E" w:rsidP="0081212E">
      <w:pPr>
        <w:pStyle w:val="Heading1"/>
        <w:ind w:left="118"/>
        <w:jc w:val="left"/>
        <w:rPr>
          <w:b/>
        </w:rPr>
      </w:pPr>
      <w:r>
        <w:rPr>
          <w:b/>
        </w:rPr>
        <w:t>What</w:t>
      </w:r>
      <w:r>
        <w:rPr>
          <w:b/>
          <w:spacing w:val="15"/>
        </w:rPr>
        <w:t xml:space="preserve"> </w:t>
      </w:r>
      <w:proofErr w:type="gramStart"/>
      <w:r>
        <w:rPr>
          <w:b/>
        </w:rPr>
        <w:t>are</w:t>
      </w:r>
      <w:proofErr w:type="gramEnd"/>
      <w:r>
        <w:rPr>
          <w:b/>
          <w:spacing w:val="15"/>
        </w:rPr>
        <w:t xml:space="preserve"> </w:t>
      </w:r>
      <w:r>
        <w:rPr>
          <w:b/>
        </w:rPr>
        <w:t>respite/community</w:t>
      </w:r>
      <w:r>
        <w:rPr>
          <w:b/>
          <w:spacing w:val="15"/>
        </w:rPr>
        <w:t xml:space="preserve"> </w:t>
      </w:r>
      <w:r>
        <w:rPr>
          <w:b/>
        </w:rPr>
        <w:t>access</w:t>
      </w:r>
      <w:r>
        <w:rPr>
          <w:b/>
          <w:spacing w:val="15"/>
        </w:rPr>
        <w:t xml:space="preserve"> </w:t>
      </w:r>
      <w:r>
        <w:rPr>
          <w:b/>
          <w:spacing w:val="-2"/>
        </w:rPr>
        <w:t>services?</w:t>
      </w:r>
    </w:p>
    <w:p w14:paraId="2D8E5EFF" w14:textId="77777777" w:rsidR="00C743CA" w:rsidRDefault="0081212E" w:rsidP="0081212E">
      <w:pPr>
        <w:pStyle w:val="BodyText"/>
        <w:spacing w:before="68"/>
        <w:ind w:left="115"/>
      </w:pPr>
      <w:r>
        <w:t>Disability</w:t>
      </w:r>
      <w:r>
        <w:rPr>
          <w:spacing w:val="-7"/>
        </w:rPr>
        <w:t xml:space="preserve"> </w:t>
      </w:r>
      <w:r>
        <w:t>respite/community</w:t>
      </w:r>
      <w:r>
        <w:rPr>
          <w:spacing w:val="-7"/>
        </w:rPr>
        <w:t xml:space="preserve"> </w:t>
      </w:r>
      <w:r>
        <w:t>access</w:t>
      </w:r>
      <w:r>
        <w:rPr>
          <w:spacing w:val="-7"/>
        </w:rPr>
        <w:t xml:space="preserve"> </w:t>
      </w:r>
      <w:r>
        <w:t>services</w:t>
      </w:r>
      <w:r>
        <w:rPr>
          <w:spacing w:val="-6"/>
        </w:rPr>
        <w:t xml:space="preserve"> </w:t>
      </w:r>
      <w:r>
        <w:rPr>
          <w:spacing w:val="-4"/>
        </w:rPr>
        <w:t>are:</w:t>
      </w:r>
    </w:p>
    <w:p w14:paraId="49DF28EA" w14:textId="77777777" w:rsidR="00C743CA" w:rsidRDefault="00C743CA" w:rsidP="0081212E">
      <w:pPr>
        <w:pStyle w:val="BodyText"/>
        <w:spacing w:before="4"/>
      </w:pPr>
    </w:p>
    <w:p w14:paraId="11316F67" w14:textId="77777777" w:rsidR="00C743CA" w:rsidRDefault="0081212E" w:rsidP="0081212E">
      <w:pPr>
        <w:pStyle w:val="ListParagraph"/>
        <w:numPr>
          <w:ilvl w:val="0"/>
          <w:numId w:val="1"/>
        </w:numPr>
        <w:tabs>
          <w:tab w:val="left" w:pos="507"/>
        </w:tabs>
        <w:spacing w:line="242" w:lineRule="auto"/>
        <w:ind w:right="124"/>
        <w:rPr>
          <w:sz w:val="23"/>
        </w:rPr>
      </w:pPr>
      <w:r>
        <w:rPr>
          <w:sz w:val="23"/>
        </w:rPr>
        <w:t>Services provi</w:t>
      </w:r>
      <w:r>
        <w:rPr>
          <w:sz w:val="23"/>
        </w:rPr>
        <w:t>ded to an adult with an intellectual or cognitive disability who does not receive disability services or NDIS supports or services other than respite services or community access services from a relevant service provider; and</w:t>
      </w:r>
    </w:p>
    <w:p w14:paraId="308B8674" w14:textId="77777777" w:rsidR="00C743CA" w:rsidRDefault="0081212E" w:rsidP="0081212E">
      <w:pPr>
        <w:pStyle w:val="ListParagraph"/>
        <w:numPr>
          <w:ilvl w:val="0"/>
          <w:numId w:val="1"/>
        </w:numPr>
        <w:tabs>
          <w:tab w:val="left" w:pos="507"/>
        </w:tabs>
        <w:spacing w:line="310" w:lineRule="exact"/>
        <w:ind w:hanging="217"/>
        <w:rPr>
          <w:sz w:val="23"/>
        </w:rPr>
      </w:pPr>
      <w:r>
        <w:rPr>
          <w:sz w:val="23"/>
        </w:rPr>
        <w:t>Funded</w:t>
      </w:r>
      <w:r>
        <w:rPr>
          <w:spacing w:val="-6"/>
          <w:sz w:val="23"/>
        </w:rPr>
        <w:t xml:space="preserve"> </w:t>
      </w:r>
      <w:r>
        <w:rPr>
          <w:sz w:val="23"/>
        </w:rPr>
        <w:t>as</w:t>
      </w:r>
      <w:r>
        <w:rPr>
          <w:spacing w:val="-3"/>
          <w:sz w:val="23"/>
        </w:rPr>
        <w:t xml:space="preserve"> </w:t>
      </w:r>
      <w:r>
        <w:rPr>
          <w:sz w:val="23"/>
        </w:rPr>
        <w:t>respite</w:t>
      </w:r>
      <w:r>
        <w:rPr>
          <w:spacing w:val="-4"/>
          <w:sz w:val="23"/>
        </w:rPr>
        <w:t xml:space="preserve"> </w:t>
      </w:r>
      <w:r>
        <w:rPr>
          <w:sz w:val="23"/>
        </w:rPr>
        <w:t>services</w:t>
      </w:r>
      <w:r>
        <w:rPr>
          <w:spacing w:val="-3"/>
          <w:sz w:val="23"/>
        </w:rPr>
        <w:t xml:space="preserve"> </w:t>
      </w:r>
      <w:r>
        <w:rPr>
          <w:sz w:val="23"/>
        </w:rPr>
        <w:t>by</w:t>
      </w:r>
      <w:r>
        <w:rPr>
          <w:spacing w:val="-4"/>
          <w:sz w:val="23"/>
        </w:rPr>
        <w:t xml:space="preserve"> </w:t>
      </w:r>
      <w:r>
        <w:rPr>
          <w:sz w:val="23"/>
        </w:rPr>
        <w:t>the</w:t>
      </w:r>
      <w:r>
        <w:rPr>
          <w:spacing w:val="-3"/>
          <w:sz w:val="23"/>
        </w:rPr>
        <w:t xml:space="preserve"> </w:t>
      </w:r>
      <w:r>
        <w:rPr>
          <w:sz w:val="23"/>
        </w:rPr>
        <w:t>department</w:t>
      </w:r>
      <w:r>
        <w:rPr>
          <w:spacing w:val="-4"/>
          <w:sz w:val="23"/>
        </w:rPr>
        <w:t xml:space="preserve"> </w:t>
      </w:r>
      <w:r>
        <w:rPr>
          <w:sz w:val="23"/>
        </w:rPr>
        <w:t>or</w:t>
      </w:r>
      <w:r>
        <w:rPr>
          <w:spacing w:val="-3"/>
          <w:sz w:val="23"/>
        </w:rPr>
        <w:t xml:space="preserve"> </w:t>
      </w:r>
      <w:r>
        <w:rPr>
          <w:sz w:val="23"/>
        </w:rPr>
        <w:t>the</w:t>
      </w:r>
      <w:r>
        <w:rPr>
          <w:spacing w:val="-4"/>
          <w:sz w:val="23"/>
        </w:rPr>
        <w:t xml:space="preserve"> </w:t>
      </w:r>
      <w:r>
        <w:rPr>
          <w:sz w:val="23"/>
        </w:rPr>
        <w:t>Commonwealth</w:t>
      </w:r>
      <w:r>
        <w:rPr>
          <w:spacing w:val="-3"/>
          <w:sz w:val="23"/>
        </w:rPr>
        <w:t xml:space="preserve"> </w:t>
      </w:r>
      <w:r>
        <w:rPr>
          <w:sz w:val="23"/>
        </w:rPr>
        <w:t>under</w:t>
      </w:r>
      <w:r>
        <w:rPr>
          <w:spacing w:val="-4"/>
          <w:sz w:val="23"/>
        </w:rPr>
        <w:t xml:space="preserve"> </w:t>
      </w:r>
      <w:r>
        <w:rPr>
          <w:sz w:val="23"/>
        </w:rPr>
        <w:t>the</w:t>
      </w:r>
      <w:r>
        <w:rPr>
          <w:spacing w:val="-3"/>
          <w:sz w:val="23"/>
        </w:rPr>
        <w:t xml:space="preserve"> </w:t>
      </w:r>
      <w:r>
        <w:rPr>
          <w:spacing w:val="-2"/>
          <w:sz w:val="23"/>
        </w:rPr>
        <w:t>NDIS.</w:t>
      </w:r>
    </w:p>
    <w:p w14:paraId="73B1E748" w14:textId="77777777" w:rsidR="00C743CA" w:rsidRDefault="00C743CA" w:rsidP="0081212E">
      <w:pPr>
        <w:pStyle w:val="BodyText"/>
        <w:spacing w:before="13"/>
        <w:rPr>
          <w:sz w:val="15"/>
        </w:rPr>
      </w:pPr>
    </w:p>
    <w:p w14:paraId="0B029884" w14:textId="77777777" w:rsidR="00C743CA" w:rsidRDefault="0081212E" w:rsidP="0081212E">
      <w:pPr>
        <w:pStyle w:val="BodyText"/>
        <w:spacing w:before="100" w:line="242" w:lineRule="auto"/>
        <w:ind w:left="115" w:right="131"/>
      </w:pPr>
      <w:r>
        <w:t>The guardian for restrictive practices can consent to containment where a request is made by a respite service provider for the period of the respite services. However, if the adult receives full time disability services the guardian for restrictive practi</w:t>
      </w:r>
      <w:r>
        <w:t>ces cannot provide consent.</w:t>
      </w:r>
    </w:p>
    <w:p w14:paraId="7DA1AE08" w14:textId="77777777" w:rsidR="00C743CA" w:rsidRDefault="00C743CA" w:rsidP="0081212E">
      <w:pPr>
        <w:pStyle w:val="BodyText"/>
        <w:rPr>
          <w:sz w:val="20"/>
        </w:rPr>
      </w:pPr>
    </w:p>
    <w:p w14:paraId="3E9E5DF2" w14:textId="77777777" w:rsidR="00C743CA" w:rsidRDefault="00C743CA" w:rsidP="0081212E">
      <w:pPr>
        <w:pStyle w:val="BodyText"/>
        <w:spacing w:before="9"/>
        <w:rPr>
          <w:sz w:val="25"/>
        </w:rPr>
      </w:pPr>
    </w:p>
    <w:p w14:paraId="5C86DC43" w14:textId="77777777" w:rsidR="00C743CA" w:rsidRDefault="0081212E" w:rsidP="0081212E">
      <w:pPr>
        <w:pStyle w:val="Heading1"/>
        <w:ind w:left="115"/>
        <w:jc w:val="left"/>
        <w:rPr>
          <w:b/>
        </w:rPr>
      </w:pPr>
      <w:r>
        <w:rPr>
          <w:b/>
        </w:rPr>
        <w:t>What</w:t>
      </w:r>
      <w:r>
        <w:rPr>
          <w:b/>
          <w:spacing w:val="18"/>
        </w:rPr>
        <w:t xml:space="preserve"> </w:t>
      </w:r>
      <w:r>
        <w:rPr>
          <w:b/>
        </w:rPr>
        <w:t>is</w:t>
      </w:r>
      <w:r>
        <w:rPr>
          <w:b/>
          <w:spacing w:val="18"/>
        </w:rPr>
        <w:t xml:space="preserve"> </w:t>
      </w:r>
      <w:r>
        <w:rPr>
          <w:b/>
        </w:rPr>
        <w:t>a</w:t>
      </w:r>
      <w:r>
        <w:rPr>
          <w:b/>
          <w:spacing w:val="17"/>
        </w:rPr>
        <w:t xml:space="preserve"> </w:t>
      </w:r>
      <w:r>
        <w:rPr>
          <w:b/>
        </w:rPr>
        <w:t>positive</w:t>
      </w:r>
      <w:r>
        <w:rPr>
          <w:b/>
          <w:spacing w:val="18"/>
        </w:rPr>
        <w:t xml:space="preserve"> </w:t>
      </w:r>
      <w:r>
        <w:rPr>
          <w:b/>
        </w:rPr>
        <w:t>behaviour</w:t>
      </w:r>
      <w:r>
        <w:rPr>
          <w:b/>
          <w:spacing w:val="18"/>
        </w:rPr>
        <w:t xml:space="preserve"> </w:t>
      </w:r>
      <w:r>
        <w:rPr>
          <w:b/>
        </w:rPr>
        <w:t>support</w:t>
      </w:r>
      <w:r>
        <w:rPr>
          <w:b/>
          <w:spacing w:val="18"/>
        </w:rPr>
        <w:t xml:space="preserve"> </w:t>
      </w:r>
      <w:r>
        <w:rPr>
          <w:b/>
          <w:spacing w:val="-2"/>
        </w:rPr>
        <w:t>plan?</w:t>
      </w:r>
    </w:p>
    <w:p w14:paraId="3CBCDDE4" w14:textId="77777777" w:rsidR="00C743CA" w:rsidRDefault="0081212E" w:rsidP="0081212E">
      <w:pPr>
        <w:pStyle w:val="BodyText"/>
        <w:spacing w:before="68" w:line="242" w:lineRule="auto"/>
        <w:ind w:left="111" w:right="125"/>
      </w:pPr>
      <w:r>
        <w:t>A positive behaviour support plan (</w:t>
      </w:r>
      <w:r>
        <w:rPr>
          <w:b/>
        </w:rPr>
        <w:t>PBSP</w:t>
      </w:r>
      <w:r>
        <w:t>) is a plan, developed for and with an adult with intellectual or cognitive disability, that describes the strategies that are to be used to mee</w:t>
      </w:r>
      <w:r>
        <w:t>t</w:t>
      </w:r>
      <w:r>
        <w:rPr>
          <w:spacing w:val="-2"/>
        </w:rPr>
        <w:t xml:space="preserve"> </w:t>
      </w:r>
      <w:r>
        <w:t>the</w:t>
      </w:r>
      <w:r>
        <w:rPr>
          <w:spacing w:val="-2"/>
        </w:rPr>
        <w:t xml:space="preserve"> </w:t>
      </w:r>
      <w:r>
        <w:t>adult’s</w:t>
      </w:r>
      <w:r>
        <w:rPr>
          <w:spacing w:val="-2"/>
        </w:rPr>
        <w:t xml:space="preserve"> </w:t>
      </w:r>
      <w:r>
        <w:t>needs,</w:t>
      </w:r>
      <w:r>
        <w:rPr>
          <w:spacing w:val="-2"/>
        </w:rPr>
        <w:t xml:space="preserve"> </w:t>
      </w:r>
      <w:r>
        <w:t>support</w:t>
      </w:r>
      <w:r>
        <w:rPr>
          <w:spacing w:val="-2"/>
        </w:rPr>
        <w:t xml:space="preserve"> </w:t>
      </w:r>
      <w:r>
        <w:t>their</w:t>
      </w:r>
      <w:r>
        <w:rPr>
          <w:spacing w:val="-2"/>
        </w:rPr>
        <w:t xml:space="preserve"> </w:t>
      </w:r>
      <w:r>
        <w:t>development</w:t>
      </w:r>
      <w:r>
        <w:rPr>
          <w:spacing w:val="-2"/>
        </w:rPr>
        <w:t xml:space="preserve"> </w:t>
      </w:r>
      <w:r>
        <w:t>of</w:t>
      </w:r>
      <w:r>
        <w:rPr>
          <w:spacing w:val="-2"/>
        </w:rPr>
        <w:t xml:space="preserve"> </w:t>
      </w:r>
      <w:r>
        <w:t>skills,</w:t>
      </w:r>
      <w:r>
        <w:rPr>
          <w:spacing w:val="-2"/>
        </w:rPr>
        <w:t xml:space="preserve"> </w:t>
      </w:r>
      <w:r>
        <w:t>maximise</w:t>
      </w:r>
      <w:r>
        <w:rPr>
          <w:spacing w:val="-2"/>
        </w:rPr>
        <w:t xml:space="preserve"> </w:t>
      </w:r>
      <w:r>
        <w:t>their</w:t>
      </w:r>
      <w:r>
        <w:rPr>
          <w:spacing w:val="-2"/>
        </w:rPr>
        <w:t xml:space="preserve"> </w:t>
      </w:r>
      <w:r>
        <w:t>opportunities and reduce the intensity, frequency and duration of behaviours that may lead to the use of restrictive practices. A PBSP must describe behaviours of concern, including t</w:t>
      </w:r>
      <w:r>
        <w:t>he triggers for the behaviour, outline positive strategies to be used before restrictive practices are applied and outline safeguards to be applied to protect the adult. The objective of the PBSP is to reduce, to the greatest extent, the need for the use o</w:t>
      </w:r>
      <w:r>
        <w:t>f restrictive practices.</w:t>
      </w:r>
    </w:p>
    <w:p w14:paraId="34994EB8" w14:textId="77777777" w:rsidR="00C743CA" w:rsidRDefault="00C743CA" w:rsidP="0081212E">
      <w:pPr>
        <w:spacing w:line="242" w:lineRule="auto"/>
        <w:sectPr w:rsidR="00C743CA">
          <w:pgSz w:w="11910" w:h="16850"/>
          <w:pgMar w:top="1280" w:right="1060" w:bottom="280" w:left="1080" w:header="720" w:footer="720" w:gutter="0"/>
          <w:cols w:space="720"/>
        </w:sectPr>
      </w:pPr>
    </w:p>
    <w:p w14:paraId="786DA8FB" w14:textId="77777777" w:rsidR="00C743CA" w:rsidRDefault="0081212E" w:rsidP="0081212E">
      <w:pPr>
        <w:pStyle w:val="BodyText"/>
        <w:spacing w:before="12"/>
        <w:rPr>
          <w:sz w:val="15"/>
        </w:rPr>
      </w:pPr>
      <w:r>
        <w:rPr>
          <w:noProof/>
        </w:rPr>
        <w:lastRenderedPageBreak/>
        <w:drawing>
          <wp:anchor distT="0" distB="0" distL="0" distR="0" simplePos="0" relativeHeight="487498240" behindDoc="1" locked="0" layoutInCell="1" allowOverlap="1" wp14:anchorId="2697A057" wp14:editId="21EEE939">
            <wp:simplePos x="0" y="0"/>
            <wp:positionH relativeFrom="page">
              <wp:posOffset>4493</wp:posOffset>
            </wp:positionH>
            <wp:positionV relativeFrom="page">
              <wp:posOffset>1</wp:posOffset>
            </wp:positionV>
            <wp:extent cx="7558356" cy="10696573"/>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7558356" cy="10696573"/>
                    </a:xfrm>
                    <a:prstGeom prst="rect">
                      <a:avLst/>
                    </a:prstGeom>
                  </pic:spPr>
                </pic:pic>
              </a:graphicData>
            </a:graphic>
          </wp:anchor>
        </w:drawing>
      </w:r>
      <w:r>
        <w:pict w14:anchorId="6575EB59">
          <v:group id="docshapegroup5" o:spid="_x0000_s1026" style="position:absolute;margin-left:.05pt;margin-top:760.15pt;width:595.2pt;height:60.05pt;z-index:-15817728;mso-position-horizontal-relative:page;mso-position-vertical-relative:page" coordorigin="1,15203" coordsize="11904,1201">
            <v:rect id="docshape6" o:spid="_x0000_s1028" style="position:absolute;top:15202;width:11904;height:1201" fillcolor="#d9d9d9" stroked="f"/>
            <v:shapetype id="_x0000_t202" coordsize="21600,21600" o:spt="202" path="m,l,21600r21600,l21600,xe">
              <v:stroke joinstyle="miter"/>
              <v:path gradientshapeok="t" o:connecttype="rect"/>
            </v:shapetype>
            <v:shape id="docshape7" o:spid="_x0000_s1027" type="#_x0000_t202" style="position:absolute;top:15202;width:11904;height:1201" filled="f" stroked="f">
              <v:textbox inset="0,0,0,0">
                <w:txbxContent>
                  <w:p w14:paraId="77D2A5A5" w14:textId="77777777" w:rsidR="00C743CA" w:rsidRDefault="0081212E">
                    <w:pPr>
                      <w:spacing w:before="65" w:line="264" w:lineRule="auto"/>
                      <w:ind w:left="478" w:right="465" w:hanging="1"/>
                      <w:jc w:val="center"/>
                      <w:rPr>
                        <w:rFonts w:ascii="Century Gothic"/>
                        <w:sz w:val="20"/>
                      </w:rPr>
                    </w:pPr>
                    <w:r>
                      <w:rPr>
                        <w:rFonts w:ascii="Century Gothic"/>
                        <w:sz w:val="20"/>
                      </w:rPr>
                      <w:t xml:space="preserve">This factsheet has been prepared by Queensland Advocacy Incorporated (QAI), an independent, community- </w:t>
                    </w:r>
                    <w:r>
                      <w:rPr>
                        <w:rFonts w:ascii="Century Gothic"/>
                        <w:spacing w:val="-2"/>
                        <w:w w:val="105"/>
                        <w:sz w:val="20"/>
                      </w:rPr>
                      <w:t>based</w:t>
                    </w:r>
                    <w:r>
                      <w:rPr>
                        <w:rFonts w:ascii="Century Gothic"/>
                        <w:spacing w:val="-9"/>
                        <w:w w:val="105"/>
                        <w:sz w:val="20"/>
                      </w:rPr>
                      <w:t xml:space="preserve"> </w:t>
                    </w:r>
                    <w:r>
                      <w:rPr>
                        <w:rFonts w:ascii="Century Gothic"/>
                        <w:spacing w:val="-2"/>
                        <w:w w:val="105"/>
                        <w:sz w:val="20"/>
                      </w:rPr>
                      <w:t>advocacy</w:t>
                    </w:r>
                    <w:r>
                      <w:rPr>
                        <w:rFonts w:ascii="Century Gothic"/>
                        <w:spacing w:val="-9"/>
                        <w:w w:val="105"/>
                        <w:sz w:val="20"/>
                      </w:rPr>
                      <w:t xml:space="preserve"> </w:t>
                    </w:r>
                    <w:r>
                      <w:rPr>
                        <w:rFonts w:ascii="Century Gothic"/>
                        <w:spacing w:val="-2"/>
                        <w:w w:val="105"/>
                        <w:sz w:val="20"/>
                      </w:rPr>
                      <w:t>organisation</w:t>
                    </w:r>
                    <w:r>
                      <w:rPr>
                        <w:rFonts w:ascii="Century Gothic"/>
                        <w:spacing w:val="-9"/>
                        <w:w w:val="105"/>
                        <w:sz w:val="20"/>
                      </w:rPr>
                      <w:t xml:space="preserve"> </w:t>
                    </w:r>
                    <w:r>
                      <w:rPr>
                        <w:rFonts w:ascii="Century Gothic"/>
                        <w:spacing w:val="-2"/>
                        <w:w w:val="105"/>
                        <w:sz w:val="20"/>
                      </w:rPr>
                      <w:t>for</w:t>
                    </w:r>
                    <w:r>
                      <w:rPr>
                        <w:rFonts w:ascii="Century Gothic"/>
                        <w:spacing w:val="-9"/>
                        <w:w w:val="105"/>
                        <w:sz w:val="20"/>
                      </w:rPr>
                      <w:t xml:space="preserve"> </w:t>
                    </w:r>
                    <w:r>
                      <w:rPr>
                        <w:rFonts w:ascii="Century Gothic"/>
                        <w:spacing w:val="-2"/>
                        <w:w w:val="105"/>
                        <w:sz w:val="20"/>
                      </w:rPr>
                      <w:t>people</w:t>
                    </w:r>
                    <w:r>
                      <w:rPr>
                        <w:rFonts w:ascii="Century Gothic"/>
                        <w:spacing w:val="-9"/>
                        <w:w w:val="105"/>
                        <w:sz w:val="20"/>
                      </w:rPr>
                      <w:t xml:space="preserve"> </w:t>
                    </w:r>
                    <w:r>
                      <w:rPr>
                        <w:rFonts w:ascii="Century Gothic"/>
                        <w:spacing w:val="-2"/>
                        <w:w w:val="105"/>
                        <w:sz w:val="20"/>
                      </w:rPr>
                      <w:t>with</w:t>
                    </w:r>
                    <w:r>
                      <w:rPr>
                        <w:rFonts w:ascii="Century Gothic"/>
                        <w:spacing w:val="-9"/>
                        <w:w w:val="105"/>
                        <w:sz w:val="20"/>
                      </w:rPr>
                      <w:t xml:space="preserve"> </w:t>
                    </w:r>
                    <w:r>
                      <w:rPr>
                        <w:rFonts w:ascii="Century Gothic"/>
                        <w:spacing w:val="-2"/>
                        <w:w w:val="105"/>
                        <w:sz w:val="20"/>
                      </w:rPr>
                      <w:t>disability</w:t>
                    </w:r>
                    <w:r>
                      <w:rPr>
                        <w:rFonts w:ascii="Century Gothic"/>
                        <w:spacing w:val="-9"/>
                        <w:w w:val="105"/>
                        <w:sz w:val="20"/>
                      </w:rPr>
                      <w:t xml:space="preserve"> </w:t>
                    </w:r>
                    <w:r>
                      <w:rPr>
                        <w:rFonts w:ascii="Century Gothic"/>
                        <w:spacing w:val="-2"/>
                        <w:w w:val="105"/>
                        <w:sz w:val="20"/>
                      </w:rPr>
                      <w:t>in</w:t>
                    </w:r>
                    <w:r>
                      <w:rPr>
                        <w:rFonts w:ascii="Century Gothic"/>
                        <w:spacing w:val="-9"/>
                        <w:w w:val="105"/>
                        <w:sz w:val="20"/>
                      </w:rPr>
                      <w:t xml:space="preserve"> </w:t>
                    </w:r>
                    <w:r>
                      <w:rPr>
                        <w:rFonts w:ascii="Century Gothic"/>
                        <w:spacing w:val="-2"/>
                        <w:w w:val="105"/>
                        <w:sz w:val="20"/>
                      </w:rPr>
                      <w:t>Queensland</w:t>
                    </w:r>
                    <w:r>
                      <w:rPr>
                        <w:rFonts w:ascii="Century Gothic"/>
                        <w:spacing w:val="-9"/>
                        <w:w w:val="105"/>
                        <w:sz w:val="20"/>
                      </w:rPr>
                      <w:t xml:space="preserve"> </w:t>
                    </w:r>
                    <w:r>
                      <w:rPr>
                        <w:rFonts w:ascii="Century Gothic"/>
                        <w:spacing w:val="-2"/>
                        <w:w w:val="105"/>
                        <w:sz w:val="20"/>
                      </w:rPr>
                      <w:t>(www.qai.org.au).</w:t>
                    </w:r>
                    <w:r>
                      <w:rPr>
                        <w:rFonts w:ascii="Century Gothic"/>
                        <w:spacing w:val="39"/>
                        <w:w w:val="105"/>
                        <w:sz w:val="20"/>
                      </w:rPr>
                      <w:t xml:space="preserve"> </w:t>
                    </w:r>
                    <w:r>
                      <w:rPr>
                        <w:rFonts w:ascii="Century Gothic"/>
                        <w:spacing w:val="-2"/>
                        <w:w w:val="105"/>
                        <w:sz w:val="20"/>
                      </w:rPr>
                      <w:t>This</w:t>
                    </w:r>
                    <w:r>
                      <w:rPr>
                        <w:rFonts w:ascii="Century Gothic"/>
                        <w:spacing w:val="-9"/>
                        <w:w w:val="105"/>
                        <w:sz w:val="20"/>
                      </w:rPr>
                      <w:t xml:space="preserve"> </w:t>
                    </w:r>
                    <w:r>
                      <w:rPr>
                        <w:rFonts w:ascii="Century Gothic"/>
                        <w:spacing w:val="-2"/>
                        <w:w w:val="105"/>
                        <w:sz w:val="20"/>
                      </w:rPr>
                      <w:t>publication</w:t>
                    </w:r>
                    <w:r>
                      <w:rPr>
                        <w:rFonts w:ascii="Century Gothic"/>
                        <w:spacing w:val="-9"/>
                        <w:w w:val="105"/>
                        <w:sz w:val="20"/>
                      </w:rPr>
                      <w:t xml:space="preserve"> </w:t>
                    </w:r>
                    <w:r>
                      <w:rPr>
                        <w:rFonts w:ascii="Century Gothic"/>
                        <w:spacing w:val="-2"/>
                        <w:w w:val="105"/>
                        <w:sz w:val="20"/>
                      </w:rPr>
                      <w:t>is</w:t>
                    </w:r>
                    <w:r>
                      <w:rPr>
                        <w:rFonts w:ascii="Century Gothic"/>
                        <w:spacing w:val="-9"/>
                        <w:w w:val="105"/>
                        <w:sz w:val="20"/>
                      </w:rPr>
                      <w:t xml:space="preserve"> </w:t>
                    </w:r>
                    <w:r>
                      <w:rPr>
                        <w:rFonts w:ascii="Century Gothic"/>
                        <w:spacing w:val="-2"/>
                        <w:w w:val="105"/>
                        <w:sz w:val="20"/>
                      </w:rPr>
                      <w:t xml:space="preserve">for </w:t>
                    </w:r>
                    <w:r>
                      <w:rPr>
                        <w:rFonts w:ascii="Century Gothic"/>
                        <w:w w:val="105"/>
                        <w:sz w:val="20"/>
                      </w:rPr>
                      <w:t>general</w:t>
                    </w:r>
                    <w:r>
                      <w:rPr>
                        <w:rFonts w:ascii="Century Gothic"/>
                        <w:spacing w:val="-12"/>
                        <w:w w:val="105"/>
                        <w:sz w:val="20"/>
                      </w:rPr>
                      <w:t xml:space="preserve"> </w:t>
                    </w:r>
                    <w:r>
                      <w:rPr>
                        <w:rFonts w:ascii="Century Gothic"/>
                        <w:w w:val="105"/>
                        <w:sz w:val="20"/>
                      </w:rPr>
                      <w:t>information</w:t>
                    </w:r>
                    <w:r>
                      <w:rPr>
                        <w:rFonts w:ascii="Century Gothic"/>
                        <w:spacing w:val="-12"/>
                        <w:w w:val="105"/>
                        <w:sz w:val="20"/>
                      </w:rPr>
                      <w:t xml:space="preserve"> </w:t>
                    </w:r>
                    <w:r>
                      <w:rPr>
                        <w:rFonts w:ascii="Century Gothic"/>
                        <w:w w:val="105"/>
                        <w:sz w:val="20"/>
                      </w:rPr>
                      <w:t>only.</w:t>
                    </w:r>
                    <w:r>
                      <w:rPr>
                        <w:rFonts w:ascii="Century Gothic"/>
                        <w:spacing w:val="-12"/>
                        <w:w w:val="105"/>
                        <w:sz w:val="20"/>
                      </w:rPr>
                      <w:t xml:space="preserve"> </w:t>
                    </w:r>
                    <w:r>
                      <w:rPr>
                        <w:rFonts w:ascii="Century Gothic"/>
                        <w:w w:val="105"/>
                        <w:sz w:val="20"/>
                      </w:rPr>
                      <w:t>It</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not</w:t>
                    </w:r>
                    <w:r>
                      <w:rPr>
                        <w:rFonts w:ascii="Century Gothic"/>
                        <w:spacing w:val="-12"/>
                        <w:w w:val="105"/>
                        <w:sz w:val="20"/>
                      </w:rPr>
                      <w:t xml:space="preserve"> </w:t>
                    </w:r>
                    <w:r>
                      <w:rPr>
                        <w:rFonts w:ascii="Century Gothic"/>
                        <w:w w:val="105"/>
                        <w:sz w:val="20"/>
                      </w:rPr>
                      <w:t>be</w:t>
                    </w:r>
                    <w:r>
                      <w:rPr>
                        <w:rFonts w:ascii="Century Gothic"/>
                        <w:spacing w:val="-12"/>
                        <w:w w:val="105"/>
                        <w:sz w:val="20"/>
                      </w:rPr>
                      <w:t xml:space="preserve"> </w:t>
                    </w:r>
                    <w:r>
                      <w:rPr>
                        <w:rFonts w:ascii="Century Gothic"/>
                        <w:w w:val="105"/>
                        <w:sz w:val="20"/>
                      </w:rPr>
                      <w:t>relied</w:t>
                    </w:r>
                    <w:r>
                      <w:rPr>
                        <w:rFonts w:ascii="Century Gothic"/>
                        <w:spacing w:val="-12"/>
                        <w:w w:val="105"/>
                        <w:sz w:val="20"/>
                      </w:rPr>
                      <w:t xml:space="preserve"> </w:t>
                    </w:r>
                    <w:r>
                      <w:rPr>
                        <w:rFonts w:ascii="Century Gothic"/>
                        <w:w w:val="105"/>
                        <w:sz w:val="20"/>
                      </w:rPr>
                      <w:t>on</w:t>
                    </w:r>
                    <w:r>
                      <w:rPr>
                        <w:rFonts w:ascii="Century Gothic"/>
                        <w:spacing w:val="-12"/>
                        <w:w w:val="105"/>
                        <w:sz w:val="20"/>
                      </w:rPr>
                      <w:t xml:space="preserve"> </w:t>
                    </w:r>
                    <w:r>
                      <w:rPr>
                        <w:rFonts w:ascii="Century Gothic"/>
                        <w:w w:val="105"/>
                        <w:sz w:val="20"/>
                      </w:rPr>
                      <w:t>as</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You</w:t>
                    </w:r>
                    <w:r>
                      <w:rPr>
                        <w:rFonts w:ascii="Century Gothic"/>
                        <w:spacing w:val="-12"/>
                        <w:w w:val="105"/>
                        <w:sz w:val="20"/>
                      </w:rPr>
                      <w:t xml:space="preserve"> </w:t>
                    </w:r>
                    <w:r>
                      <w:rPr>
                        <w:rFonts w:ascii="Century Gothic"/>
                        <w:w w:val="105"/>
                        <w:sz w:val="20"/>
                      </w:rPr>
                      <w:t>must</w:t>
                    </w:r>
                    <w:r>
                      <w:rPr>
                        <w:rFonts w:ascii="Century Gothic"/>
                        <w:spacing w:val="-12"/>
                        <w:w w:val="105"/>
                        <w:sz w:val="20"/>
                      </w:rPr>
                      <w:t xml:space="preserve"> </w:t>
                    </w:r>
                    <w:r>
                      <w:rPr>
                        <w:rFonts w:ascii="Century Gothic"/>
                        <w:w w:val="105"/>
                        <w:sz w:val="20"/>
                      </w:rPr>
                      <w:t>seek</w:t>
                    </w:r>
                    <w:r>
                      <w:rPr>
                        <w:rFonts w:ascii="Century Gothic"/>
                        <w:spacing w:val="-12"/>
                        <w:w w:val="105"/>
                        <w:sz w:val="20"/>
                      </w:rPr>
                      <w:t xml:space="preserve"> </w:t>
                    </w:r>
                    <w:r>
                      <w:rPr>
                        <w:rFonts w:ascii="Century Gothic"/>
                        <w:w w:val="105"/>
                        <w:sz w:val="20"/>
                      </w:rPr>
                      <w:t>legal</w:t>
                    </w:r>
                    <w:r>
                      <w:rPr>
                        <w:rFonts w:ascii="Century Gothic"/>
                        <w:spacing w:val="-12"/>
                        <w:w w:val="105"/>
                        <w:sz w:val="20"/>
                      </w:rPr>
                      <w:t xml:space="preserve"> </w:t>
                    </w:r>
                    <w:r>
                      <w:rPr>
                        <w:rFonts w:ascii="Century Gothic"/>
                        <w:w w:val="105"/>
                        <w:sz w:val="20"/>
                      </w:rPr>
                      <w:t>advice</w:t>
                    </w:r>
                    <w:r>
                      <w:rPr>
                        <w:rFonts w:ascii="Century Gothic"/>
                        <w:spacing w:val="-12"/>
                        <w:w w:val="105"/>
                        <w:sz w:val="20"/>
                      </w:rPr>
                      <w:t xml:space="preserve"> </w:t>
                    </w:r>
                    <w:r>
                      <w:rPr>
                        <w:rFonts w:ascii="Century Gothic"/>
                        <w:w w:val="105"/>
                        <w:sz w:val="20"/>
                      </w:rPr>
                      <w:t>about</w:t>
                    </w:r>
                    <w:r>
                      <w:rPr>
                        <w:rFonts w:ascii="Century Gothic"/>
                        <w:spacing w:val="-12"/>
                        <w:w w:val="105"/>
                        <w:sz w:val="20"/>
                      </w:rPr>
                      <w:t xml:space="preserve"> </w:t>
                    </w:r>
                    <w:r>
                      <w:rPr>
                        <w:rFonts w:ascii="Century Gothic"/>
                        <w:w w:val="105"/>
                        <w:sz w:val="20"/>
                      </w:rPr>
                      <w:t>your</w:t>
                    </w:r>
                    <w:r>
                      <w:rPr>
                        <w:rFonts w:ascii="Century Gothic"/>
                        <w:spacing w:val="-12"/>
                        <w:w w:val="105"/>
                        <w:sz w:val="20"/>
                      </w:rPr>
                      <w:t xml:space="preserve"> </w:t>
                    </w:r>
                    <w:r>
                      <w:rPr>
                        <w:rFonts w:ascii="Century Gothic"/>
                        <w:w w:val="105"/>
                        <w:sz w:val="20"/>
                      </w:rPr>
                      <w:t xml:space="preserve">own </w:t>
                    </w:r>
                    <w:proofErr w:type="gramStart"/>
                    <w:r>
                      <w:rPr>
                        <w:rFonts w:ascii="Century Gothic"/>
                        <w:w w:val="105"/>
                        <w:sz w:val="20"/>
                      </w:rPr>
                      <w:t>particular circumstances</w:t>
                    </w:r>
                    <w:proofErr w:type="gramEnd"/>
                    <w:r>
                      <w:rPr>
                        <w:rFonts w:ascii="Century Gothic"/>
                        <w:w w:val="105"/>
                        <w:sz w:val="20"/>
                      </w:rPr>
                      <w:t>.</w:t>
                    </w:r>
                  </w:p>
                </w:txbxContent>
              </v:textbox>
            </v:shape>
            <w10:wrap anchorx="page" anchory="page"/>
          </v:group>
        </w:pict>
      </w:r>
    </w:p>
    <w:p w14:paraId="21F8919B" w14:textId="77777777" w:rsidR="00C743CA" w:rsidRDefault="0081212E" w:rsidP="0081212E">
      <w:pPr>
        <w:pStyle w:val="Heading1"/>
        <w:spacing w:before="96"/>
        <w:jc w:val="left"/>
        <w:rPr>
          <w:b/>
        </w:rPr>
      </w:pPr>
      <w:r>
        <w:rPr>
          <w:b/>
        </w:rPr>
        <w:t>Consent</w:t>
      </w:r>
      <w:r>
        <w:rPr>
          <w:b/>
          <w:spacing w:val="18"/>
        </w:rPr>
        <w:t xml:space="preserve"> </w:t>
      </w:r>
      <w:r>
        <w:rPr>
          <w:b/>
        </w:rPr>
        <w:t>by</w:t>
      </w:r>
      <w:r>
        <w:rPr>
          <w:b/>
          <w:spacing w:val="18"/>
        </w:rPr>
        <w:t xml:space="preserve"> </w:t>
      </w:r>
      <w:r>
        <w:rPr>
          <w:b/>
        </w:rPr>
        <w:t>guardian</w:t>
      </w:r>
      <w:r>
        <w:rPr>
          <w:b/>
          <w:spacing w:val="19"/>
        </w:rPr>
        <w:t xml:space="preserve"> </w:t>
      </w:r>
      <w:r>
        <w:rPr>
          <w:b/>
          <w:spacing w:val="-4"/>
        </w:rPr>
        <w:t>type</w:t>
      </w:r>
    </w:p>
    <w:p w14:paraId="57F6BADA" w14:textId="77777777" w:rsidR="00C743CA" w:rsidRDefault="00C743CA" w:rsidP="0081212E">
      <w:pPr>
        <w:pStyle w:val="BodyText"/>
        <w:spacing w:before="15" w:after="1"/>
        <w:rPr>
          <w:rFonts w:ascii="Poppins SemiBold"/>
          <w:b/>
          <w:sz w:val="16"/>
        </w:rPr>
      </w:pPr>
    </w:p>
    <w:tbl>
      <w:tblPr>
        <w:tblW w:w="0" w:type="auto"/>
        <w:tblInd w:w="-142" w:type="dxa"/>
        <w:tblBorders>
          <w:top w:val="single" w:sz="18" w:space="0" w:color="737373"/>
          <w:left w:val="single" w:sz="18" w:space="0" w:color="737373"/>
          <w:bottom w:val="single" w:sz="18" w:space="0" w:color="737373"/>
          <w:right w:val="single" w:sz="18" w:space="0" w:color="737373"/>
          <w:insideH w:val="single" w:sz="18" w:space="0" w:color="737373"/>
          <w:insideV w:val="single" w:sz="18" w:space="0" w:color="737373"/>
        </w:tblBorders>
        <w:tblLayout w:type="fixed"/>
        <w:tblCellMar>
          <w:left w:w="0" w:type="dxa"/>
          <w:right w:w="0" w:type="dxa"/>
        </w:tblCellMar>
        <w:tblLook w:val="01E0" w:firstRow="1" w:lastRow="1" w:firstColumn="1" w:lastColumn="1" w:noHBand="0" w:noVBand="0"/>
      </w:tblPr>
      <w:tblGrid>
        <w:gridCol w:w="2127"/>
        <w:gridCol w:w="2977"/>
        <w:gridCol w:w="4407"/>
      </w:tblGrid>
      <w:tr w:rsidR="00C743CA" w14:paraId="53779DBA" w14:textId="77777777" w:rsidTr="0081212E">
        <w:trPr>
          <w:trHeight w:val="914"/>
        </w:trPr>
        <w:tc>
          <w:tcPr>
            <w:tcW w:w="2127" w:type="dxa"/>
            <w:tcBorders>
              <w:top w:val="nil"/>
              <w:left w:val="nil"/>
            </w:tcBorders>
          </w:tcPr>
          <w:p w14:paraId="2F6B2B57" w14:textId="2E51AE62" w:rsidR="00C743CA" w:rsidRDefault="0081212E" w:rsidP="0081212E">
            <w:pPr>
              <w:pStyle w:val="TableParagraph"/>
              <w:spacing w:before="72" w:line="242" w:lineRule="auto"/>
              <w:rPr>
                <w:b/>
                <w:sz w:val="23"/>
              </w:rPr>
            </w:pPr>
            <w:r>
              <w:rPr>
                <w:b/>
                <w:spacing w:val="-2"/>
                <w:sz w:val="23"/>
              </w:rPr>
              <w:t>Restrictive practice</w:t>
            </w:r>
          </w:p>
        </w:tc>
        <w:tc>
          <w:tcPr>
            <w:tcW w:w="2977" w:type="dxa"/>
            <w:tcBorders>
              <w:top w:val="nil"/>
            </w:tcBorders>
          </w:tcPr>
          <w:p w14:paraId="3D6A82E5" w14:textId="77777777" w:rsidR="00C743CA" w:rsidRDefault="0081212E" w:rsidP="0081212E">
            <w:pPr>
              <w:pStyle w:val="TableParagraph"/>
              <w:spacing w:before="72" w:line="242" w:lineRule="auto"/>
              <w:ind w:left="48"/>
              <w:rPr>
                <w:b/>
                <w:sz w:val="23"/>
              </w:rPr>
            </w:pPr>
            <w:r>
              <w:rPr>
                <w:b/>
                <w:sz w:val="23"/>
              </w:rPr>
              <w:t>Guardian</w:t>
            </w:r>
            <w:r>
              <w:rPr>
                <w:b/>
                <w:spacing w:val="40"/>
                <w:sz w:val="23"/>
              </w:rPr>
              <w:t xml:space="preserve"> </w:t>
            </w:r>
            <w:r>
              <w:rPr>
                <w:b/>
                <w:sz w:val="23"/>
              </w:rPr>
              <w:t>for</w:t>
            </w:r>
            <w:r>
              <w:rPr>
                <w:b/>
                <w:spacing w:val="40"/>
                <w:sz w:val="23"/>
              </w:rPr>
              <w:t xml:space="preserve"> </w:t>
            </w:r>
            <w:r>
              <w:rPr>
                <w:b/>
                <w:sz w:val="23"/>
              </w:rPr>
              <w:t>personal affairs (general)</w:t>
            </w:r>
          </w:p>
        </w:tc>
        <w:tc>
          <w:tcPr>
            <w:tcW w:w="4407" w:type="dxa"/>
            <w:tcBorders>
              <w:top w:val="nil"/>
              <w:right w:val="nil"/>
            </w:tcBorders>
          </w:tcPr>
          <w:p w14:paraId="3A2C6050" w14:textId="77777777" w:rsidR="00C743CA" w:rsidRDefault="0081212E" w:rsidP="0081212E">
            <w:pPr>
              <w:pStyle w:val="TableParagraph"/>
              <w:spacing w:before="230"/>
              <w:ind w:left="182"/>
              <w:rPr>
                <w:b/>
                <w:sz w:val="23"/>
              </w:rPr>
            </w:pPr>
            <w:r>
              <w:rPr>
                <w:b/>
                <w:sz w:val="23"/>
              </w:rPr>
              <w:t>Guardian</w:t>
            </w:r>
            <w:r>
              <w:rPr>
                <w:b/>
                <w:spacing w:val="-6"/>
                <w:sz w:val="23"/>
              </w:rPr>
              <w:t xml:space="preserve"> </w:t>
            </w:r>
            <w:r>
              <w:rPr>
                <w:b/>
                <w:sz w:val="23"/>
              </w:rPr>
              <w:t>for</w:t>
            </w:r>
            <w:r>
              <w:rPr>
                <w:b/>
                <w:spacing w:val="-5"/>
                <w:sz w:val="23"/>
              </w:rPr>
              <w:t xml:space="preserve"> </w:t>
            </w:r>
            <w:r>
              <w:rPr>
                <w:b/>
                <w:sz w:val="23"/>
              </w:rPr>
              <w:t>restrictive</w:t>
            </w:r>
            <w:r>
              <w:rPr>
                <w:b/>
                <w:spacing w:val="-5"/>
                <w:sz w:val="23"/>
              </w:rPr>
              <w:t xml:space="preserve"> </w:t>
            </w:r>
            <w:r>
              <w:rPr>
                <w:b/>
                <w:spacing w:val="-2"/>
                <w:sz w:val="23"/>
              </w:rPr>
              <w:t>practices</w:t>
            </w:r>
          </w:p>
        </w:tc>
      </w:tr>
      <w:tr w:rsidR="00C743CA" w14:paraId="25E660E9" w14:textId="77777777" w:rsidTr="0081212E">
        <w:trPr>
          <w:trHeight w:val="1318"/>
        </w:trPr>
        <w:tc>
          <w:tcPr>
            <w:tcW w:w="2127" w:type="dxa"/>
            <w:tcBorders>
              <w:left w:val="nil"/>
            </w:tcBorders>
          </w:tcPr>
          <w:p w14:paraId="2EEAB90B" w14:textId="77777777" w:rsidR="00C743CA" w:rsidRDefault="00C743CA" w:rsidP="0081212E">
            <w:pPr>
              <w:pStyle w:val="TableParagraph"/>
              <w:spacing w:before="16"/>
              <w:rPr>
                <w:rFonts w:ascii="Poppins SemiBold"/>
                <w:b/>
                <w:sz w:val="26"/>
              </w:rPr>
            </w:pPr>
          </w:p>
          <w:p w14:paraId="7DC9B7FB" w14:textId="08863EB5" w:rsidR="00C743CA" w:rsidRDefault="0081212E" w:rsidP="0081212E">
            <w:pPr>
              <w:pStyle w:val="TableParagraph"/>
              <w:ind w:left="-38"/>
              <w:rPr>
                <w:sz w:val="23"/>
              </w:rPr>
            </w:pPr>
            <w:r>
              <w:rPr>
                <w:spacing w:val="-2"/>
                <w:sz w:val="23"/>
              </w:rPr>
              <w:t xml:space="preserve"> </w:t>
            </w:r>
            <w:r>
              <w:rPr>
                <w:spacing w:val="-2"/>
                <w:sz w:val="23"/>
              </w:rPr>
              <w:t>Seclusion</w:t>
            </w:r>
          </w:p>
        </w:tc>
        <w:tc>
          <w:tcPr>
            <w:tcW w:w="2977" w:type="dxa"/>
          </w:tcPr>
          <w:p w14:paraId="3EA401FC" w14:textId="77777777" w:rsidR="00C743CA" w:rsidRDefault="00C743CA" w:rsidP="0081212E">
            <w:pPr>
              <w:pStyle w:val="TableParagraph"/>
              <w:spacing w:before="16"/>
              <w:rPr>
                <w:rFonts w:ascii="Poppins SemiBold"/>
                <w:b/>
                <w:sz w:val="26"/>
              </w:rPr>
            </w:pPr>
          </w:p>
          <w:p w14:paraId="34ECE64E" w14:textId="77777777" w:rsidR="00C743CA" w:rsidRDefault="0081212E" w:rsidP="0081212E">
            <w:pPr>
              <w:pStyle w:val="TableParagraph"/>
              <w:ind w:left="317"/>
              <w:rPr>
                <w:sz w:val="23"/>
              </w:rPr>
            </w:pPr>
            <w:r>
              <w:rPr>
                <w:sz w:val="23"/>
              </w:rPr>
              <w:t>No,</w:t>
            </w:r>
            <w:r>
              <w:rPr>
                <w:spacing w:val="-4"/>
                <w:sz w:val="23"/>
              </w:rPr>
              <w:t xml:space="preserve"> </w:t>
            </w:r>
            <w:r>
              <w:rPr>
                <w:sz w:val="23"/>
              </w:rPr>
              <w:t>cannot</w:t>
            </w:r>
            <w:r>
              <w:rPr>
                <w:spacing w:val="-3"/>
                <w:sz w:val="23"/>
              </w:rPr>
              <w:t xml:space="preserve"> </w:t>
            </w:r>
            <w:r>
              <w:rPr>
                <w:spacing w:val="-2"/>
                <w:sz w:val="23"/>
              </w:rPr>
              <w:t>consent</w:t>
            </w:r>
          </w:p>
        </w:tc>
        <w:tc>
          <w:tcPr>
            <w:tcW w:w="4407" w:type="dxa"/>
            <w:tcBorders>
              <w:right w:val="nil"/>
            </w:tcBorders>
          </w:tcPr>
          <w:p w14:paraId="7F4C1C4B" w14:textId="77777777" w:rsidR="00C743CA" w:rsidRDefault="0081212E" w:rsidP="0081212E">
            <w:pPr>
              <w:pStyle w:val="TableParagraph"/>
              <w:spacing w:before="159" w:line="242" w:lineRule="auto"/>
              <w:ind w:left="182" w:right="-44"/>
              <w:rPr>
                <w:sz w:val="23"/>
              </w:rPr>
            </w:pPr>
            <w:r>
              <w:rPr>
                <w:sz w:val="23"/>
              </w:rPr>
              <w:t>In limited circumstances, including short- term approvals (up to six months) by the Public Guardian</w:t>
            </w:r>
          </w:p>
        </w:tc>
      </w:tr>
      <w:tr w:rsidR="00C743CA" w14:paraId="7AE875C5" w14:textId="77777777" w:rsidTr="0081212E">
        <w:trPr>
          <w:trHeight w:val="1318"/>
        </w:trPr>
        <w:tc>
          <w:tcPr>
            <w:tcW w:w="2127" w:type="dxa"/>
            <w:tcBorders>
              <w:left w:val="nil"/>
            </w:tcBorders>
          </w:tcPr>
          <w:p w14:paraId="12208145" w14:textId="77777777" w:rsidR="00C743CA" w:rsidRDefault="00C743CA" w:rsidP="0081212E">
            <w:pPr>
              <w:pStyle w:val="TableParagraph"/>
              <w:spacing w:before="11"/>
              <w:rPr>
                <w:rFonts w:ascii="Poppins SemiBold"/>
                <w:b/>
                <w:sz w:val="26"/>
              </w:rPr>
            </w:pPr>
          </w:p>
          <w:p w14:paraId="040BF781" w14:textId="21206957" w:rsidR="00C743CA" w:rsidRDefault="0081212E" w:rsidP="0081212E">
            <w:pPr>
              <w:pStyle w:val="TableParagraph"/>
              <w:spacing w:before="1"/>
              <w:ind w:left="-38"/>
              <w:rPr>
                <w:sz w:val="23"/>
              </w:rPr>
            </w:pPr>
            <w:r>
              <w:rPr>
                <w:spacing w:val="-2"/>
                <w:sz w:val="23"/>
              </w:rPr>
              <w:t xml:space="preserve"> </w:t>
            </w:r>
            <w:r>
              <w:rPr>
                <w:spacing w:val="-2"/>
                <w:sz w:val="23"/>
              </w:rPr>
              <w:t>Containment</w:t>
            </w:r>
          </w:p>
        </w:tc>
        <w:tc>
          <w:tcPr>
            <w:tcW w:w="2977" w:type="dxa"/>
          </w:tcPr>
          <w:p w14:paraId="5A22D59F" w14:textId="77777777" w:rsidR="00C743CA" w:rsidRDefault="00C743CA" w:rsidP="0081212E">
            <w:pPr>
              <w:pStyle w:val="TableParagraph"/>
              <w:spacing w:before="16"/>
              <w:rPr>
                <w:rFonts w:ascii="Poppins SemiBold"/>
                <w:b/>
                <w:sz w:val="26"/>
              </w:rPr>
            </w:pPr>
          </w:p>
          <w:p w14:paraId="056A12BA" w14:textId="77777777" w:rsidR="00C743CA" w:rsidRDefault="0081212E" w:rsidP="0081212E">
            <w:pPr>
              <w:pStyle w:val="TableParagraph"/>
              <w:ind w:left="317"/>
              <w:rPr>
                <w:sz w:val="23"/>
              </w:rPr>
            </w:pPr>
            <w:r>
              <w:rPr>
                <w:sz w:val="23"/>
              </w:rPr>
              <w:t>No,</w:t>
            </w:r>
            <w:r>
              <w:rPr>
                <w:spacing w:val="-4"/>
                <w:sz w:val="23"/>
              </w:rPr>
              <w:t xml:space="preserve"> </w:t>
            </w:r>
            <w:r>
              <w:rPr>
                <w:sz w:val="23"/>
              </w:rPr>
              <w:t>cannot</w:t>
            </w:r>
            <w:r>
              <w:rPr>
                <w:spacing w:val="-3"/>
                <w:sz w:val="23"/>
              </w:rPr>
              <w:t xml:space="preserve"> </w:t>
            </w:r>
            <w:r>
              <w:rPr>
                <w:spacing w:val="-2"/>
                <w:sz w:val="23"/>
              </w:rPr>
              <w:t>consent</w:t>
            </w:r>
          </w:p>
        </w:tc>
        <w:tc>
          <w:tcPr>
            <w:tcW w:w="4407" w:type="dxa"/>
            <w:tcBorders>
              <w:right w:val="nil"/>
            </w:tcBorders>
          </w:tcPr>
          <w:p w14:paraId="515D1481" w14:textId="77777777" w:rsidR="00C743CA" w:rsidRDefault="0081212E" w:rsidP="0081212E">
            <w:pPr>
              <w:pStyle w:val="TableParagraph"/>
              <w:spacing w:before="159" w:line="242" w:lineRule="auto"/>
              <w:ind w:left="182" w:right="-44"/>
              <w:rPr>
                <w:sz w:val="23"/>
              </w:rPr>
            </w:pPr>
            <w:r>
              <w:rPr>
                <w:sz w:val="23"/>
              </w:rPr>
              <w:t>In limited circumstances, including short- term approvals (up to six months) by the Public Guardian</w:t>
            </w:r>
          </w:p>
        </w:tc>
      </w:tr>
      <w:tr w:rsidR="00C743CA" w14:paraId="4E301986" w14:textId="77777777" w:rsidTr="0081212E">
        <w:trPr>
          <w:trHeight w:val="1318"/>
        </w:trPr>
        <w:tc>
          <w:tcPr>
            <w:tcW w:w="2127" w:type="dxa"/>
            <w:tcBorders>
              <w:left w:val="nil"/>
            </w:tcBorders>
          </w:tcPr>
          <w:p w14:paraId="42FB0FC3" w14:textId="77777777" w:rsidR="00C743CA" w:rsidRDefault="00C743CA" w:rsidP="0081212E">
            <w:pPr>
              <w:pStyle w:val="TableParagraph"/>
              <w:spacing w:before="7"/>
              <w:rPr>
                <w:rFonts w:ascii="Poppins SemiBold"/>
                <w:b/>
                <w:sz w:val="26"/>
              </w:rPr>
            </w:pPr>
          </w:p>
          <w:p w14:paraId="349875CC" w14:textId="7376024C" w:rsidR="00C743CA" w:rsidRDefault="0081212E" w:rsidP="0081212E">
            <w:pPr>
              <w:pStyle w:val="TableParagraph"/>
              <w:ind w:left="-38"/>
              <w:rPr>
                <w:sz w:val="23"/>
              </w:rPr>
            </w:pPr>
            <w:r>
              <w:rPr>
                <w:sz w:val="23"/>
              </w:rPr>
              <w:t xml:space="preserve"> </w:t>
            </w:r>
            <w:r>
              <w:rPr>
                <w:sz w:val="23"/>
              </w:rPr>
              <w:t>Chemical</w:t>
            </w:r>
            <w:r>
              <w:rPr>
                <w:spacing w:val="-6"/>
                <w:sz w:val="23"/>
              </w:rPr>
              <w:t xml:space="preserve"> </w:t>
            </w:r>
            <w:r>
              <w:rPr>
                <w:spacing w:val="-2"/>
                <w:sz w:val="23"/>
              </w:rPr>
              <w:t>restraint</w:t>
            </w:r>
          </w:p>
        </w:tc>
        <w:tc>
          <w:tcPr>
            <w:tcW w:w="2977" w:type="dxa"/>
          </w:tcPr>
          <w:p w14:paraId="57EBD14C" w14:textId="77777777" w:rsidR="00C743CA" w:rsidRDefault="00C743CA" w:rsidP="0081212E">
            <w:pPr>
              <w:pStyle w:val="TableParagraph"/>
              <w:spacing w:before="16"/>
              <w:rPr>
                <w:rFonts w:ascii="Poppins SemiBold"/>
                <w:b/>
                <w:sz w:val="26"/>
              </w:rPr>
            </w:pPr>
          </w:p>
          <w:p w14:paraId="0CC947AD" w14:textId="77777777" w:rsidR="00C743CA" w:rsidRDefault="0081212E" w:rsidP="0081212E">
            <w:pPr>
              <w:pStyle w:val="TableParagraph"/>
              <w:spacing w:before="1"/>
              <w:ind w:left="317"/>
              <w:rPr>
                <w:sz w:val="23"/>
              </w:rPr>
            </w:pPr>
            <w:r>
              <w:rPr>
                <w:sz w:val="23"/>
              </w:rPr>
              <w:t>No,</w:t>
            </w:r>
            <w:r>
              <w:rPr>
                <w:spacing w:val="-4"/>
                <w:sz w:val="23"/>
              </w:rPr>
              <w:t xml:space="preserve"> </w:t>
            </w:r>
            <w:r>
              <w:rPr>
                <w:sz w:val="23"/>
              </w:rPr>
              <w:t>cannot</w:t>
            </w:r>
            <w:r>
              <w:rPr>
                <w:spacing w:val="-3"/>
                <w:sz w:val="23"/>
              </w:rPr>
              <w:t xml:space="preserve"> </w:t>
            </w:r>
            <w:r>
              <w:rPr>
                <w:spacing w:val="-2"/>
                <w:sz w:val="23"/>
              </w:rPr>
              <w:t>consent</w:t>
            </w:r>
          </w:p>
        </w:tc>
        <w:tc>
          <w:tcPr>
            <w:tcW w:w="4407" w:type="dxa"/>
            <w:tcBorders>
              <w:right w:val="nil"/>
            </w:tcBorders>
          </w:tcPr>
          <w:p w14:paraId="20CF5D04" w14:textId="77777777" w:rsidR="00C743CA" w:rsidRDefault="0081212E" w:rsidP="0081212E">
            <w:pPr>
              <w:pStyle w:val="TableParagraph"/>
              <w:spacing w:before="2" w:line="242" w:lineRule="auto"/>
              <w:ind w:left="193" w:right="-58"/>
              <w:rPr>
                <w:sz w:val="23"/>
              </w:rPr>
            </w:pPr>
            <w:r>
              <w:rPr>
                <w:sz w:val="23"/>
              </w:rPr>
              <w:t xml:space="preserve">Yes, can consent in compliance with a PBSP (up to 12 months) or short-term approval (up to six months) by the Public </w:t>
            </w:r>
            <w:r>
              <w:rPr>
                <w:spacing w:val="-2"/>
                <w:sz w:val="23"/>
              </w:rPr>
              <w:t>Guardian</w:t>
            </w:r>
          </w:p>
        </w:tc>
      </w:tr>
      <w:tr w:rsidR="00C743CA" w14:paraId="4296D850" w14:textId="77777777" w:rsidTr="0081212E">
        <w:trPr>
          <w:trHeight w:val="1318"/>
        </w:trPr>
        <w:tc>
          <w:tcPr>
            <w:tcW w:w="2127" w:type="dxa"/>
            <w:tcBorders>
              <w:left w:val="nil"/>
            </w:tcBorders>
          </w:tcPr>
          <w:p w14:paraId="265016ED" w14:textId="77777777" w:rsidR="00C743CA" w:rsidRDefault="00C743CA" w:rsidP="0081212E">
            <w:pPr>
              <w:pStyle w:val="TableParagraph"/>
              <w:spacing w:before="3"/>
              <w:rPr>
                <w:rFonts w:ascii="Poppins SemiBold"/>
                <w:b/>
                <w:sz w:val="26"/>
              </w:rPr>
            </w:pPr>
          </w:p>
          <w:p w14:paraId="698C557E" w14:textId="114319B2" w:rsidR="00C743CA" w:rsidRDefault="0081212E" w:rsidP="0081212E">
            <w:pPr>
              <w:pStyle w:val="TableParagraph"/>
              <w:ind w:left="-38"/>
              <w:rPr>
                <w:sz w:val="23"/>
              </w:rPr>
            </w:pPr>
            <w:r>
              <w:rPr>
                <w:sz w:val="23"/>
              </w:rPr>
              <w:t xml:space="preserve"> </w:t>
            </w:r>
            <w:r>
              <w:rPr>
                <w:sz w:val="23"/>
              </w:rPr>
              <w:t>Physical</w:t>
            </w:r>
            <w:r>
              <w:rPr>
                <w:spacing w:val="-6"/>
                <w:sz w:val="23"/>
              </w:rPr>
              <w:t xml:space="preserve"> </w:t>
            </w:r>
            <w:r>
              <w:rPr>
                <w:spacing w:val="-2"/>
                <w:sz w:val="23"/>
              </w:rPr>
              <w:t>restraint</w:t>
            </w:r>
          </w:p>
        </w:tc>
        <w:tc>
          <w:tcPr>
            <w:tcW w:w="2977" w:type="dxa"/>
          </w:tcPr>
          <w:p w14:paraId="47B8A2FB" w14:textId="77777777" w:rsidR="00C743CA" w:rsidRDefault="00C743CA" w:rsidP="0081212E">
            <w:pPr>
              <w:pStyle w:val="TableParagraph"/>
              <w:spacing w:before="17"/>
              <w:rPr>
                <w:rFonts w:ascii="Poppins SemiBold"/>
                <w:b/>
                <w:sz w:val="26"/>
              </w:rPr>
            </w:pPr>
          </w:p>
          <w:p w14:paraId="115159B8" w14:textId="77777777" w:rsidR="00C743CA" w:rsidRDefault="0081212E" w:rsidP="0081212E">
            <w:pPr>
              <w:pStyle w:val="TableParagraph"/>
              <w:ind w:left="317"/>
              <w:rPr>
                <w:sz w:val="23"/>
              </w:rPr>
            </w:pPr>
            <w:r>
              <w:rPr>
                <w:sz w:val="23"/>
              </w:rPr>
              <w:t>No,</w:t>
            </w:r>
            <w:r>
              <w:rPr>
                <w:spacing w:val="-4"/>
                <w:sz w:val="23"/>
              </w:rPr>
              <w:t xml:space="preserve"> </w:t>
            </w:r>
            <w:r>
              <w:rPr>
                <w:sz w:val="23"/>
              </w:rPr>
              <w:t>cannot</w:t>
            </w:r>
            <w:r>
              <w:rPr>
                <w:spacing w:val="-3"/>
                <w:sz w:val="23"/>
              </w:rPr>
              <w:t xml:space="preserve"> </w:t>
            </w:r>
            <w:r>
              <w:rPr>
                <w:spacing w:val="-2"/>
                <w:sz w:val="23"/>
              </w:rPr>
              <w:t>consent</w:t>
            </w:r>
          </w:p>
        </w:tc>
        <w:tc>
          <w:tcPr>
            <w:tcW w:w="4407" w:type="dxa"/>
            <w:tcBorders>
              <w:right w:val="nil"/>
            </w:tcBorders>
          </w:tcPr>
          <w:p w14:paraId="78EB95D9" w14:textId="77777777" w:rsidR="00C743CA" w:rsidRDefault="00C743CA" w:rsidP="0081212E">
            <w:pPr>
              <w:pStyle w:val="TableParagraph"/>
              <w:spacing w:before="17"/>
              <w:rPr>
                <w:rFonts w:ascii="Poppins SemiBold"/>
                <w:b/>
                <w:sz w:val="26"/>
              </w:rPr>
            </w:pPr>
          </w:p>
          <w:p w14:paraId="00E093E8" w14:textId="77777777" w:rsidR="00C743CA" w:rsidRDefault="0081212E" w:rsidP="0081212E">
            <w:pPr>
              <w:pStyle w:val="TableParagraph"/>
              <w:ind w:left="193"/>
              <w:rPr>
                <w:sz w:val="23"/>
              </w:rPr>
            </w:pPr>
            <w:r>
              <w:rPr>
                <w:sz w:val="23"/>
              </w:rPr>
              <w:t>Yes,</w:t>
            </w:r>
            <w:r>
              <w:rPr>
                <w:spacing w:val="-3"/>
                <w:sz w:val="23"/>
              </w:rPr>
              <w:t xml:space="preserve"> </w:t>
            </w:r>
            <w:r>
              <w:rPr>
                <w:sz w:val="23"/>
              </w:rPr>
              <w:t>can</w:t>
            </w:r>
            <w:r>
              <w:rPr>
                <w:spacing w:val="-2"/>
                <w:sz w:val="23"/>
              </w:rPr>
              <w:t xml:space="preserve"> consent</w:t>
            </w:r>
          </w:p>
        </w:tc>
      </w:tr>
      <w:tr w:rsidR="00C743CA" w14:paraId="633486D2" w14:textId="77777777" w:rsidTr="0081212E">
        <w:trPr>
          <w:trHeight w:val="1318"/>
        </w:trPr>
        <w:tc>
          <w:tcPr>
            <w:tcW w:w="2127" w:type="dxa"/>
            <w:tcBorders>
              <w:left w:val="nil"/>
            </w:tcBorders>
          </w:tcPr>
          <w:p w14:paraId="2FF55546" w14:textId="77777777" w:rsidR="00C743CA" w:rsidRDefault="00C743CA" w:rsidP="0081212E">
            <w:pPr>
              <w:pStyle w:val="TableParagraph"/>
              <w:spacing w:before="7"/>
              <w:rPr>
                <w:rFonts w:ascii="Poppins SemiBold"/>
                <w:b/>
                <w:sz w:val="17"/>
              </w:rPr>
            </w:pPr>
          </w:p>
          <w:p w14:paraId="035D5CE7" w14:textId="77777777" w:rsidR="0081212E" w:rsidRDefault="0081212E" w:rsidP="0081212E">
            <w:pPr>
              <w:pStyle w:val="TableParagraph"/>
              <w:spacing w:line="242" w:lineRule="auto"/>
              <w:ind w:left="-38" w:right="7"/>
              <w:rPr>
                <w:spacing w:val="-2"/>
                <w:sz w:val="23"/>
              </w:rPr>
            </w:pPr>
            <w:r>
              <w:rPr>
                <w:spacing w:val="-2"/>
                <w:sz w:val="23"/>
              </w:rPr>
              <w:t xml:space="preserve"> </w:t>
            </w:r>
            <w:r>
              <w:rPr>
                <w:spacing w:val="-2"/>
                <w:sz w:val="23"/>
              </w:rPr>
              <w:t>Mechanical</w:t>
            </w:r>
          </w:p>
          <w:p w14:paraId="71D5260F" w14:textId="2FC1AFFC" w:rsidR="00C743CA" w:rsidRDefault="0081212E" w:rsidP="0081212E">
            <w:pPr>
              <w:pStyle w:val="TableParagraph"/>
              <w:spacing w:line="242" w:lineRule="auto"/>
              <w:ind w:left="-38" w:right="7"/>
              <w:rPr>
                <w:sz w:val="23"/>
              </w:rPr>
            </w:pPr>
            <w:r>
              <w:rPr>
                <w:spacing w:val="-2"/>
                <w:sz w:val="23"/>
              </w:rPr>
              <w:t xml:space="preserve"> </w:t>
            </w:r>
            <w:r>
              <w:rPr>
                <w:spacing w:val="-2"/>
                <w:sz w:val="23"/>
              </w:rPr>
              <w:t>r</w:t>
            </w:r>
            <w:r>
              <w:rPr>
                <w:spacing w:val="-2"/>
                <w:sz w:val="23"/>
              </w:rPr>
              <w:t>estraint</w:t>
            </w:r>
          </w:p>
        </w:tc>
        <w:tc>
          <w:tcPr>
            <w:tcW w:w="2977" w:type="dxa"/>
          </w:tcPr>
          <w:p w14:paraId="1922002B" w14:textId="77777777" w:rsidR="00C743CA" w:rsidRDefault="00C743CA" w:rsidP="0081212E">
            <w:pPr>
              <w:pStyle w:val="TableParagraph"/>
              <w:spacing w:before="17"/>
              <w:rPr>
                <w:rFonts w:ascii="Poppins SemiBold"/>
                <w:b/>
                <w:sz w:val="26"/>
              </w:rPr>
            </w:pPr>
          </w:p>
          <w:p w14:paraId="486D28B1" w14:textId="77777777" w:rsidR="00C743CA" w:rsidRDefault="0081212E" w:rsidP="0081212E">
            <w:pPr>
              <w:pStyle w:val="TableParagraph"/>
              <w:ind w:left="317"/>
              <w:rPr>
                <w:sz w:val="23"/>
              </w:rPr>
            </w:pPr>
            <w:r>
              <w:rPr>
                <w:sz w:val="23"/>
              </w:rPr>
              <w:t>No,</w:t>
            </w:r>
            <w:r>
              <w:rPr>
                <w:spacing w:val="-4"/>
                <w:sz w:val="23"/>
              </w:rPr>
              <w:t xml:space="preserve"> </w:t>
            </w:r>
            <w:r>
              <w:rPr>
                <w:sz w:val="23"/>
              </w:rPr>
              <w:t>cannot</w:t>
            </w:r>
            <w:r>
              <w:rPr>
                <w:spacing w:val="-3"/>
                <w:sz w:val="23"/>
              </w:rPr>
              <w:t xml:space="preserve"> </w:t>
            </w:r>
            <w:r>
              <w:rPr>
                <w:spacing w:val="-2"/>
                <w:sz w:val="23"/>
              </w:rPr>
              <w:t>consent</w:t>
            </w:r>
          </w:p>
        </w:tc>
        <w:tc>
          <w:tcPr>
            <w:tcW w:w="4407" w:type="dxa"/>
            <w:tcBorders>
              <w:right w:val="nil"/>
            </w:tcBorders>
          </w:tcPr>
          <w:p w14:paraId="1EBEFB8C" w14:textId="77777777" w:rsidR="00C743CA" w:rsidRDefault="00C743CA" w:rsidP="0081212E">
            <w:pPr>
              <w:pStyle w:val="TableParagraph"/>
              <w:spacing w:before="17"/>
              <w:rPr>
                <w:rFonts w:ascii="Poppins SemiBold"/>
                <w:b/>
                <w:sz w:val="26"/>
              </w:rPr>
            </w:pPr>
          </w:p>
          <w:p w14:paraId="1FC4FD42" w14:textId="77777777" w:rsidR="00C743CA" w:rsidRDefault="0081212E" w:rsidP="0081212E">
            <w:pPr>
              <w:pStyle w:val="TableParagraph"/>
              <w:ind w:left="193"/>
              <w:rPr>
                <w:sz w:val="23"/>
              </w:rPr>
            </w:pPr>
            <w:r>
              <w:rPr>
                <w:sz w:val="23"/>
              </w:rPr>
              <w:t>Yes,</w:t>
            </w:r>
            <w:r>
              <w:rPr>
                <w:spacing w:val="-3"/>
                <w:sz w:val="23"/>
              </w:rPr>
              <w:t xml:space="preserve"> </w:t>
            </w:r>
            <w:r>
              <w:rPr>
                <w:sz w:val="23"/>
              </w:rPr>
              <w:t>can</w:t>
            </w:r>
            <w:r>
              <w:rPr>
                <w:spacing w:val="-2"/>
                <w:sz w:val="23"/>
              </w:rPr>
              <w:t xml:space="preserve"> consent</w:t>
            </w:r>
          </w:p>
        </w:tc>
      </w:tr>
      <w:tr w:rsidR="00C743CA" w14:paraId="78589C1F" w14:textId="77777777" w:rsidTr="0081212E">
        <w:trPr>
          <w:trHeight w:val="1246"/>
        </w:trPr>
        <w:tc>
          <w:tcPr>
            <w:tcW w:w="2127" w:type="dxa"/>
            <w:tcBorders>
              <w:left w:val="nil"/>
              <w:bottom w:val="nil"/>
            </w:tcBorders>
          </w:tcPr>
          <w:p w14:paraId="712508D1" w14:textId="77777777" w:rsidR="00C743CA" w:rsidRDefault="00C743CA" w:rsidP="0081212E">
            <w:pPr>
              <w:pStyle w:val="TableParagraph"/>
              <w:spacing w:before="15"/>
              <w:rPr>
                <w:rFonts w:ascii="Poppins SemiBold"/>
                <w:b/>
                <w:sz w:val="18"/>
              </w:rPr>
            </w:pPr>
          </w:p>
          <w:p w14:paraId="2B03A608" w14:textId="77777777" w:rsidR="0081212E" w:rsidRDefault="0081212E" w:rsidP="0081212E">
            <w:pPr>
              <w:pStyle w:val="TableParagraph"/>
              <w:spacing w:before="1" w:line="242" w:lineRule="auto"/>
              <w:ind w:left="-38" w:right="7"/>
              <w:rPr>
                <w:sz w:val="23"/>
              </w:rPr>
            </w:pPr>
            <w:r>
              <w:rPr>
                <w:sz w:val="23"/>
              </w:rPr>
              <w:t xml:space="preserve"> </w:t>
            </w:r>
            <w:r>
              <w:rPr>
                <w:sz w:val="23"/>
              </w:rPr>
              <w:t>Restricting</w:t>
            </w:r>
            <w:r>
              <w:rPr>
                <w:spacing w:val="-15"/>
                <w:sz w:val="23"/>
              </w:rPr>
              <w:t xml:space="preserve"> </w:t>
            </w:r>
            <w:r>
              <w:rPr>
                <w:sz w:val="23"/>
              </w:rPr>
              <w:t>access</w:t>
            </w:r>
          </w:p>
          <w:p w14:paraId="34D034A9" w14:textId="46053A87" w:rsidR="00C743CA" w:rsidRDefault="0081212E" w:rsidP="0081212E">
            <w:pPr>
              <w:pStyle w:val="TableParagraph"/>
              <w:spacing w:before="1" w:line="242" w:lineRule="auto"/>
              <w:ind w:left="-38" w:right="7"/>
              <w:rPr>
                <w:sz w:val="23"/>
              </w:rPr>
            </w:pPr>
            <w:r>
              <w:rPr>
                <w:sz w:val="23"/>
              </w:rPr>
              <w:t xml:space="preserve"> t</w:t>
            </w:r>
            <w:r>
              <w:rPr>
                <w:sz w:val="23"/>
              </w:rPr>
              <w:t>o objects</w:t>
            </w:r>
          </w:p>
        </w:tc>
        <w:tc>
          <w:tcPr>
            <w:tcW w:w="2977" w:type="dxa"/>
            <w:tcBorders>
              <w:bottom w:val="nil"/>
            </w:tcBorders>
          </w:tcPr>
          <w:p w14:paraId="3280FF40" w14:textId="77777777" w:rsidR="00C743CA" w:rsidRDefault="00C743CA" w:rsidP="0081212E">
            <w:pPr>
              <w:pStyle w:val="TableParagraph"/>
              <w:rPr>
                <w:rFonts w:ascii="Poppins SemiBold"/>
                <w:b/>
                <w:sz w:val="27"/>
              </w:rPr>
            </w:pPr>
          </w:p>
          <w:p w14:paraId="19CD1B82" w14:textId="77777777" w:rsidR="00C743CA" w:rsidRDefault="0081212E" w:rsidP="0081212E">
            <w:pPr>
              <w:pStyle w:val="TableParagraph"/>
              <w:ind w:left="317"/>
              <w:rPr>
                <w:sz w:val="23"/>
              </w:rPr>
            </w:pPr>
            <w:r>
              <w:rPr>
                <w:sz w:val="23"/>
              </w:rPr>
              <w:t>Yes,</w:t>
            </w:r>
            <w:r>
              <w:rPr>
                <w:spacing w:val="-3"/>
                <w:sz w:val="23"/>
              </w:rPr>
              <w:t xml:space="preserve"> </w:t>
            </w:r>
            <w:r>
              <w:rPr>
                <w:sz w:val="23"/>
              </w:rPr>
              <w:t>can</w:t>
            </w:r>
            <w:r>
              <w:rPr>
                <w:spacing w:val="-2"/>
                <w:sz w:val="23"/>
              </w:rPr>
              <w:t xml:space="preserve"> consent</w:t>
            </w:r>
          </w:p>
        </w:tc>
        <w:tc>
          <w:tcPr>
            <w:tcW w:w="4407" w:type="dxa"/>
            <w:tcBorders>
              <w:bottom w:val="nil"/>
              <w:right w:val="nil"/>
            </w:tcBorders>
          </w:tcPr>
          <w:p w14:paraId="6CA51B39" w14:textId="77777777" w:rsidR="00C743CA" w:rsidRDefault="00C743CA" w:rsidP="0081212E">
            <w:pPr>
              <w:pStyle w:val="TableParagraph"/>
              <w:rPr>
                <w:rFonts w:ascii="Poppins SemiBold"/>
                <w:b/>
                <w:sz w:val="27"/>
              </w:rPr>
            </w:pPr>
          </w:p>
          <w:p w14:paraId="1512411C" w14:textId="77777777" w:rsidR="00C743CA" w:rsidRDefault="0081212E" w:rsidP="0081212E">
            <w:pPr>
              <w:pStyle w:val="TableParagraph"/>
              <w:ind w:left="193"/>
              <w:rPr>
                <w:sz w:val="23"/>
              </w:rPr>
            </w:pPr>
            <w:r>
              <w:rPr>
                <w:sz w:val="23"/>
              </w:rPr>
              <w:t>Yes,</w:t>
            </w:r>
            <w:r>
              <w:rPr>
                <w:spacing w:val="-3"/>
                <w:sz w:val="23"/>
              </w:rPr>
              <w:t xml:space="preserve"> </w:t>
            </w:r>
            <w:r>
              <w:rPr>
                <w:sz w:val="23"/>
              </w:rPr>
              <w:t>can</w:t>
            </w:r>
            <w:r>
              <w:rPr>
                <w:spacing w:val="-2"/>
                <w:sz w:val="23"/>
              </w:rPr>
              <w:t xml:space="preserve"> consent</w:t>
            </w:r>
          </w:p>
        </w:tc>
      </w:tr>
    </w:tbl>
    <w:p w14:paraId="7A6A4001" w14:textId="77777777" w:rsidR="00C743CA" w:rsidRDefault="00C743CA" w:rsidP="0081212E">
      <w:pPr>
        <w:pStyle w:val="BodyText"/>
        <w:rPr>
          <w:rFonts w:ascii="Poppins SemiBold"/>
          <w:b/>
          <w:sz w:val="20"/>
        </w:rPr>
      </w:pPr>
    </w:p>
    <w:p w14:paraId="5926522F" w14:textId="77777777" w:rsidR="00C743CA" w:rsidRDefault="00C743CA" w:rsidP="0081212E">
      <w:pPr>
        <w:pStyle w:val="BodyText"/>
        <w:rPr>
          <w:rFonts w:ascii="Poppins SemiBold"/>
          <w:b/>
          <w:sz w:val="20"/>
        </w:rPr>
      </w:pPr>
    </w:p>
    <w:p w14:paraId="2E2BBD9A" w14:textId="77777777" w:rsidR="00C743CA" w:rsidRDefault="00C743CA" w:rsidP="0081212E">
      <w:pPr>
        <w:pStyle w:val="BodyText"/>
        <w:rPr>
          <w:rFonts w:ascii="Poppins SemiBold"/>
          <w:b/>
          <w:sz w:val="20"/>
        </w:rPr>
      </w:pPr>
    </w:p>
    <w:p w14:paraId="5F157F55" w14:textId="77777777" w:rsidR="00C743CA" w:rsidRDefault="00C743CA" w:rsidP="0081212E">
      <w:pPr>
        <w:pStyle w:val="BodyText"/>
        <w:rPr>
          <w:rFonts w:ascii="Poppins SemiBold"/>
          <w:b/>
          <w:sz w:val="20"/>
        </w:rPr>
      </w:pPr>
    </w:p>
    <w:p w14:paraId="56C2B72B" w14:textId="77777777" w:rsidR="00C743CA" w:rsidRDefault="00C743CA" w:rsidP="0081212E">
      <w:pPr>
        <w:pStyle w:val="BodyText"/>
        <w:rPr>
          <w:rFonts w:ascii="Poppins SemiBold"/>
          <w:b/>
          <w:sz w:val="20"/>
        </w:rPr>
      </w:pPr>
    </w:p>
    <w:p w14:paraId="06F9DDEB" w14:textId="77777777" w:rsidR="00C743CA" w:rsidRDefault="00C743CA" w:rsidP="0081212E">
      <w:pPr>
        <w:pStyle w:val="BodyText"/>
        <w:rPr>
          <w:rFonts w:ascii="Poppins SemiBold"/>
          <w:b/>
          <w:sz w:val="20"/>
        </w:rPr>
      </w:pPr>
    </w:p>
    <w:p w14:paraId="3AC32610" w14:textId="77777777" w:rsidR="00C743CA" w:rsidRDefault="00C743CA" w:rsidP="0081212E">
      <w:pPr>
        <w:pStyle w:val="BodyText"/>
        <w:rPr>
          <w:rFonts w:ascii="Poppins SemiBold"/>
          <w:b/>
          <w:sz w:val="20"/>
        </w:rPr>
      </w:pPr>
    </w:p>
    <w:p w14:paraId="6B97F54C" w14:textId="77777777" w:rsidR="00C743CA" w:rsidRDefault="00C743CA" w:rsidP="0081212E">
      <w:pPr>
        <w:pStyle w:val="BodyText"/>
        <w:rPr>
          <w:rFonts w:ascii="Poppins SemiBold"/>
          <w:b/>
          <w:sz w:val="20"/>
        </w:rPr>
      </w:pPr>
    </w:p>
    <w:p w14:paraId="3FAA5B5F" w14:textId="77777777" w:rsidR="00C743CA" w:rsidRDefault="00C743CA" w:rsidP="0081212E">
      <w:pPr>
        <w:pStyle w:val="BodyText"/>
        <w:rPr>
          <w:rFonts w:ascii="Poppins SemiBold"/>
          <w:b/>
          <w:sz w:val="20"/>
        </w:rPr>
      </w:pPr>
    </w:p>
    <w:p w14:paraId="0580219C" w14:textId="77777777" w:rsidR="00C743CA" w:rsidRDefault="00C743CA" w:rsidP="0081212E">
      <w:pPr>
        <w:pStyle w:val="BodyText"/>
        <w:rPr>
          <w:rFonts w:ascii="Poppins SemiBold"/>
          <w:b/>
          <w:sz w:val="20"/>
        </w:rPr>
      </w:pPr>
    </w:p>
    <w:p w14:paraId="1F9605D6" w14:textId="77777777" w:rsidR="00C743CA" w:rsidRDefault="00C743CA" w:rsidP="0081212E">
      <w:pPr>
        <w:pStyle w:val="BodyText"/>
        <w:rPr>
          <w:rFonts w:ascii="Poppins SemiBold"/>
          <w:b/>
          <w:sz w:val="20"/>
        </w:rPr>
      </w:pPr>
    </w:p>
    <w:p w14:paraId="596AA401" w14:textId="77777777" w:rsidR="00C743CA" w:rsidRDefault="00C743CA" w:rsidP="0081212E">
      <w:pPr>
        <w:pStyle w:val="BodyText"/>
        <w:rPr>
          <w:rFonts w:ascii="Poppins SemiBold"/>
          <w:b/>
          <w:sz w:val="20"/>
        </w:rPr>
      </w:pPr>
    </w:p>
    <w:p w14:paraId="6B229C38" w14:textId="77777777" w:rsidR="00C743CA" w:rsidRDefault="00C743CA" w:rsidP="0081212E">
      <w:pPr>
        <w:pStyle w:val="BodyText"/>
        <w:spacing w:before="1"/>
        <w:rPr>
          <w:rFonts w:ascii="Poppins SemiBold"/>
          <w:b/>
          <w:sz w:val="27"/>
        </w:rPr>
      </w:pPr>
    </w:p>
    <w:p w14:paraId="29CFF2BA" w14:textId="77777777" w:rsidR="00C743CA" w:rsidRDefault="0081212E" w:rsidP="0081212E">
      <w:pPr>
        <w:spacing w:before="97"/>
        <w:ind w:left="3686" w:right="3879"/>
        <w:jc w:val="center"/>
        <w:rPr>
          <w:rFonts w:ascii="Poppins SemiBold"/>
          <w:b/>
          <w:sz w:val="16"/>
        </w:rPr>
      </w:pPr>
      <w:r>
        <w:rPr>
          <w:rFonts w:ascii="Poppins SemiBold"/>
          <w:b/>
          <w:sz w:val="16"/>
        </w:rPr>
        <w:t>Reviewed</w:t>
      </w:r>
      <w:r>
        <w:rPr>
          <w:rFonts w:ascii="Poppins SemiBold"/>
          <w:b/>
          <w:spacing w:val="14"/>
          <w:sz w:val="16"/>
        </w:rPr>
        <w:t xml:space="preserve"> </w:t>
      </w:r>
      <w:r>
        <w:rPr>
          <w:rFonts w:ascii="Poppins SemiBold"/>
          <w:b/>
          <w:sz w:val="16"/>
        </w:rPr>
        <w:t>February</w:t>
      </w:r>
      <w:r>
        <w:rPr>
          <w:rFonts w:ascii="Poppins SemiBold"/>
          <w:b/>
          <w:spacing w:val="15"/>
          <w:sz w:val="16"/>
        </w:rPr>
        <w:t xml:space="preserve"> </w:t>
      </w:r>
      <w:r>
        <w:rPr>
          <w:rFonts w:ascii="Poppins SemiBold"/>
          <w:b/>
          <w:spacing w:val="-4"/>
          <w:sz w:val="16"/>
        </w:rPr>
        <w:t>2022</w:t>
      </w:r>
    </w:p>
    <w:sectPr w:rsidR="00C743CA">
      <w:pgSz w:w="11910" w:h="16850"/>
      <w:pgMar w:top="1600" w:right="106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modern"/>
    <w:notTrueType/>
    <w:pitch w:val="variable"/>
    <w:sig w:usb0="00008007" w:usb1="00000000" w:usb2="00000000" w:usb3="00000000" w:csb0="00000093" w:csb1="00000000"/>
  </w:font>
  <w:font w:name="Poppins">
    <w:panose1 w:val="00000500000000000000"/>
    <w:charset w:val="00"/>
    <w:family w:val="modern"/>
    <w:notTrueType/>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5749F"/>
    <w:multiLevelType w:val="hybridMultilevel"/>
    <w:tmpl w:val="79DC8E0A"/>
    <w:lvl w:ilvl="0" w:tplc="9A4E318A">
      <w:start w:val="1"/>
      <w:numFmt w:val="decimal"/>
      <w:lvlText w:val="%1."/>
      <w:lvlJc w:val="left"/>
      <w:pPr>
        <w:ind w:left="506" w:hanging="216"/>
        <w:jc w:val="left"/>
      </w:pPr>
      <w:rPr>
        <w:rFonts w:ascii="Open Sans" w:eastAsia="Open Sans" w:hAnsi="Open Sans" w:cs="Open Sans" w:hint="default"/>
        <w:b w:val="0"/>
        <w:bCs w:val="0"/>
        <w:i w:val="0"/>
        <w:iCs w:val="0"/>
        <w:spacing w:val="-1"/>
        <w:w w:val="100"/>
        <w:sz w:val="23"/>
        <w:szCs w:val="23"/>
        <w:lang w:val="en-GB" w:eastAsia="en-US" w:bidi="ar-SA"/>
      </w:rPr>
    </w:lvl>
    <w:lvl w:ilvl="1" w:tplc="F6281F76">
      <w:numFmt w:val="bullet"/>
      <w:lvlText w:val="•"/>
      <w:lvlJc w:val="left"/>
      <w:pPr>
        <w:ind w:left="1427" w:hanging="216"/>
      </w:pPr>
      <w:rPr>
        <w:rFonts w:hint="default"/>
        <w:lang w:val="en-GB" w:eastAsia="en-US" w:bidi="ar-SA"/>
      </w:rPr>
    </w:lvl>
    <w:lvl w:ilvl="2" w:tplc="7B841BB0">
      <w:numFmt w:val="bullet"/>
      <w:lvlText w:val="•"/>
      <w:lvlJc w:val="left"/>
      <w:pPr>
        <w:ind w:left="2354" w:hanging="216"/>
      </w:pPr>
      <w:rPr>
        <w:rFonts w:hint="default"/>
        <w:lang w:val="en-GB" w:eastAsia="en-US" w:bidi="ar-SA"/>
      </w:rPr>
    </w:lvl>
    <w:lvl w:ilvl="3" w:tplc="7E5E5354">
      <w:numFmt w:val="bullet"/>
      <w:lvlText w:val="•"/>
      <w:lvlJc w:val="left"/>
      <w:pPr>
        <w:ind w:left="3281" w:hanging="216"/>
      </w:pPr>
      <w:rPr>
        <w:rFonts w:hint="default"/>
        <w:lang w:val="en-GB" w:eastAsia="en-US" w:bidi="ar-SA"/>
      </w:rPr>
    </w:lvl>
    <w:lvl w:ilvl="4" w:tplc="515ED32A">
      <w:numFmt w:val="bullet"/>
      <w:lvlText w:val="•"/>
      <w:lvlJc w:val="left"/>
      <w:pPr>
        <w:ind w:left="4208" w:hanging="216"/>
      </w:pPr>
      <w:rPr>
        <w:rFonts w:hint="default"/>
        <w:lang w:val="en-GB" w:eastAsia="en-US" w:bidi="ar-SA"/>
      </w:rPr>
    </w:lvl>
    <w:lvl w:ilvl="5" w:tplc="A2088614">
      <w:numFmt w:val="bullet"/>
      <w:lvlText w:val="•"/>
      <w:lvlJc w:val="left"/>
      <w:pPr>
        <w:ind w:left="5135" w:hanging="216"/>
      </w:pPr>
      <w:rPr>
        <w:rFonts w:hint="default"/>
        <w:lang w:val="en-GB" w:eastAsia="en-US" w:bidi="ar-SA"/>
      </w:rPr>
    </w:lvl>
    <w:lvl w:ilvl="6" w:tplc="194CDD1C">
      <w:numFmt w:val="bullet"/>
      <w:lvlText w:val="•"/>
      <w:lvlJc w:val="left"/>
      <w:pPr>
        <w:ind w:left="6062" w:hanging="216"/>
      </w:pPr>
      <w:rPr>
        <w:rFonts w:hint="default"/>
        <w:lang w:val="en-GB" w:eastAsia="en-US" w:bidi="ar-SA"/>
      </w:rPr>
    </w:lvl>
    <w:lvl w:ilvl="7" w:tplc="FFC60E06">
      <w:numFmt w:val="bullet"/>
      <w:lvlText w:val="•"/>
      <w:lvlJc w:val="left"/>
      <w:pPr>
        <w:ind w:left="6989" w:hanging="216"/>
      </w:pPr>
      <w:rPr>
        <w:rFonts w:hint="default"/>
        <w:lang w:val="en-GB" w:eastAsia="en-US" w:bidi="ar-SA"/>
      </w:rPr>
    </w:lvl>
    <w:lvl w:ilvl="8" w:tplc="57246C58">
      <w:numFmt w:val="bullet"/>
      <w:lvlText w:val="•"/>
      <w:lvlJc w:val="left"/>
      <w:pPr>
        <w:ind w:left="7916" w:hanging="216"/>
      </w:pPr>
      <w:rPr>
        <w:rFonts w:hint="default"/>
        <w:lang w:val="en-GB" w:eastAsia="en-US" w:bidi="ar-SA"/>
      </w:rPr>
    </w:lvl>
  </w:abstractNum>
  <w:num w:numId="1" w16cid:durableId="43066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743CA"/>
    <w:rsid w:val="0081212E"/>
    <w:rsid w:val="00C743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75F1C19"/>
  <w15:docId w15:val="{7381CD75-ABEB-40AB-8E04-4504B9E2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rPr>
  </w:style>
  <w:style w:type="paragraph" w:styleId="Heading1">
    <w:name w:val="heading 1"/>
    <w:basedOn w:val="Normal"/>
    <w:uiPriority w:val="9"/>
    <w:qFormat/>
    <w:pPr>
      <w:spacing w:before="95"/>
      <w:ind w:left="111"/>
      <w:jc w:val="both"/>
      <w:outlineLvl w:val="0"/>
    </w:pPr>
    <w:rPr>
      <w:rFonts w:ascii="Poppins SemiBold" w:eastAsia="Poppins SemiBold" w:hAnsi="Poppins SemiBold" w:cs="Poppins SemiBol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234"/>
      <w:ind w:left="111" w:right="2851"/>
      <w:jc w:val="both"/>
    </w:pPr>
    <w:rPr>
      <w:rFonts w:ascii="Poppins" w:eastAsia="Poppins" w:hAnsi="Poppins" w:cs="Poppins"/>
      <w:sz w:val="63"/>
      <w:szCs w:val="63"/>
    </w:rPr>
  </w:style>
  <w:style w:type="paragraph" w:styleId="ListParagraph">
    <w:name w:val="List Paragraph"/>
    <w:basedOn w:val="Normal"/>
    <w:uiPriority w:val="1"/>
    <w:qFormat/>
    <w:pPr>
      <w:ind w:left="506" w:hanging="21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Guardian for RP</dc:title>
  <dc:creator>Queensland Advocacy</dc:creator>
  <cp:keywords>DAE3MA7w_94,BAExXNVFOWA</cp:keywords>
  <cp:lastModifiedBy>Shannon Bell</cp:lastModifiedBy>
  <cp:revision>2</cp:revision>
  <dcterms:created xsi:type="dcterms:W3CDTF">2022-06-12T22:42:00Z</dcterms:created>
  <dcterms:modified xsi:type="dcterms:W3CDTF">2022-06-12T22:45:00Z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2022-03-01T00:00:00Z</vt:filetime>
  </property>
  <property fmtid="{D5CDD505-2E9C-101B-9397-08002B2CF9AE}" pid="3" name="Creator">
    <vt:lpwstr>Canva</vt:lpwstr>
  </property>
  <property fmtid="{D5CDD505-2E9C-101B-9397-08002B2CF9AE}" pid="4" name="LastSaved">
    <vt:filetime>2022-06-12T00:00:00Z</vt:filetime>
  </property>
</Properties>
</file>