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58537" w14:textId="77777777" w:rsidR="00401B52" w:rsidRDefault="00A01065" w:rsidP="00A01065">
      <w:pPr>
        <w:pStyle w:val="Title"/>
      </w:pPr>
      <w:r>
        <w:rPr>
          <w:w w:val="110"/>
        </w:rPr>
        <w:t>Human</w:t>
      </w:r>
      <w:r>
        <w:rPr>
          <w:spacing w:val="-36"/>
          <w:w w:val="110"/>
        </w:rPr>
        <w:t xml:space="preserve"> </w:t>
      </w:r>
      <w:r>
        <w:rPr>
          <w:w w:val="110"/>
        </w:rPr>
        <w:t>Rights</w:t>
      </w:r>
      <w:r>
        <w:rPr>
          <w:spacing w:val="-36"/>
          <w:w w:val="110"/>
        </w:rPr>
        <w:t xml:space="preserve"> </w:t>
      </w:r>
      <w:r>
        <w:rPr>
          <w:spacing w:val="-2"/>
          <w:w w:val="110"/>
        </w:rPr>
        <w:t>Complaint</w:t>
      </w:r>
    </w:p>
    <w:p w14:paraId="433463B9" w14:textId="77777777" w:rsidR="00401B52" w:rsidRDefault="00A01065" w:rsidP="00A01065">
      <w:pPr>
        <w:pStyle w:val="Heading2"/>
        <w:spacing w:before="330" w:line="429" w:lineRule="exact"/>
        <w:ind w:left="861"/>
        <w:rPr>
          <w:b/>
        </w:rPr>
      </w:pPr>
      <w:r>
        <w:rPr>
          <w:b/>
        </w:rPr>
        <w:t>What</w:t>
      </w:r>
      <w:r>
        <w:rPr>
          <w:b/>
          <w:spacing w:val="17"/>
        </w:rPr>
        <w:t xml:space="preserve"> </w:t>
      </w:r>
      <w:r>
        <w:rPr>
          <w:b/>
        </w:rPr>
        <w:t>are</w:t>
      </w:r>
      <w:r>
        <w:rPr>
          <w:b/>
          <w:spacing w:val="18"/>
        </w:rPr>
        <w:t xml:space="preserve"> </w:t>
      </w:r>
      <w:r>
        <w:rPr>
          <w:b/>
        </w:rPr>
        <w:t>human</w:t>
      </w:r>
      <w:r>
        <w:rPr>
          <w:b/>
          <w:spacing w:val="17"/>
        </w:rPr>
        <w:t xml:space="preserve"> </w:t>
      </w:r>
      <w:r>
        <w:rPr>
          <w:b/>
          <w:spacing w:val="-2"/>
        </w:rPr>
        <w:t>rights?</w:t>
      </w:r>
    </w:p>
    <w:p w14:paraId="4BE29AC1" w14:textId="77777777" w:rsidR="00401B52" w:rsidRDefault="00A01065" w:rsidP="00A01065">
      <w:pPr>
        <w:pStyle w:val="BodyText"/>
        <w:spacing w:line="284" w:lineRule="exact"/>
        <w:ind w:left="831"/>
      </w:pPr>
      <w:r>
        <w:t>Human</w:t>
      </w:r>
      <w:r>
        <w:rPr>
          <w:spacing w:val="37"/>
        </w:rPr>
        <w:t xml:space="preserve"> </w:t>
      </w:r>
      <w:r>
        <w:t>rights</w:t>
      </w:r>
      <w:r>
        <w:rPr>
          <w:spacing w:val="40"/>
        </w:rPr>
        <w:t xml:space="preserve"> </w:t>
      </w:r>
      <w:r>
        <w:t>are</w:t>
      </w:r>
      <w:r>
        <w:rPr>
          <w:spacing w:val="40"/>
        </w:rPr>
        <w:t xml:space="preserve"> </w:t>
      </w:r>
      <w:r>
        <w:t>based</w:t>
      </w:r>
      <w:r>
        <w:rPr>
          <w:spacing w:val="40"/>
        </w:rPr>
        <w:t xml:space="preserve"> </w:t>
      </w:r>
      <w:r>
        <w:t>on</w:t>
      </w:r>
      <w:r>
        <w:rPr>
          <w:spacing w:val="39"/>
        </w:rPr>
        <w:t xml:space="preserve"> </w:t>
      </w:r>
      <w:r>
        <w:t>principles</w:t>
      </w:r>
      <w:r>
        <w:rPr>
          <w:spacing w:val="40"/>
        </w:rPr>
        <w:t xml:space="preserve"> </w:t>
      </w:r>
      <w:r>
        <w:t>of</w:t>
      </w:r>
      <w:r>
        <w:rPr>
          <w:spacing w:val="40"/>
        </w:rPr>
        <w:t xml:space="preserve"> </w:t>
      </w:r>
      <w:r>
        <w:t>equality,</w:t>
      </w:r>
      <w:r>
        <w:rPr>
          <w:spacing w:val="40"/>
        </w:rPr>
        <w:t xml:space="preserve"> </w:t>
      </w:r>
      <w:r>
        <w:t>respect,</w:t>
      </w:r>
      <w:r>
        <w:rPr>
          <w:spacing w:val="39"/>
        </w:rPr>
        <w:t xml:space="preserve"> </w:t>
      </w:r>
      <w:r>
        <w:t>and</w:t>
      </w:r>
      <w:r>
        <w:rPr>
          <w:spacing w:val="40"/>
        </w:rPr>
        <w:t xml:space="preserve"> </w:t>
      </w:r>
      <w:r>
        <w:t>dignity</w:t>
      </w:r>
      <w:r>
        <w:rPr>
          <w:spacing w:val="40"/>
        </w:rPr>
        <w:t xml:space="preserve"> </w:t>
      </w:r>
      <w:r>
        <w:t>and</w:t>
      </w:r>
      <w:r>
        <w:rPr>
          <w:spacing w:val="40"/>
        </w:rPr>
        <w:t xml:space="preserve"> </w:t>
      </w:r>
      <w:r>
        <w:rPr>
          <w:spacing w:val="-2"/>
        </w:rPr>
        <w:t>recognise</w:t>
      </w:r>
    </w:p>
    <w:p w14:paraId="4F57C331" w14:textId="77777777" w:rsidR="00401B52" w:rsidRDefault="00A01065" w:rsidP="00A01065">
      <w:pPr>
        <w:pStyle w:val="BodyText"/>
        <w:spacing w:before="3" w:line="242" w:lineRule="auto"/>
        <w:ind w:left="831" w:right="826"/>
      </w:pPr>
      <w:r>
        <w:t xml:space="preserve">everyone’s inherent value. Human rights belong to everyone equally, regardless of how old you are, where you are from, your disability or anything else. In Queensland, everyone has the same 23 human rights protected by the </w:t>
      </w:r>
      <w:r>
        <w:rPr>
          <w:i/>
        </w:rPr>
        <w:t xml:space="preserve">Human Rights Act 2019 </w:t>
      </w:r>
      <w:r>
        <w:t xml:space="preserve">(Qld) </w:t>
      </w:r>
      <w:r>
        <w:rPr>
          <w:spacing w:val="-2"/>
        </w:rPr>
        <w:t>(</w:t>
      </w:r>
      <w:r>
        <w:rPr>
          <w:b/>
          <w:spacing w:val="-2"/>
        </w:rPr>
        <w:t>HRA</w:t>
      </w:r>
      <w:r>
        <w:rPr>
          <w:spacing w:val="-2"/>
        </w:rPr>
        <w:t>)</w:t>
      </w:r>
      <w:r>
        <w:rPr>
          <w:spacing w:val="-2"/>
        </w:rPr>
        <w:t>.</w:t>
      </w:r>
    </w:p>
    <w:p w14:paraId="74E809E9" w14:textId="77777777" w:rsidR="00401B52" w:rsidRDefault="00A01065" w:rsidP="00A01065">
      <w:pPr>
        <w:pStyle w:val="Heading2"/>
        <w:spacing w:before="142" w:line="189" w:lineRule="auto"/>
        <w:ind w:left="836" w:right="641"/>
        <w:rPr>
          <w:b/>
        </w:rPr>
      </w:pPr>
      <w:r>
        <w:rPr>
          <w:b/>
        </w:rPr>
        <w:t>What can I do if I feel as though someone has breached my human</w:t>
      </w:r>
      <w:r>
        <w:rPr>
          <w:b/>
          <w:spacing w:val="80"/>
        </w:rPr>
        <w:t xml:space="preserve"> </w:t>
      </w:r>
      <w:r>
        <w:rPr>
          <w:b/>
          <w:spacing w:val="-2"/>
        </w:rPr>
        <w:t>rights?</w:t>
      </w:r>
    </w:p>
    <w:p w14:paraId="04D12B0E" w14:textId="77777777" w:rsidR="00401B52" w:rsidRDefault="00A01065" w:rsidP="00A01065">
      <w:pPr>
        <w:pStyle w:val="BodyText"/>
        <w:spacing w:line="288" w:lineRule="exact"/>
        <w:ind w:left="836"/>
      </w:pPr>
      <w:r>
        <w:t>If</w:t>
      </w:r>
      <w:r>
        <w:rPr>
          <w:spacing w:val="-6"/>
        </w:rPr>
        <w:t xml:space="preserve"> </w:t>
      </w:r>
      <w:r>
        <w:t>you</w:t>
      </w:r>
      <w:r>
        <w:rPr>
          <w:spacing w:val="-3"/>
        </w:rPr>
        <w:t xml:space="preserve"> </w:t>
      </w:r>
      <w:r>
        <w:t>think</w:t>
      </w:r>
      <w:r>
        <w:rPr>
          <w:spacing w:val="-3"/>
        </w:rPr>
        <w:t xml:space="preserve"> </w:t>
      </w:r>
      <w:r>
        <w:t>someone</w:t>
      </w:r>
      <w:r>
        <w:rPr>
          <w:spacing w:val="-3"/>
        </w:rPr>
        <w:t xml:space="preserve"> </w:t>
      </w:r>
      <w:r>
        <w:t>may</w:t>
      </w:r>
      <w:r>
        <w:rPr>
          <w:spacing w:val="-3"/>
        </w:rPr>
        <w:t xml:space="preserve"> </w:t>
      </w:r>
      <w:r>
        <w:t>have</w:t>
      </w:r>
      <w:r>
        <w:rPr>
          <w:spacing w:val="-4"/>
        </w:rPr>
        <w:t xml:space="preserve"> </w:t>
      </w:r>
      <w:r>
        <w:t>breached</w:t>
      </w:r>
      <w:r>
        <w:rPr>
          <w:spacing w:val="-3"/>
        </w:rPr>
        <w:t xml:space="preserve"> </w:t>
      </w:r>
      <w:r>
        <w:t>your</w:t>
      </w:r>
      <w:r>
        <w:rPr>
          <w:spacing w:val="-3"/>
        </w:rPr>
        <w:t xml:space="preserve"> </w:t>
      </w:r>
      <w:r>
        <w:t>human</w:t>
      </w:r>
      <w:r>
        <w:rPr>
          <w:spacing w:val="-3"/>
        </w:rPr>
        <w:t xml:space="preserve"> </w:t>
      </w:r>
      <w:r>
        <w:t>rights,</w:t>
      </w:r>
      <w:r>
        <w:rPr>
          <w:spacing w:val="-3"/>
        </w:rPr>
        <w:t xml:space="preserve"> </w:t>
      </w:r>
      <w:r>
        <w:t>you</w:t>
      </w:r>
      <w:r>
        <w:rPr>
          <w:spacing w:val="-3"/>
        </w:rPr>
        <w:t xml:space="preserve"> </w:t>
      </w:r>
      <w:r>
        <w:rPr>
          <w:spacing w:val="-5"/>
        </w:rPr>
        <w:t>may</w:t>
      </w:r>
    </w:p>
    <w:p w14:paraId="676D71DB" w14:textId="77777777" w:rsidR="00401B52" w:rsidRDefault="00A01065" w:rsidP="00A01065">
      <w:pPr>
        <w:pStyle w:val="BodyText"/>
        <w:spacing w:before="2" w:line="242" w:lineRule="auto"/>
        <w:ind w:left="836" w:right="820"/>
      </w:pPr>
      <w:r>
        <w:t>be able to make a complaint to the Queensland Human Rights Commission (QHRC) under the HRA. The HRA began on 1 January 2020 and is not retrospective in operation. While the HRA protects the rights of all people in Queensland, it only requires “public entit</w:t>
      </w:r>
      <w:r>
        <w:t>ies” to act and make decisions in a way that is compatible with human rights.</w:t>
      </w:r>
    </w:p>
    <w:p w14:paraId="6CB5BA1E" w14:textId="77777777" w:rsidR="00401B52" w:rsidRDefault="00A01065" w:rsidP="00A01065">
      <w:pPr>
        <w:pStyle w:val="BodyText"/>
        <w:spacing w:before="62" w:line="242" w:lineRule="auto"/>
        <w:ind w:left="836" w:right="820"/>
      </w:pPr>
      <w:r>
        <w:t xml:space="preserve">Before you make a complaint to the QHRC about a breach of human rights, you need to make a complaint to the </w:t>
      </w:r>
      <w:proofErr w:type="gramStart"/>
      <w:r>
        <w:t>particular public</w:t>
      </w:r>
      <w:proofErr w:type="gramEnd"/>
      <w:r>
        <w:t xml:space="preserve"> entity. You must then allow them 45 business days (o</w:t>
      </w:r>
      <w:r>
        <w:t>r 9 weeks) to respond, unless your matter is urgent (in which case you may be able</w:t>
      </w:r>
      <w:r>
        <w:rPr>
          <w:spacing w:val="-2"/>
        </w:rPr>
        <w:t xml:space="preserve"> </w:t>
      </w:r>
      <w:r>
        <w:t>to</w:t>
      </w:r>
      <w:r>
        <w:rPr>
          <w:spacing w:val="-3"/>
        </w:rPr>
        <w:t xml:space="preserve"> </w:t>
      </w:r>
      <w:r>
        <w:t>have</w:t>
      </w:r>
      <w:r>
        <w:rPr>
          <w:spacing w:val="-2"/>
        </w:rPr>
        <w:t xml:space="preserve"> </w:t>
      </w:r>
      <w:r>
        <w:t>it</w:t>
      </w:r>
      <w:r>
        <w:rPr>
          <w:spacing w:val="-3"/>
        </w:rPr>
        <w:t xml:space="preserve"> </w:t>
      </w:r>
      <w:r>
        <w:t>fast-tracked).</w:t>
      </w:r>
      <w:r>
        <w:rPr>
          <w:spacing w:val="-2"/>
        </w:rPr>
        <w:t xml:space="preserve"> </w:t>
      </w:r>
      <w:r>
        <w:t>If</w:t>
      </w:r>
      <w:r>
        <w:rPr>
          <w:spacing w:val="-3"/>
        </w:rPr>
        <w:t xml:space="preserve"> </w:t>
      </w:r>
      <w:r>
        <w:t>the</w:t>
      </w:r>
      <w:r>
        <w:rPr>
          <w:spacing w:val="-2"/>
        </w:rPr>
        <w:t xml:space="preserve"> </w:t>
      </w:r>
      <w:r>
        <w:t>public</w:t>
      </w:r>
      <w:r>
        <w:rPr>
          <w:spacing w:val="-3"/>
        </w:rPr>
        <w:t xml:space="preserve"> </w:t>
      </w:r>
      <w:r>
        <w:t>entity</w:t>
      </w:r>
      <w:r>
        <w:rPr>
          <w:spacing w:val="-2"/>
        </w:rPr>
        <w:t xml:space="preserve"> </w:t>
      </w:r>
      <w:r>
        <w:t>does</w:t>
      </w:r>
      <w:r>
        <w:rPr>
          <w:spacing w:val="-3"/>
        </w:rPr>
        <w:t xml:space="preserve"> </w:t>
      </w:r>
      <w:r>
        <w:t>not</w:t>
      </w:r>
      <w:r>
        <w:rPr>
          <w:spacing w:val="-2"/>
        </w:rPr>
        <w:t xml:space="preserve"> </w:t>
      </w:r>
      <w:r>
        <w:t>respond,</w:t>
      </w:r>
      <w:r>
        <w:rPr>
          <w:spacing w:val="-3"/>
        </w:rPr>
        <w:t xml:space="preserve"> </w:t>
      </w:r>
      <w:r>
        <w:t>or</w:t>
      </w:r>
      <w:r>
        <w:rPr>
          <w:spacing w:val="-2"/>
        </w:rPr>
        <w:t xml:space="preserve"> </w:t>
      </w:r>
      <w:r>
        <w:t>their</w:t>
      </w:r>
      <w:r>
        <w:rPr>
          <w:spacing w:val="-3"/>
        </w:rPr>
        <w:t xml:space="preserve"> </w:t>
      </w:r>
      <w:r>
        <w:t>response</w:t>
      </w:r>
      <w:r>
        <w:rPr>
          <w:spacing w:val="-2"/>
        </w:rPr>
        <w:t xml:space="preserve"> </w:t>
      </w:r>
      <w:r>
        <w:t>is</w:t>
      </w:r>
      <w:r>
        <w:rPr>
          <w:spacing w:val="-3"/>
        </w:rPr>
        <w:t xml:space="preserve"> </w:t>
      </w:r>
      <w:r>
        <w:t>not adequate, you can then complain to the QHRC.</w:t>
      </w:r>
    </w:p>
    <w:p w14:paraId="12B20FC1" w14:textId="77777777" w:rsidR="00401B52" w:rsidRDefault="00A01065" w:rsidP="00A01065">
      <w:pPr>
        <w:pStyle w:val="Heading2"/>
        <w:spacing w:before="80" w:line="429" w:lineRule="exact"/>
        <w:ind w:left="831"/>
        <w:rPr>
          <w:b/>
        </w:rPr>
      </w:pPr>
      <w:r>
        <w:rPr>
          <w:b/>
        </w:rPr>
        <w:t>What</w:t>
      </w:r>
      <w:r>
        <w:rPr>
          <w:b/>
          <w:spacing w:val="16"/>
        </w:rPr>
        <w:t xml:space="preserve"> </w:t>
      </w:r>
      <w:r>
        <w:rPr>
          <w:b/>
        </w:rPr>
        <w:t>rights</w:t>
      </w:r>
      <w:r>
        <w:rPr>
          <w:b/>
          <w:spacing w:val="16"/>
        </w:rPr>
        <w:t xml:space="preserve"> </w:t>
      </w:r>
      <w:r>
        <w:rPr>
          <w:b/>
        </w:rPr>
        <w:t>are</w:t>
      </w:r>
      <w:r>
        <w:rPr>
          <w:b/>
          <w:spacing w:val="17"/>
        </w:rPr>
        <w:t xml:space="preserve"> </w:t>
      </w:r>
      <w:r>
        <w:rPr>
          <w:b/>
        </w:rPr>
        <w:t>protected</w:t>
      </w:r>
      <w:r>
        <w:rPr>
          <w:b/>
          <w:spacing w:val="16"/>
        </w:rPr>
        <w:t xml:space="preserve"> </w:t>
      </w:r>
      <w:r>
        <w:rPr>
          <w:b/>
        </w:rPr>
        <w:t>by</w:t>
      </w:r>
      <w:r>
        <w:rPr>
          <w:b/>
          <w:spacing w:val="17"/>
        </w:rPr>
        <w:t xml:space="preserve"> </w:t>
      </w:r>
      <w:r>
        <w:rPr>
          <w:b/>
        </w:rPr>
        <w:t>the</w:t>
      </w:r>
      <w:r>
        <w:rPr>
          <w:b/>
          <w:spacing w:val="16"/>
        </w:rPr>
        <w:t xml:space="preserve"> </w:t>
      </w:r>
      <w:r>
        <w:rPr>
          <w:b/>
          <w:spacing w:val="-4"/>
        </w:rPr>
        <w:t>HRA?</w:t>
      </w:r>
    </w:p>
    <w:p w14:paraId="54132685" w14:textId="77777777" w:rsidR="00401B52" w:rsidRDefault="00A01065" w:rsidP="00A01065">
      <w:pPr>
        <w:pStyle w:val="BodyText"/>
        <w:spacing w:line="284" w:lineRule="exact"/>
        <w:ind w:left="820" w:right="844"/>
      </w:pPr>
      <w:r>
        <w:t>The</w:t>
      </w:r>
      <w:r>
        <w:rPr>
          <w:spacing w:val="9"/>
        </w:rPr>
        <w:t xml:space="preserve"> </w:t>
      </w:r>
      <w:r>
        <w:t>HRA</w:t>
      </w:r>
      <w:r>
        <w:rPr>
          <w:spacing w:val="9"/>
        </w:rPr>
        <w:t xml:space="preserve"> </w:t>
      </w:r>
      <w:r>
        <w:t>protects</w:t>
      </w:r>
      <w:r>
        <w:rPr>
          <w:spacing w:val="9"/>
        </w:rPr>
        <w:t xml:space="preserve"> </w:t>
      </w:r>
      <w:proofErr w:type="gramStart"/>
      <w:r>
        <w:t>a</w:t>
      </w:r>
      <w:r>
        <w:rPr>
          <w:spacing w:val="10"/>
        </w:rPr>
        <w:t xml:space="preserve"> </w:t>
      </w:r>
      <w:r>
        <w:t>number</w:t>
      </w:r>
      <w:r>
        <w:rPr>
          <w:spacing w:val="9"/>
        </w:rPr>
        <w:t xml:space="preserve"> </w:t>
      </w:r>
      <w:r>
        <w:t>of</w:t>
      </w:r>
      <w:proofErr w:type="gramEnd"/>
      <w:r>
        <w:rPr>
          <w:spacing w:val="9"/>
        </w:rPr>
        <w:t xml:space="preserve"> </w:t>
      </w:r>
      <w:r>
        <w:t>civil</w:t>
      </w:r>
      <w:r>
        <w:rPr>
          <w:spacing w:val="9"/>
        </w:rPr>
        <w:t xml:space="preserve"> </w:t>
      </w:r>
      <w:r>
        <w:t>and</w:t>
      </w:r>
      <w:r>
        <w:rPr>
          <w:spacing w:val="10"/>
        </w:rPr>
        <w:t xml:space="preserve"> </w:t>
      </w:r>
      <w:r>
        <w:t>political</w:t>
      </w:r>
      <w:r>
        <w:rPr>
          <w:spacing w:val="9"/>
        </w:rPr>
        <w:t xml:space="preserve"> </w:t>
      </w:r>
      <w:r>
        <w:t>rights,</w:t>
      </w:r>
      <w:r>
        <w:rPr>
          <w:spacing w:val="9"/>
        </w:rPr>
        <w:t xml:space="preserve"> </w:t>
      </w:r>
      <w:r>
        <w:t>as</w:t>
      </w:r>
      <w:r>
        <w:rPr>
          <w:spacing w:val="9"/>
        </w:rPr>
        <w:t xml:space="preserve"> </w:t>
      </w:r>
      <w:r>
        <w:t>well</w:t>
      </w:r>
      <w:r>
        <w:rPr>
          <w:spacing w:val="10"/>
        </w:rPr>
        <w:t xml:space="preserve"> </w:t>
      </w:r>
      <w:r>
        <w:t>as</w:t>
      </w:r>
      <w:r>
        <w:rPr>
          <w:spacing w:val="9"/>
        </w:rPr>
        <w:t xml:space="preserve"> </w:t>
      </w:r>
      <w:r>
        <w:t>some</w:t>
      </w:r>
      <w:r>
        <w:rPr>
          <w:spacing w:val="9"/>
        </w:rPr>
        <w:t xml:space="preserve"> </w:t>
      </w:r>
      <w:r>
        <w:t>economic,</w:t>
      </w:r>
      <w:r>
        <w:rPr>
          <w:spacing w:val="10"/>
        </w:rPr>
        <w:t xml:space="preserve"> </w:t>
      </w:r>
      <w:r>
        <w:rPr>
          <w:spacing w:val="-2"/>
        </w:rPr>
        <w:t>social</w:t>
      </w:r>
    </w:p>
    <w:p w14:paraId="7DB99A20" w14:textId="77777777" w:rsidR="00401B52" w:rsidRDefault="00A01065" w:rsidP="00A01065">
      <w:pPr>
        <w:pStyle w:val="BodyText"/>
        <w:spacing w:before="2"/>
        <w:ind w:left="820" w:right="6514"/>
      </w:pPr>
      <w:r>
        <w:t>and</w:t>
      </w:r>
      <w:r>
        <w:rPr>
          <w:spacing w:val="-4"/>
        </w:rPr>
        <w:t xml:space="preserve"> </w:t>
      </w:r>
      <w:r>
        <w:t>cultural</w:t>
      </w:r>
      <w:r>
        <w:rPr>
          <w:spacing w:val="-4"/>
        </w:rPr>
        <w:t xml:space="preserve"> </w:t>
      </w:r>
      <w:r>
        <w:t>rights.</w:t>
      </w:r>
      <w:r>
        <w:rPr>
          <w:spacing w:val="-3"/>
        </w:rPr>
        <w:t xml:space="preserve"> </w:t>
      </w:r>
      <w:r>
        <w:t>These</w:t>
      </w:r>
      <w:r>
        <w:rPr>
          <w:spacing w:val="-4"/>
        </w:rPr>
        <w:t xml:space="preserve"> </w:t>
      </w:r>
      <w:r>
        <w:t>rights</w:t>
      </w:r>
      <w:r>
        <w:rPr>
          <w:spacing w:val="-3"/>
        </w:rPr>
        <w:t xml:space="preserve"> </w:t>
      </w:r>
      <w:r>
        <w:rPr>
          <w:spacing w:val="-4"/>
        </w:rPr>
        <w:t>are:</w:t>
      </w:r>
    </w:p>
    <w:p w14:paraId="545AA759" w14:textId="77777777" w:rsidR="00401B52" w:rsidRDefault="00A01065" w:rsidP="00A01065">
      <w:pPr>
        <w:pStyle w:val="Heading1"/>
        <w:spacing w:before="159"/>
        <w:ind w:right="6453"/>
      </w:pPr>
      <w:r>
        <w:t>Civil</w:t>
      </w:r>
      <w:r>
        <w:rPr>
          <w:spacing w:val="-3"/>
        </w:rPr>
        <w:t xml:space="preserve"> </w:t>
      </w:r>
      <w:r>
        <w:t>and</w:t>
      </w:r>
      <w:r>
        <w:rPr>
          <w:spacing w:val="-3"/>
        </w:rPr>
        <w:t xml:space="preserve"> </w:t>
      </w:r>
      <w:r>
        <w:t>political</w:t>
      </w:r>
      <w:r>
        <w:rPr>
          <w:spacing w:val="-3"/>
        </w:rPr>
        <w:t xml:space="preserve"> </w:t>
      </w:r>
      <w:r>
        <w:rPr>
          <w:spacing w:val="-2"/>
        </w:rPr>
        <w:t>rights</w:t>
      </w:r>
    </w:p>
    <w:p w14:paraId="34D2E690" w14:textId="77777777" w:rsidR="00401B52" w:rsidRDefault="00401B52" w:rsidP="00A01065">
      <w:pPr>
        <w:sectPr w:rsidR="00401B52">
          <w:type w:val="continuous"/>
          <w:pgSz w:w="11910" w:h="16850"/>
          <w:pgMar w:top="980" w:right="360" w:bottom="280" w:left="360" w:header="720" w:footer="720" w:gutter="0"/>
          <w:cols w:space="720"/>
        </w:sectPr>
      </w:pPr>
    </w:p>
    <w:p w14:paraId="19E3E500" w14:textId="77777777" w:rsidR="00401B52" w:rsidRDefault="00A01065" w:rsidP="00A01065">
      <w:pPr>
        <w:pStyle w:val="BodyText"/>
        <w:ind w:left="1658"/>
      </w:pPr>
      <w:r>
        <w:t>Right</w:t>
      </w:r>
      <w:r>
        <w:rPr>
          <w:spacing w:val="-2"/>
        </w:rPr>
        <w:t xml:space="preserve"> </w:t>
      </w:r>
      <w:r>
        <w:t>to</w:t>
      </w:r>
      <w:r>
        <w:rPr>
          <w:spacing w:val="-1"/>
        </w:rPr>
        <w:t xml:space="preserve"> </w:t>
      </w:r>
      <w:r>
        <w:rPr>
          <w:spacing w:val="-4"/>
        </w:rPr>
        <w:t>life</w:t>
      </w:r>
    </w:p>
    <w:p w14:paraId="56D4FDCD" w14:textId="77777777" w:rsidR="00401B52" w:rsidRDefault="00A01065" w:rsidP="00A01065">
      <w:pPr>
        <w:pStyle w:val="BodyText"/>
        <w:spacing w:before="2" w:line="242" w:lineRule="auto"/>
        <w:ind w:left="1658"/>
      </w:pPr>
      <w:r>
        <w:t>Freedom of movement Freedom of expression</w:t>
      </w:r>
      <w:r>
        <w:rPr>
          <w:spacing w:val="40"/>
        </w:rPr>
        <w:t xml:space="preserve"> </w:t>
      </w:r>
      <w:r>
        <w:t>Taking part in public life Privacy and reputation Cultural rights – generally Rights</w:t>
      </w:r>
      <w:r>
        <w:rPr>
          <w:spacing w:val="-13"/>
        </w:rPr>
        <w:t xml:space="preserve"> </w:t>
      </w:r>
      <w:r>
        <w:t>in</w:t>
      </w:r>
      <w:r>
        <w:rPr>
          <w:spacing w:val="-13"/>
        </w:rPr>
        <w:t xml:space="preserve"> </w:t>
      </w:r>
      <w:r>
        <w:t>criminal</w:t>
      </w:r>
      <w:r>
        <w:rPr>
          <w:spacing w:val="-13"/>
        </w:rPr>
        <w:t xml:space="preserve"> </w:t>
      </w:r>
      <w:r>
        <w:t>proceedings</w:t>
      </w:r>
    </w:p>
    <w:p w14:paraId="44198248" w14:textId="77777777" w:rsidR="00401B52" w:rsidRDefault="00A01065" w:rsidP="00A01065">
      <w:pPr>
        <w:pStyle w:val="BodyText"/>
        <w:spacing w:line="242" w:lineRule="auto"/>
        <w:ind w:left="1022" w:right="2335"/>
      </w:pPr>
      <w:r>
        <w:br w:type="column"/>
      </w:r>
      <w:r>
        <w:t>Retrospective</w:t>
      </w:r>
      <w:r>
        <w:rPr>
          <w:spacing w:val="-15"/>
        </w:rPr>
        <w:t xml:space="preserve"> </w:t>
      </w:r>
      <w:r>
        <w:t>criminal</w:t>
      </w:r>
      <w:r>
        <w:rPr>
          <w:spacing w:val="-15"/>
        </w:rPr>
        <w:t xml:space="preserve"> </w:t>
      </w:r>
      <w:r>
        <w:t>laws Freedom</w:t>
      </w:r>
      <w:r>
        <w:rPr>
          <w:spacing w:val="-5"/>
        </w:rPr>
        <w:t xml:space="preserve"> </w:t>
      </w:r>
      <w:r>
        <w:t>from</w:t>
      </w:r>
      <w:r>
        <w:rPr>
          <w:spacing w:val="-5"/>
        </w:rPr>
        <w:t xml:space="preserve"> </w:t>
      </w:r>
      <w:r>
        <w:t>forced</w:t>
      </w:r>
      <w:r>
        <w:rPr>
          <w:spacing w:val="-5"/>
        </w:rPr>
        <w:t xml:space="preserve"> </w:t>
      </w:r>
      <w:r>
        <w:t>work Property rights</w:t>
      </w:r>
    </w:p>
    <w:p w14:paraId="21A7D1B6" w14:textId="77777777" w:rsidR="00401B52" w:rsidRDefault="00A01065" w:rsidP="00A01065">
      <w:pPr>
        <w:pStyle w:val="BodyText"/>
        <w:spacing w:line="242" w:lineRule="auto"/>
        <w:ind w:left="1022" w:right="1041"/>
      </w:pPr>
      <w:r>
        <w:t>Protection of families and children</w:t>
      </w:r>
      <w:r>
        <w:t xml:space="preserve"> Right</w:t>
      </w:r>
      <w:r>
        <w:rPr>
          <w:spacing w:val="-6"/>
        </w:rPr>
        <w:t xml:space="preserve"> </w:t>
      </w:r>
      <w:r>
        <w:t>to</w:t>
      </w:r>
      <w:r>
        <w:rPr>
          <w:spacing w:val="-6"/>
        </w:rPr>
        <w:t xml:space="preserve"> </w:t>
      </w:r>
      <w:r>
        <w:t>liberty</w:t>
      </w:r>
      <w:r>
        <w:rPr>
          <w:spacing w:val="-6"/>
        </w:rPr>
        <w:t xml:space="preserve"> </w:t>
      </w:r>
      <w:r>
        <w:t>and</w:t>
      </w:r>
      <w:r>
        <w:rPr>
          <w:spacing w:val="-6"/>
        </w:rPr>
        <w:t xml:space="preserve"> </w:t>
      </w:r>
      <w:r>
        <w:t>security</w:t>
      </w:r>
      <w:r>
        <w:rPr>
          <w:spacing w:val="-6"/>
        </w:rPr>
        <w:t xml:space="preserve"> </w:t>
      </w:r>
      <w:r>
        <w:t>of</w:t>
      </w:r>
      <w:r>
        <w:rPr>
          <w:spacing w:val="-6"/>
        </w:rPr>
        <w:t xml:space="preserve"> </w:t>
      </w:r>
      <w:r>
        <w:t>person Fair hearing</w:t>
      </w:r>
    </w:p>
    <w:p w14:paraId="3E24E685" w14:textId="77777777" w:rsidR="00401B52" w:rsidRDefault="00A01065" w:rsidP="00A01065">
      <w:pPr>
        <w:pStyle w:val="BodyText"/>
        <w:spacing w:line="310" w:lineRule="exact"/>
        <w:ind w:left="1022"/>
      </w:pPr>
      <w:r>
        <w:t>Children</w:t>
      </w:r>
      <w:r>
        <w:rPr>
          <w:spacing w:val="-3"/>
        </w:rPr>
        <w:t xml:space="preserve"> </w:t>
      </w:r>
      <w:r>
        <w:t>in</w:t>
      </w:r>
      <w:r>
        <w:rPr>
          <w:spacing w:val="-3"/>
        </w:rPr>
        <w:t xml:space="preserve"> </w:t>
      </w:r>
      <w:r>
        <w:t>the</w:t>
      </w:r>
      <w:r>
        <w:rPr>
          <w:spacing w:val="-3"/>
        </w:rPr>
        <w:t xml:space="preserve"> </w:t>
      </w:r>
      <w:r>
        <w:t>criminal</w:t>
      </w:r>
      <w:r>
        <w:rPr>
          <w:spacing w:val="-2"/>
        </w:rPr>
        <w:t xml:space="preserve"> process</w:t>
      </w:r>
    </w:p>
    <w:p w14:paraId="28AC4706" w14:textId="77777777" w:rsidR="00401B52" w:rsidRDefault="00401B52" w:rsidP="00A01065">
      <w:pPr>
        <w:spacing w:line="310" w:lineRule="exact"/>
        <w:sectPr w:rsidR="00401B52">
          <w:type w:val="continuous"/>
          <w:pgSz w:w="11910" w:h="16850"/>
          <w:pgMar w:top="980" w:right="360" w:bottom="280" w:left="360" w:header="720" w:footer="720" w:gutter="0"/>
          <w:cols w:num="2" w:space="720" w:equalWidth="0">
            <w:col w:w="4876" w:space="40"/>
            <w:col w:w="6274"/>
          </w:cols>
        </w:sectPr>
      </w:pPr>
    </w:p>
    <w:p w14:paraId="742D6853" w14:textId="77777777" w:rsidR="00401B52" w:rsidRDefault="00A01065" w:rsidP="00A01065">
      <w:pPr>
        <w:pStyle w:val="BodyText"/>
        <w:spacing w:before="2" w:line="242" w:lineRule="auto"/>
        <w:ind w:left="1658" w:right="1963"/>
      </w:pPr>
      <w:r>
        <w:pict w14:anchorId="2D9346C8">
          <v:group id="docshapegroup1" o:spid="_x0000_s1030" style="position:absolute;left:0;text-align:left;margin-left:.35pt;margin-top:24.05pt;width:595.15pt;height:818.25pt;z-index:-15780864;mso-position-horizontal-relative:page;mso-position-vertical-relative:page" coordorigin="7,481" coordsize="11903,16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37" type="#_x0000_t75" style="position:absolute;left:7;top:480;width:11903;height:16365">
              <v:imagedata r:id="rId4" o:title=""/>
            </v:shape>
            <v:shape id="docshape3" o:spid="_x0000_s1036" type="#_x0000_t75" style="position:absolute;left:9584;top:1111;width:1697;height:1066">
              <v:imagedata r:id="rId5" o:title=""/>
            </v:shape>
            <v:shape id="docshape4" o:spid="_x0000_s1035" type="#_x0000_t75" style="position:absolute;left:3588;top:12807;width:8322;height:4038">
              <v:imagedata r:id="rId6" o:title=""/>
            </v:shape>
            <v:shape id="docshape5" o:spid="_x0000_s1034" style="position:absolute;left:1746;top:10222;width:4371;height:5583" coordorigin="1746,10223" coordsize="4371,5583" o:spt="100" adj="0,,0" path="m1821,15763r-1,-5l1816,15749r-2,-4l1807,15738r-4,-3l1793,15731r-4,-1l1779,15730r-5,1l1765,15735r-4,3l1754,15745r-3,4l1747,15758r-1,5l1746,15773r1,5l1751,15787r3,4l1761,15798r4,3l1774,15804r5,1l1789,15805r4,-1l1803,15801r4,-3l1814,15791r2,-4l1820,15778r1,-5l1821,15768r,-5xm1821,15448r-1,-5l1816,15434r-2,-5l1807,15422r-4,-2l1793,15416r-4,-1l1779,15415r-5,1l1765,15420r-4,2l1754,15429r-3,5l1747,15443r-1,5l1746,15457r1,5l1751,15471r3,4l1761,15483r4,2l1774,15489r5,1l1789,15490r4,-1l1803,15485r4,-2l1814,15475r2,-4l1820,15462r1,-5l1821,15452r,-4xm1837,14363r-1,-5l1832,14349r-2,-4l1823,14338r-4,-3l1809,14331r-4,-1l1795,14330r-5,1l1781,14335r-4,3l1770,14345r-3,4l1763,14358r-1,5l1762,14373r1,4l1767,14387r3,4l1777,14398r4,3l1790,14404r5,1l1805,14405r4,-1l1819,14401r4,-3l1830,14391r2,-4l1836,14377r1,-4l1837,14368r,-5xm1837,14047r-1,-4l1832,14034r-2,-5l1823,14022r-4,-2l1809,14016r-4,-1l1795,14015r-5,1l1781,14020r-4,2l1770,14029r-3,5l1763,14043r-1,4l1762,14057r1,5l1767,14071r3,4l1777,14083r4,2l1790,14089r5,1l1805,14090r4,-1l1819,14085r4,-2l1830,14075r2,-4l1836,14062r1,-5l1837,14052r,-5xm1837,13732r-1,-5l1832,13718r-2,-4l1823,13707r-4,-3l1809,13701r-4,-1l1795,13700r-5,1l1781,13704r-4,3l1770,13714r-3,4l1763,13727r-1,5l1762,13742r1,5l1767,13756r3,4l1777,13767r4,3l1790,13774r5,1l1805,13775r4,-1l1819,13770r4,-3l1830,13760r2,-4l1836,13747r1,-5l1837,13737r,-5xm1837,13417r-1,-5l1832,13403r-2,-4l1823,13392r-4,-3l1809,13385r-4,-1l1795,13384r-5,1l1781,13389r-4,3l1770,13399r-3,4l1763,13412r-1,5l1762,13427r1,5l1767,13441r3,4l1777,13452r4,3l1790,13459r5,l1805,13459r4,l1819,13455r4,-3l1830,13445r2,-4l1836,13432r1,-5l1837,13422r,-5xm1837,13102r-1,-5l1832,13088r-2,-4l1823,13077r-4,-3l1809,13070r-4,-1l1795,13069r-5,1l1781,13074r-4,3l1770,13084r-3,4l1763,13097r-1,5l1762,13112r1,4l1767,13126r3,4l1777,13137r4,2l1790,13143r5,1l1805,13144r4,-1l1819,13139r4,-2l1830,13130r2,-4l1836,13116r1,-4l1837,13107r,-5xm1837,12786r-1,-4l1832,12772r-2,-4l1823,12761r-4,-2l1809,12755r-4,-1l1795,12754r-5,1l1781,12759r-4,2l1770,12768r-3,4l1763,12782r-1,4l1762,12796r1,5l1767,12810r3,4l1777,12821r4,3l1790,12828r5,1l1805,12829r4,-1l1819,12824r4,-3l1830,12814r2,-4l1836,12801r1,-5l1837,12791r,-5xm1837,12471r-1,-5l1832,12457r-2,-4l1823,12446r-4,-3l1809,12440r-4,-1l1795,12439r-5,1l1781,12443r-4,3l1770,12453r-3,4l1763,12466r-1,5l1762,12481r1,5l1767,12495r3,4l1777,12506r4,3l1790,12513r5,1l1805,12514r4,-1l1819,12509r4,-3l1830,12499r2,-4l1836,12486r1,-5l1837,12476r,-5xm1837,12147r-1,-5l1832,12133r-2,-4l1823,12122r-4,-3l1809,12115r-4,-1l1795,12114r-5,1l1781,12119r-4,3l1770,12129r-3,4l1763,12142r-1,5l1762,12157r1,5l1767,12171r3,4l1777,12182r4,3l1790,12188r5,1l1805,12189r4,-1l1819,12185r4,-3l1830,12175r2,-4l1836,12162r1,-5l1837,12152r,-5xm1837,11832r-1,-5l1832,11818r-2,-4l1823,11807r-4,-3l1809,11800r-4,-1l1795,11799r-5,1l1781,11804r-4,3l1770,11814r-3,4l1763,11827r-1,5l1762,11842r1,4l1767,11856r3,4l1777,11867r4,2l1790,11873r5,1l1805,11874r4,-1l1819,11869r4,-2l1830,11860r2,-4l1836,11846r1,-4l1837,11837r,-5xm1837,11516r-1,-4l1832,11502r-2,-4l1823,11491r-4,-2l1809,11485r-4,-1l1795,11484r-5,1l1781,11489r-4,2l1770,11498r-3,4l1763,11512r-1,4l1762,11526r1,5l1767,11540r3,4l1777,11551r4,3l1790,11558r5,1l1805,11559r4,-1l1819,11554r4,-3l1830,11544r2,-4l1836,11531r1,-5l1837,11521r,-5xm1837,11201r-1,-5l1832,11187r-2,-4l1823,11176r-4,-3l1809,11170r-4,-1l1795,11169r-5,1l1781,11173r-4,3l1770,11183r-3,4l1763,11196r-1,5l1762,11211r1,5l1767,11225r3,4l1777,11236r4,3l1790,11243r5,1l1805,11244r4,-1l1819,11239r4,-3l1830,11229r2,-4l1836,11216r1,-5l1837,11206r,-5xm1837,10886r-1,-5l1832,10872r-2,-4l1823,10861r-4,-3l1809,10854r-4,-1l1795,10853r-5,1l1781,10858r-4,3l1770,10868r-3,4l1763,10881r-1,5l1762,10896r1,5l1767,10910r3,4l1777,10921r4,3l1790,10927r5,1l1805,10928r4,-1l1819,10924r4,-3l1830,10914r2,-4l1836,10901r1,-5l1837,10891r,-5xm1837,10571r-1,-5l1832,10557r-2,-4l1823,10546r-4,-3l1809,10539r-4,-1l1795,10538r-5,1l1781,10543r-4,3l1770,10553r-3,4l1763,10566r-1,5l1762,10581r1,4l1767,10595r3,4l1777,10606r4,2l1790,10612r5,1l1805,10613r4,-1l1819,10608r4,-2l1830,10599r2,-4l1836,10585r1,-4l1837,10576r,-5xm1837,10255r-1,-4l1832,10241r-2,-4l1823,10230r-4,-2l1809,10224r-4,-1l1795,10223r-5,1l1781,10228r-4,2l1770,10237r-3,4l1763,10251r-1,4l1762,10265r1,5l1767,10279r3,4l1777,10290r4,3l1790,10297r5,1l1805,10298r4,-1l1819,10293r4,-3l1830,10283r2,-4l1836,10270r1,-5l1837,10260r,-5xm6116,12147r,-5l6112,12133r-3,-4l6102,12122r-4,-3l6089,12115r-5,-1l6074,12114r-5,1l6060,12119r-4,3l6049,12129r-3,4l6042,12142r-1,5l6041,12157r1,5l6046,12171r3,4l6056,12182r4,3l6069,12188r5,1l6084,12189r5,-1l6098,12185r4,-3l6109,12175r3,-4l6116,12162r,-5l6116,12152r,-5xm6116,11832r,-5l6112,11818r-3,-4l6102,11807r-4,-3l6089,11800r-5,-1l6074,11799r-5,1l6060,11804r-4,3l6049,11814r-3,4l6042,11827r-1,5l6041,11842r1,4l6046,11856r3,4l6056,11867r4,2l6069,11873r5,1l6084,11874r5,-1l6098,11869r4,-2l6109,11860r3,-4l6116,11846r,-4l6116,11837r,-5xm6116,11516r,-4l6112,11502r-3,-4l6102,11491r-4,-2l6089,11485r-5,-1l6074,11484r-5,1l6060,11489r-4,2l6049,11498r-3,4l6042,11512r-1,4l6041,11526r1,5l6046,11540r3,4l6056,11551r4,3l6069,11558r5,1l6084,11559r5,-1l6098,11554r4,-3l6109,11544r3,-4l6116,11531r,-5l6116,11521r,-5xm6116,11201r,-5l6112,11187r-3,-4l6102,11176r-4,-3l6089,11170r-5,-1l6074,11169r-5,1l6060,11173r-4,3l6049,11183r-3,4l6042,11196r-1,5l6041,11211r1,5l6046,11225r3,4l6056,11236r4,3l6069,11243r5,1l6084,11244r5,-1l6098,11239r4,-3l6109,11229r3,-4l6116,11216r,-5l6116,11206r,-5xm6116,10886r,-5l6112,10872r-3,-4l6102,10861r-4,-3l6089,10854r-5,-1l6074,10853r-5,1l6060,10858r-4,3l6049,10868r-3,4l6042,10881r-1,5l6041,10896r1,5l6046,10910r3,4l6056,10921r4,3l6069,10927r5,1l6084,10928r5,-1l6098,10924r4,-3l6109,10914r3,-4l6116,10901r,-5l6116,10891r,-5xm6116,10571r,-5l6112,10557r-3,-4l6102,10546r-4,-3l6089,10539r-5,-1l6074,10538r-5,1l6060,10543r-4,3l6049,10553r-3,4l6042,10566r-1,5l6041,10581r1,4l6046,10595r3,4l6056,10606r4,2l6069,10612r5,1l6084,10613r5,-1l6098,10608r4,-2l6109,10599r3,-4l6116,10585r,-4l6116,10576r,-5xm6116,10255r,-4l6112,10241r-3,-4l6102,10230r-4,-2l6089,10224r-5,-1l6074,10223r-5,1l6060,10228r-4,2l6049,10237r-3,4l6042,10251r-1,4l6041,10265r1,5l6046,10279r3,4l6056,10290r4,3l6069,10297r5,1l6084,10298r5,-1l6098,10293r4,-3l6109,10283r3,-4l6116,10270r,-5l6116,10260r,-5xe" fillcolor="black" stroked="f">
              <v:stroke joinstyle="round"/>
              <v:formulas/>
              <v:path arrowok="t" o:connecttype="segments"/>
            </v:shape>
            <v:line id="_x0000_s1033" style="position:absolute" from="1441,9678" to="10464,9678" strokecolor="#d9d9d9" strokeweight="1.324mm"/>
            <v:line id="_x0000_s1032" style="position:absolute" from="1441,14789" to="8062,14789" strokecolor="#d9d9d9" strokeweight="1.324mm"/>
            <v:line id="_x0000_s1031" style="position:absolute" from="1441,16120" to="6335,16120" strokecolor="#d9d9d9" strokeweight="1.324mm"/>
            <w10:wrap anchorx="page" anchory="page"/>
          </v:group>
        </w:pict>
      </w:r>
      <w:r>
        <w:t>Protection</w:t>
      </w:r>
      <w:r>
        <w:rPr>
          <w:spacing w:val="-5"/>
        </w:rPr>
        <w:t xml:space="preserve"> </w:t>
      </w:r>
      <w:r>
        <w:t>from</w:t>
      </w:r>
      <w:r>
        <w:rPr>
          <w:spacing w:val="-5"/>
        </w:rPr>
        <w:t xml:space="preserve"> </w:t>
      </w:r>
      <w:r>
        <w:t>torture</w:t>
      </w:r>
      <w:r>
        <w:rPr>
          <w:spacing w:val="-5"/>
        </w:rPr>
        <w:t xml:space="preserve"> </w:t>
      </w:r>
      <w:r>
        <w:t>and</w:t>
      </w:r>
      <w:r>
        <w:rPr>
          <w:spacing w:val="-5"/>
        </w:rPr>
        <w:t xml:space="preserve"> </w:t>
      </w:r>
      <w:r>
        <w:t>cruel,</w:t>
      </w:r>
      <w:r>
        <w:rPr>
          <w:spacing w:val="-5"/>
        </w:rPr>
        <w:t xml:space="preserve"> </w:t>
      </w:r>
      <w:proofErr w:type="gramStart"/>
      <w:r>
        <w:t>inhuman</w:t>
      </w:r>
      <w:proofErr w:type="gramEnd"/>
      <w:r>
        <w:rPr>
          <w:spacing w:val="-5"/>
        </w:rPr>
        <w:t xml:space="preserve"> </w:t>
      </w:r>
      <w:r>
        <w:t>or</w:t>
      </w:r>
      <w:r>
        <w:rPr>
          <w:spacing w:val="-5"/>
        </w:rPr>
        <w:t xml:space="preserve"> </w:t>
      </w:r>
      <w:r>
        <w:t>degrading</w:t>
      </w:r>
      <w:r>
        <w:rPr>
          <w:spacing w:val="-5"/>
        </w:rPr>
        <w:t xml:space="preserve"> </w:t>
      </w:r>
      <w:r>
        <w:t>treatment Cultural rights of Aboriginal and Torres Strait Islander peoples Freedom of thought, conscience, religion and belief</w:t>
      </w:r>
    </w:p>
    <w:p w14:paraId="0D082C5F" w14:textId="77777777" w:rsidR="00401B52" w:rsidRDefault="00A01065" w:rsidP="00A01065">
      <w:pPr>
        <w:pStyle w:val="BodyText"/>
        <w:spacing w:line="242" w:lineRule="auto"/>
        <w:ind w:left="1658" w:right="3661"/>
      </w:pPr>
      <w:r>
        <w:t>Right</w:t>
      </w:r>
      <w:r>
        <w:rPr>
          <w:spacing w:val="-4"/>
        </w:rPr>
        <w:t xml:space="preserve"> </w:t>
      </w:r>
      <w:r>
        <w:t>not</w:t>
      </w:r>
      <w:r>
        <w:rPr>
          <w:spacing w:val="-4"/>
        </w:rPr>
        <w:t xml:space="preserve"> </w:t>
      </w:r>
      <w:r>
        <w:t>to</w:t>
      </w:r>
      <w:r>
        <w:rPr>
          <w:spacing w:val="-4"/>
        </w:rPr>
        <w:t xml:space="preserve"> </w:t>
      </w:r>
      <w:r>
        <w:t>be</w:t>
      </w:r>
      <w:r>
        <w:rPr>
          <w:spacing w:val="-4"/>
        </w:rPr>
        <w:t xml:space="preserve"> </w:t>
      </w:r>
      <w:r>
        <w:t>tried</w:t>
      </w:r>
      <w:r>
        <w:rPr>
          <w:spacing w:val="-4"/>
        </w:rPr>
        <w:t xml:space="preserve"> </w:t>
      </w:r>
      <w:r>
        <w:t>or</w:t>
      </w:r>
      <w:r>
        <w:rPr>
          <w:spacing w:val="-4"/>
        </w:rPr>
        <w:t xml:space="preserve"> </w:t>
      </w:r>
      <w:r>
        <w:t>punished</w:t>
      </w:r>
      <w:r>
        <w:rPr>
          <w:spacing w:val="-4"/>
        </w:rPr>
        <w:t xml:space="preserve"> </w:t>
      </w:r>
      <w:r>
        <w:t>more</w:t>
      </w:r>
      <w:r>
        <w:rPr>
          <w:spacing w:val="-4"/>
        </w:rPr>
        <w:t xml:space="preserve"> </w:t>
      </w:r>
      <w:r>
        <w:t>than</w:t>
      </w:r>
      <w:r>
        <w:rPr>
          <w:spacing w:val="-4"/>
        </w:rPr>
        <w:t xml:space="preserve"> </w:t>
      </w:r>
      <w:r>
        <w:t>once Peaceful assembly and freedom of association Humane treatment when deprived of l</w:t>
      </w:r>
      <w:r>
        <w:t>iberty Recognition and equality before the law</w:t>
      </w:r>
    </w:p>
    <w:p w14:paraId="0D9AE180" w14:textId="77777777" w:rsidR="00401B52" w:rsidRDefault="00401B52" w:rsidP="00A01065">
      <w:pPr>
        <w:pStyle w:val="BodyText"/>
        <w:spacing w:before="9"/>
        <w:rPr>
          <w:sz w:val="22"/>
        </w:rPr>
      </w:pPr>
    </w:p>
    <w:p w14:paraId="09C9ACB1" w14:textId="77777777" w:rsidR="00401B52" w:rsidRDefault="00A01065" w:rsidP="00A01065">
      <w:pPr>
        <w:pStyle w:val="Heading1"/>
        <w:spacing w:line="354" w:lineRule="exact"/>
        <w:ind w:left="1291"/>
      </w:pPr>
      <w:r>
        <w:t>Economic,</w:t>
      </w:r>
      <w:r>
        <w:rPr>
          <w:spacing w:val="-5"/>
        </w:rPr>
        <w:t xml:space="preserve"> </w:t>
      </w:r>
      <w:proofErr w:type="gramStart"/>
      <w:r>
        <w:t>social</w:t>
      </w:r>
      <w:proofErr w:type="gramEnd"/>
      <w:r>
        <w:rPr>
          <w:spacing w:val="-5"/>
        </w:rPr>
        <w:t xml:space="preserve"> </w:t>
      </w:r>
      <w:r>
        <w:t>and</w:t>
      </w:r>
      <w:r>
        <w:rPr>
          <w:spacing w:val="-5"/>
        </w:rPr>
        <w:t xml:space="preserve"> </w:t>
      </w:r>
      <w:r>
        <w:t>cultural</w:t>
      </w:r>
      <w:r>
        <w:rPr>
          <w:spacing w:val="-4"/>
        </w:rPr>
        <w:t xml:space="preserve"> </w:t>
      </w:r>
      <w:r>
        <w:rPr>
          <w:spacing w:val="-2"/>
        </w:rPr>
        <w:t>rights</w:t>
      </w:r>
    </w:p>
    <w:p w14:paraId="18F2B6D4" w14:textId="77777777" w:rsidR="00401B52" w:rsidRDefault="00A01065" w:rsidP="00A01065">
      <w:pPr>
        <w:pStyle w:val="BodyText"/>
        <w:spacing w:line="242" w:lineRule="auto"/>
        <w:ind w:left="1642" w:right="7062"/>
      </w:pPr>
      <w:r>
        <w:t>Right to education Right</w:t>
      </w:r>
      <w:r>
        <w:rPr>
          <w:spacing w:val="-13"/>
        </w:rPr>
        <w:t xml:space="preserve"> </w:t>
      </w:r>
      <w:r>
        <w:t>to</w:t>
      </w:r>
      <w:r>
        <w:rPr>
          <w:spacing w:val="-13"/>
        </w:rPr>
        <w:t xml:space="preserve"> </w:t>
      </w:r>
      <w:r>
        <w:t>health</w:t>
      </w:r>
      <w:r>
        <w:rPr>
          <w:spacing w:val="-13"/>
        </w:rPr>
        <w:t xml:space="preserve"> </w:t>
      </w:r>
      <w:r>
        <w:t>services</w:t>
      </w:r>
    </w:p>
    <w:p w14:paraId="325CA328" w14:textId="77777777" w:rsidR="00401B52" w:rsidRDefault="00401B52" w:rsidP="00A01065">
      <w:pPr>
        <w:spacing w:line="242" w:lineRule="auto"/>
        <w:sectPr w:rsidR="00401B52">
          <w:type w:val="continuous"/>
          <w:pgSz w:w="11910" w:h="16850"/>
          <w:pgMar w:top="980" w:right="360" w:bottom="280" w:left="360" w:header="720" w:footer="720" w:gutter="0"/>
          <w:cols w:space="720"/>
        </w:sectPr>
      </w:pPr>
    </w:p>
    <w:p w14:paraId="26EBFB97" w14:textId="77777777" w:rsidR="00401B52" w:rsidRDefault="00A01065" w:rsidP="00A01065">
      <w:pPr>
        <w:pStyle w:val="Heading2"/>
        <w:rPr>
          <w:b/>
        </w:rPr>
      </w:pPr>
      <w:r>
        <w:lastRenderedPageBreak/>
        <w:pict w14:anchorId="060F3170">
          <v:group id="docshapegroup6" o:spid="_x0000_s1026" style="position:absolute;left:0;text-align:left;margin-left:.05pt;margin-top:1.25pt;width:595.5pt;height:841.05pt;z-index:-15780352;mso-position-horizontal-relative:page;mso-position-vertical-relative:page" coordorigin="1,25" coordsize="11910,16821">
            <v:shape id="docshape7" o:spid="_x0000_s1029" type="#_x0000_t75" style="position:absolute;left:7;top:24;width:11903;height:16821">
              <v:imagedata r:id="rId7" o:title=""/>
            </v:shape>
            <v:shape id="docshape8" o:spid="_x0000_s1028" style="position:absolute;left:1330;top:2436;width:76;height:7013" coordorigin="1330,2437" coordsize="76,7013" o:spt="100" adj="0,,0" path="m1405,9406r-1,-4l1401,9392r-3,-4l1391,9381r-4,-2l1377,9375r-4,-1l1363,9374r-5,1l1349,9379r-4,2l1338,9388r-3,4l1331,9402r-1,4l1330,9416r1,5l1335,9430r3,4l1345,9441r4,3l1358,9448r5,1l1373,9449r4,-1l1387,9444r4,-3l1398,9434r3,-4l1404,9421r1,-5l1405,9411r,-5xm1405,9091r-1,-5l1401,9077r-3,-4l1391,9066r-4,-3l1377,9060r-4,-1l1363,9059r-5,1l1349,9063r-4,3l1338,9073r-3,4l1331,9086r-1,5l1330,9101r1,5l1335,9115r3,4l1345,9126r4,3l1358,9133r5,1l1373,9134r4,-1l1387,9129r4,-3l1398,9119r3,-4l1404,9106r1,-5l1405,9096r,-5xm1405,8776r-1,-5l1401,8762r-3,-4l1391,8751r-4,-3l1377,8744r-4,-1l1363,8743r-5,1l1349,8748r-4,3l1338,8758r-3,4l1331,8771r-1,5l1330,8786r1,5l1335,8800r3,4l1345,8811r4,3l1358,8817r5,1l1373,8818r4,-1l1387,8814r4,-3l1398,8804r3,-4l1404,8791r1,-5l1405,8781r,-5xm1405,8461r-1,-5l1401,8447r-3,-4l1391,8436r-4,-3l1377,8429r-4,-1l1363,8428r-5,1l1349,8433r-4,3l1338,8443r-3,4l1331,8456r-1,5l1330,8471r1,4l1335,8485r3,4l1345,8496r4,2l1358,8502r5,1l1373,8503r4,-1l1387,8498r4,-2l1398,8489r3,-4l1404,8475r1,-4l1405,8466r,-5xm1405,8145r-1,-4l1401,8131r-3,-4l1391,8120r-4,-2l1377,8114r-4,-1l1363,8113r-5,1l1349,8118r-4,2l1338,8127r-3,4l1331,8141r-1,4l1330,8155r1,5l1335,8169r3,4l1345,8180r4,3l1358,8187r5,1l1373,8188r4,-1l1387,8183r4,-3l1398,8173r3,-4l1404,8160r1,-5l1405,8150r,-5xm1405,7830r-1,-5l1401,7816r-3,-4l1391,7805r-4,-3l1377,7798r-4,l1363,7798r-5,l1349,7802r-4,3l1338,7812r-3,4l1331,7825r-1,5l1330,7840r1,5l1335,7854r3,4l1345,7865r4,3l1358,7872r5,1l1373,7873r4,-1l1387,7868r4,-3l1398,7858r3,-4l1404,7845r1,-5l1405,7835r,-5xm1405,3100r-1,-5l1401,3086r-3,-4l1391,3075r-4,-3l1377,3068r-4,-1l1363,3067r-5,1l1349,3072r-4,3l1338,3082r-3,4l1331,3095r-1,5l1330,3110r1,5l1335,3124r3,4l1345,3135r4,3l1358,3141r5,1l1373,3142r4,-1l1387,3138r4,-3l1398,3128r3,-4l1404,3115r1,-5l1405,3105r,-5xm1405,2469r-1,-5l1401,2455r-3,-4l1391,2444r-4,-3l1377,2438r-4,-1l1363,2437r-5,1l1349,2441r-4,3l1338,2451r-3,4l1331,2464r-1,5l1330,2479r1,5l1335,2493r3,4l1345,2504r4,3l1358,2511r5,1l1373,2512r4,-1l1387,2507r4,-3l1398,2497r3,-4l1404,2484r1,-5l1405,2474r,-5xe" fillcolor="black" stroked="f">
              <v:stroke joinstyle="round"/>
              <v:formulas/>
              <v:path arrowok="t" o:connecttype="segments"/>
            </v:shape>
            <v:rect id="docshape9" o:spid="_x0000_s1027" style="position:absolute;top:15202;width:11904;height:1201" fillcolor="#d9d9d9" stroked="f"/>
            <w10:wrap anchorx="page" anchory="page"/>
          </v:group>
        </w:pict>
      </w:r>
      <w:r>
        <w:rPr>
          <w:b/>
        </w:rPr>
        <w:t>What</w:t>
      </w:r>
      <w:r>
        <w:rPr>
          <w:b/>
          <w:spacing w:val="18"/>
        </w:rPr>
        <w:t xml:space="preserve"> </w:t>
      </w:r>
      <w:r>
        <w:rPr>
          <w:b/>
        </w:rPr>
        <w:t>is</w:t>
      </w:r>
      <w:r>
        <w:rPr>
          <w:b/>
          <w:spacing w:val="18"/>
        </w:rPr>
        <w:t xml:space="preserve"> </w:t>
      </w:r>
      <w:r>
        <w:rPr>
          <w:b/>
        </w:rPr>
        <w:t>a</w:t>
      </w:r>
      <w:r>
        <w:rPr>
          <w:b/>
          <w:spacing w:val="18"/>
        </w:rPr>
        <w:t xml:space="preserve"> </w:t>
      </w:r>
      <w:r>
        <w:rPr>
          <w:b/>
        </w:rPr>
        <w:t>public</w:t>
      </w:r>
      <w:r>
        <w:rPr>
          <w:b/>
          <w:spacing w:val="18"/>
        </w:rPr>
        <w:t xml:space="preserve"> </w:t>
      </w:r>
      <w:r>
        <w:rPr>
          <w:b/>
          <w:spacing w:val="-2"/>
        </w:rPr>
        <w:t>entity?</w:t>
      </w:r>
    </w:p>
    <w:p w14:paraId="461FA353" w14:textId="77777777" w:rsidR="00401B52" w:rsidRDefault="00A01065" w:rsidP="00A01065">
      <w:pPr>
        <w:pStyle w:val="BodyText"/>
        <w:spacing w:line="297" w:lineRule="exact"/>
        <w:ind w:left="835"/>
      </w:pPr>
      <w:r>
        <w:t>Public</w:t>
      </w:r>
      <w:r>
        <w:rPr>
          <w:spacing w:val="-4"/>
        </w:rPr>
        <w:t xml:space="preserve"> </w:t>
      </w:r>
      <w:r>
        <w:t>entities</w:t>
      </w:r>
      <w:r>
        <w:rPr>
          <w:spacing w:val="-2"/>
        </w:rPr>
        <w:t xml:space="preserve"> </w:t>
      </w:r>
      <w:r>
        <w:t>are</w:t>
      </w:r>
      <w:r>
        <w:rPr>
          <w:spacing w:val="-2"/>
        </w:rPr>
        <w:t xml:space="preserve"> </w:t>
      </w:r>
      <w:r>
        <w:t>defined</w:t>
      </w:r>
      <w:r>
        <w:rPr>
          <w:spacing w:val="-2"/>
        </w:rPr>
        <w:t xml:space="preserve"> </w:t>
      </w:r>
      <w:r>
        <w:t>by</w:t>
      </w:r>
      <w:r>
        <w:rPr>
          <w:spacing w:val="-2"/>
        </w:rPr>
        <w:t xml:space="preserve"> </w:t>
      </w:r>
      <w:r>
        <w:t>the</w:t>
      </w:r>
      <w:r>
        <w:rPr>
          <w:spacing w:val="-2"/>
        </w:rPr>
        <w:t xml:space="preserve"> </w:t>
      </w:r>
      <w:r>
        <w:t>HRA</w:t>
      </w:r>
      <w:r>
        <w:rPr>
          <w:spacing w:val="-2"/>
        </w:rPr>
        <w:t xml:space="preserve"> </w:t>
      </w:r>
      <w:r>
        <w:t>to</w:t>
      </w:r>
      <w:r>
        <w:rPr>
          <w:spacing w:val="-2"/>
        </w:rPr>
        <w:t xml:space="preserve"> include:</w:t>
      </w:r>
    </w:p>
    <w:p w14:paraId="46C98E54" w14:textId="77777777" w:rsidR="00401B52" w:rsidRDefault="00401B52" w:rsidP="00A01065">
      <w:pPr>
        <w:pStyle w:val="BodyText"/>
        <w:spacing w:before="13"/>
        <w:rPr>
          <w:sz w:val="15"/>
        </w:rPr>
      </w:pPr>
    </w:p>
    <w:p w14:paraId="3D660AED" w14:textId="77777777" w:rsidR="00401B52" w:rsidRDefault="00A01065" w:rsidP="00A01065">
      <w:pPr>
        <w:pStyle w:val="BodyText"/>
        <w:spacing w:before="100"/>
        <w:ind w:left="1226"/>
      </w:pPr>
      <w:r>
        <w:t>core</w:t>
      </w:r>
      <w:r>
        <w:rPr>
          <w:spacing w:val="-6"/>
        </w:rPr>
        <w:t xml:space="preserve"> </w:t>
      </w:r>
      <w:r>
        <w:t>public</w:t>
      </w:r>
      <w:r>
        <w:rPr>
          <w:spacing w:val="-4"/>
        </w:rPr>
        <w:t xml:space="preserve"> </w:t>
      </w:r>
      <w:r>
        <w:t>entities,</w:t>
      </w:r>
      <w:r>
        <w:rPr>
          <w:spacing w:val="-4"/>
        </w:rPr>
        <w:t xml:space="preserve"> </w:t>
      </w:r>
      <w:r>
        <w:t>such</w:t>
      </w:r>
      <w:r>
        <w:rPr>
          <w:spacing w:val="-4"/>
        </w:rPr>
        <w:t xml:space="preserve"> </w:t>
      </w:r>
      <w:r>
        <w:t>as</w:t>
      </w:r>
      <w:r>
        <w:rPr>
          <w:spacing w:val="-4"/>
        </w:rPr>
        <w:t xml:space="preserve"> </w:t>
      </w:r>
      <w:r>
        <w:t>state</w:t>
      </w:r>
      <w:r>
        <w:rPr>
          <w:spacing w:val="-4"/>
        </w:rPr>
        <w:t xml:space="preserve"> </w:t>
      </w:r>
      <w:r>
        <w:t>government</w:t>
      </w:r>
      <w:r>
        <w:rPr>
          <w:spacing w:val="-4"/>
        </w:rPr>
        <w:t xml:space="preserve"> </w:t>
      </w:r>
      <w:r>
        <w:t>departments</w:t>
      </w:r>
      <w:r>
        <w:rPr>
          <w:spacing w:val="-4"/>
        </w:rPr>
        <w:t xml:space="preserve"> </w:t>
      </w:r>
      <w:r>
        <w:t>and</w:t>
      </w:r>
      <w:r>
        <w:rPr>
          <w:spacing w:val="-4"/>
        </w:rPr>
        <w:t xml:space="preserve"> </w:t>
      </w:r>
      <w:r>
        <w:t>statutory</w:t>
      </w:r>
      <w:r>
        <w:rPr>
          <w:spacing w:val="-4"/>
        </w:rPr>
        <w:t xml:space="preserve"> </w:t>
      </w:r>
      <w:r>
        <w:rPr>
          <w:spacing w:val="-2"/>
        </w:rPr>
        <w:t>authorities.</w:t>
      </w:r>
    </w:p>
    <w:p w14:paraId="0EBDFAD8" w14:textId="77777777" w:rsidR="00401B52" w:rsidRDefault="00A01065" w:rsidP="00A01065">
      <w:pPr>
        <w:pStyle w:val="BodyText"/>
        <w:spacing w:before="2"/>
        <w:ind w:left="1226"/>
      </w:pPr>
      <w:r>
        <w:t>They</w:t>
      </w:r>
      <w:r>
        <w:rPr>
          <w:spacing w:val="-5"/>
        </w:rPr>
        <w:t xml:space="preserve"> </w:t>
      </w:r>
      <w:r>
        <w:t>are</w:t>
      </w:r>
      <w:r>
        <w:rPr>
          <w:spacing w:val="-2"/>
        </w:rPr>
        <w:t xml:space="preserve"> </w:t>
      </w:r>
      <w:r>
        <w:t>public</w:t>
      </w:r>
      <w:r>
        <w:rPr>
          <w:spacing w:val="-2"/>
        </w:rPr>
        <w:t xml:space="preserve"> </w:t>
      </w:r>
      <w:r>
        <w:t>entities</w:t>
      </w:r>
      <w:r>
        <w:rPr>
          <w:spacing w:val="-2"/>
        </w:rPr>
        <w:t xml:space="preserve"> </w:t>
      </w:r>
      <w:r>
        <w:t>all</w:t>
      </w:r>
      <w:r>
        <w:rPr>
          <w:spacing w:val="-2"/>
        </w:rPr>
        <w:t xml:space="preserve"> </w:t>
      </w:r>
      <w:r>
        <w:t>the</w:t>
      </w:r>
      <w:r>
        <w:rPr>
          <w:spacing w:val="-2"/>
        </w:rPr>
        <w:t xml:space="preserve"> </w:t>
      </w:r>
      <w:r>
        <w:t>time;</w:t>
      </w:r>
      <w:r>
        <w:rPr>
          <w:spacing w:val="-2"/>
        </w:rPr>
        <w:t xml:space="preserve"> </w:t>
      </w:r>
      <w:r>
        <w:rPr>
          <w:spacing w:val="-5"/>
        </w:rPr>
        <w:t>and</w:t>
      </w:r>
    </w:p>
    <w:p w14:paraId="294CF4A8" w14:textId="77777777" w:rsidR="00401B52" w:rsidRDefault="00A01065" w:rsidP="00A01065">
      <w:pPr>
        <w:pStyle w:val="BodyText"/>
        <w:spacing w:before="2" w:line="242" w:lineRule="auto"/>
        <w:ind w:left="1226" w:right="821"/>
      </w:pPr>
      <w:r>
        <w:t>functional public entities providing services to the public on behalf of the state government, which includes tribunals acting in an administrative capaci</w:t>
      </w:r>
      <w:r>
        <w:t>ty. They are only public entities when they are performing a function of a public nature (</w:t>
      </w:r>
      <w:proofErr w:type="gramStart"/>
      <w:r>
        <w:t>i.e.</w:t>
      </w:r>
      <w:proofErr w:type="gramEnd"/>
      <w:r>
        <w:t xml:space="preserve"> a function that is carried out in connection with a government responsibility).</w:t>
      </w:r>
    </w:p>
    <w:p w14:paraId="08528FC0" w14:textId="77777777" w:rsidR="00401B52" w:rsidRDefault="00A01065" w:rsidP="00A01065">
      <w:pPr>
        <w:pStyle w:val="Heading2"/>
        <w:spacing w:before="220"/>
        <w:rPr>
          <w:b/>
        </w:rPr>
      </w:pPr>
      <w:r>
        <w:rPr>
          <w:b/>
        </w:rPr>
        <w:t>Can</w:t>
      </w:r>
      <w:r>
        <w:rPr>
          <w:b/>
          <w:spacing w:val="18"/>
        </w:rPr>
        <w:t xml:space="preserve"> </w:t>
      </w:r>
      <w:r>
        <w:rPr>
          <w:b/>
        </w:rPr>
        <w:t>my</w:t>
      </w:r>
      <w:r>
        <w:rPr>
          <w:b/>
          <w:spacing w:val="18"/>
        </w:rPr>
        <w:t xml:space="preserve"> </w:t>
      </w:r>
      <w:r>
        <w:rPr>
          <w:b/>
        </w:rPr>
        <w:t>human</w:t>
      </w:r>
      <w:r>
        <w:rPr>
          <w:b/>
          <w:spacing w:val="19"/>
        </w:rPr>
        <w:t xml:space="preserve"> </w:t>
      </w:r>
      <w:r>
        <w:rPr>
          <w:b/>
        </w:rPr>
        <w:t>rights</w:t>
      </w:r>
      <w:r>
        <w:rPr>
          <w:b/>
          <w:spacing w:val="18"/>
        </w:rPr>
        <w:t xml:space="preserve"> </w:t>
      </w:r>
      <w:r>
        <w:rPr>
          <w:b/>
        </w:rPr>
        <w:t>be</w:t>
      </w:r>
      <w:r>
        <w:rPr>
          <w:b/>
          <w:spacing w:val="19"/>
        </w:rPr>
        <w:t xml:space="preserve"> </w:t>
      </w:r>
      <w:r>
        <w:rPr>
          <w:b/>
          <w:spacing w:val="-2"/>
        </w:rPr>
        <w:t>limited?</w:t>
      </w:r>
    </w:p>
    <w:p w14:paraId="62616D7F" w14:textId="77777777" w:rsidR="00401B52" w:rsidRDefault="00A01065" w:rsidP="00A01065">
      <w:pPr>
        <w:pStyle w:val="BodyText"/>
        <w:spacing w:line="297" w:lineRule="exact"/>
        <w:ind w:left="835"/>
      </w:pPr>
      <w:r>
        <w:t>The</w:t>
      </w:r>
      <w:r>
        <w:rPr>
          <w:spacing w:val="69"/>
        </w:rPr>
        <w:t xml:space="preserve"> </w:t>
      </w:r>
      <w:r>
        <w:t>HRA</w:t>
      </w:r>
      <w:r>
        <w:rPr>
          <w:spacing w:val="72"/>
        </w:rPr>
        <w:t xml:space="preserve"> </w:t>
      </w:r>
      <w:r>
        <w:t>allows</w:t>
      </w:r>
      <w:r>
        <w:rPr>
          <w:spacing w:val="71"/>
        </w:rPr>
        <w:t xml:space="preserve"> </w:t>
      </w:r>
      <w:r>
        <w:t>for</w:t>
      </w:r>
      <w:r>
        <w:rPr>
          <w:spacing w:val="72"/>
        </w:rPr>
        <w:t xml:space="preserve"> </w:t>
      </w:r>
      <w:r>
        <w:t>human</w:t>
      </w:r>
      <w:r>
        <w:rPr>
          <w:spacing w:val="71"/>
        </w:rPr>
        <w:t xml:space="preserve"> </w:t>
      </w:r>
      <w:r>
        <w:t>rights</w:t>
      </w:r>
      <w:r>
        <w:rPr>
          <w:spacing w:val="72"/>
        </w:rPr>
        <w:t xml:space="preserve"> </w:t>
      </w:r>
      <w:r>
        <w:t>to</w:t>
      </w:r>
      <w:r>
        <w:rPr>
          <w:spacing w:val="72"/>
        </w:rPr>
        <w:t xml:space="preserve"> </w:t>
      </w:r>
      <w:r>
        <w:t>be</w:t>
      </w:r>
      <w:r>
        <w:rPr>
          <w:spacing w:val="71"/>
        </w:rPr>
        <w:t xml:space="preserve"> </w:t>
      </w:r>
      <w:r>
        <w:t>subject</w:t>
      </w:r>
      <w:r>
        <w:rPr>
          <w:spacing w:val="72"/>
        </w:rPr>
        <w:t xml:space="preserve"> </w:t>
      </w:r>
      <w:r>
        <w:t>to</w:t>
      </w:r>
      <w:r>
        <w:rPr>
          <w:spacing w:val="71"/>
        </w:rPr>
        <w:t xml:space="preserve"> </w:t>
      </w:r>
      <w:r>
        <w:t>“reasonable</w:t>
      </w:r>
      <w:r>
        <w:rPr>
          <w:spacing w:val="72"/>
        </w:rPr>
        <w:t xml:space="preserve"> </w:t>
      </w:r>
      <w:r>
        <w:t>limits</w:t>
      </w:r>
      <w:r>
        <w:rPr>
          <w:spacing w:val="71"/>
        </w:rPr>
        <w:t xml:space="preserve"> </w:t>
      </w:r>
      <w:r>
        <w:t>that</w:t>
      </w:r>
      <w:r>
        <w:rPr>
          <w:spacing w:val="72"/>
        </w:rPr>
        <w:t xml:space="preserve"> </w:t>
      </w:r>
      <w:r>
        <w:t>can</w:t>
      </w:r>
      <w:r>
        <w:rPr>
          <w:spacing w:val="72"/>
        </w:rPr>
        <w:t xml:space="preserve"> </w:t>
      </w:r>
      <w:r>
        <w:rPr>
          <w:spacing w:val="-5"/>
        </w:rPr>
        <w:t>be</w:t>
      </w:r>
    </w:p>
    <w:p w14:paraId="4EB29C8B" w14:textId="77777777" w:rsidR="00401B52" w:rsidRDefault="00A01065" w:rsidP="00A01065">
      <w:pPr>
        <w:pStyle w:val="BodyText"/>
        <w:spacing w:before="2" w:line="242" w:lineRule="auto"/>
        <w:ind w:left="835" w:right="833"/>
      </w:pPr>
      <w:r>
        <w:t>demonstrably justified”. This balancing of limitations against human rights is known as the proportionality test.</w:t>
      </w:r>
    </w:p>
    <w:p w14:paraId="352C608E" w14:textId="77777777" w:rsidR="00401B52" w:rsidRDefault="00A01065" w:rsidP="00A01065">
      <w:pPr>
        <w:pStyle w:val="BodyText"/>
        <w:spacing w:before="147" w:line="242" w:lineRule="auto"/>
        <w:ind w:left="835" w:right="828"/>
      </w:pPr>
      <w:r>
        <w:t>In determining if a limitation is reasonable, a court or tribunal will consider all relevant factors. Reasonabl</w:t>
      </w:r>
      <w:r>
        <w:t>e grounds for limiting human rights can include protecting the life, health and safety or a person.</w:t>
      </w:r>
    </w:p>
    <w:p w14:paraId="0280FC2F" w14:textId="77777777" w:rsidR="00401B52" w:rsidRDefault="00A01065" w:rsidP="00A01065">
      <w:pPr>
        <w:pStyle w:val="BodyText"/>
        <w:spacing w:before="144"/>
        <w:ind w:left="835"/>
      </w:pPr>
      <w:r>
        <w:t>In</w:t>
      </w:r>
      <w:r>
        <w:rPr>
          <w:spacing w:val="-5"/>
        </w:rPr>
        <w:t xml:space="preserve"> </w:t>
      </w:r>
      <w:r>
        <w:t>deciding</w:t>
      </w:r>
      <w:r>
        <w:rPr>
          <w:spacing w:val="-2"/>
        </w:rPr>
        <w:t xml:space="preserve"> </w:t>
      </w:r>
      <w:r>
        <w:t>if</w:t>
      </w:r>
      <w:r>
        <w:rPr>
          <w:spacing w:val="-2"/>
        </w:rPr>
        <w:t xml:space="preserve"> </w:t>
      </w:r>
      <w:r>
        <w:t>a</w:t>
      </w:r>
      <w:r>
        <w:rPr>
          <w:spacing w:val="-3"/>
        </w:rPr>
        <w:t xml:space="preserve"> </w:t>
      </w:r>
      <w:r>
        <w:t>limitation</w:t>
      </w:r>
      <w:r>
        <w:rPr>
          <w:spacing w:val="-2"/>
        </w:rPr>
        <w:t xml:space="preserve"> </w:t>
      </w:r>
      <w:r>
        <w:t>is</w:t>
      </w:r>
      <w:r>
        <w:rPr>
          <w:spacing w:val="-2"/>
        </w:rPr>
        <w:t xml:space="preserve"> </w:t>
      </w:r>
      <w:r>
        <w:t>reasonable,</w:t>
      </w:r>
      <w:r>
        <w:rPr>
          <w:spacing w:val="-3"/>
        </w:rPr>
        <w:t xml:space="preserve"> </w:t>
      </w:r>
      <w:r>
        <w:t>the</w:t>
      </w:r>
      <w:r>
        <w:rPr>
          <w:spacing w:val="-2"/>
        </w:rPr>
        <w:t xml:space="preserve"> </w:t>
      </w:r>
      <w:r>
        <w:t>following</w:t>
      </w:r>
      <w:r>
        <w:rPr>
          <w:spacing w:val="-2"/>
        </w:rPr>
        <w:t xml:space="preserve"> </w:t>
      </w:r>
      <w:r>
        <w:t>matters</w:t>
      </w:r>
      <w:r>
        <w:rPr>
          <w:spacing w:val="-3"/>
        </w:rPr>
        <w:t xml:space="preserve"> </w:t>
      </w:r>
      <w:r>
        <w:t>will</w:t>
      </w:r>
      <w:r>
        <w:rPr>
          <w:spacing w:val="-2"/>
        </w:rPr>
        <w:t xml:space="preserve"> </w:t>
      </w:r>
      <w:r>
        <w:t>be</w:t>
      </w:r>
      <w:r>
        <w:rPr>
          <w:spacing w:val="-2"/>
        </w:rPr>
        <w:t xml:space="preserve"> considered:</w:t>
      </w:r>
    </w:p>
    <w:p w14:paraId="29574D53" w14:textId="77777777" w:rsidR="00401B52" w:rsidRDefault="00401B52" w:rsidP="00A01065">
      <w:pPr>
        <w:pStyle w:val="BodyText"/>
        <w:rPr>
          <w:sz w:val="16"/>
        </w:rPr>
      </w:pPr>
    </w:p>
    <w:p w14:paraId="153E301D" w14:textId="77777777" w:rsidR="00401B52" w:rsidRDefault="00A01065" w:rsidP="00A01065">
      <w:pPr>
        <w:pStyle w:val="BodyText"/>
        <w:spacing w:before="100"/>
        <w:ind w:left="1226"/>
      </w:pPr>
      <w:r>
        <w:t>Is</w:t>
      </w:r>
      <w:r>
        <w:rPr>
          <w:spacing w:val="-2"/>
        </w:rPr>
        <w:t xml:space="preserve"> </w:t>
      </w:r>
      <w:r>
        <w:t>the</w:t>
      </w:r>
      <w:r>
        <w:rPr>
          <w:spacing w:val="-1"/>
        </w:rPr>
        <w:t xml:space="preserve"> </w:t>
      </w:r>
      <w:r>
        <w:t>limitation</w:t>
      </w:r>
      <w:r>
        <w:rPr>
          <w:spacing w:val="-1"/>
        </w:rPr>
        <w:t xml:space="preserve"> </w:t>
      </w:r>
      <w:r>
        <w:rPr>
          <w:spacing w:val="-2"/>
        </w:rPr>
        <w:t>necessary?</w:t>
      </w:r>
    </w:p>
    <w:p w14:paraId="0DC8938B" w14:textId="77777777" w:rsidR="00401B52" w:rsidRDefault="00A01065" w:rsidP="00A01065">
      <w:pPr>
        <w:pStyle w:val="BodyText"/>
        <w:spacing w:before="2"/>
        <w:ind w:left="1226"/>
      </w:pPr>
      <w:r>
        <w:t>Is</w:t>
      </w:r>
      <w:r>
        <w:rPr>
          <w:spacing w:val="-2"/>
        </w:rPr>
        <w:t xml:space="preserve"> </w:t>
      </w:r>
      <w:r>
        <w:t>the</w:t>
      </w:r>
      <w:r>
        <w:rPr>
          <w:spacing w:val="-1"/>
        </w:rPr>
        <w:t xml:space="preserve"> </w:t>
      </w:r>
      <w:r>
        <w:t>limitation</w:t>
      </w:r>
      <w:r>
        <w:rPr>
          <w:spacing w:val="-1"/>
        </w:rPr>
        <w:t xml:space="preserve"> </w:t>
      </w:r>
      <w:r>
        <w:rPr>
          <w:spacing w:val="-2"/>
        </w:rPr>
        <w:t>proportionate?</w:t>
      </w:r>
    </w:p>
    <w:p w14:paraId="62D0E827" w14:textId="77777777" w:rsidR="00401B52" w:rsidRDefault="00A01065" w:rsidP="00A01065">
      <w:pPr>
        <w:pStyle w:val="BodyText"/>
        <w:spacing w:before="2" w:line="242" w:lineRule="auto"/>
        <w:ind w:left="1226" w:right="1644"/>
      </w:pPr>
      <w:r>
        <w:t>Does</w:t>
      </w:r>
      <w:r>
        <w:rPr>
          <w:spacing w:val="-4"/>
        </w:rPr>
        <w:t xml:space="preserve"> </w:t>
      </w:r>
      <w:r>
        <w:t>the</w:t>
      </w:r>
      <w:r>
        <w:rPr>
          <w:spacing w:val="-4"/>
        </w:rPr>
        <w:t xml:space="preserve"> </w:t>
      </w:r>
      <w:r>
        <w:t>limitation</w:t>
      </w:r>
      <w:r>
        <w:rPr>
          <w:spacing w:val="-4"/>
        </w:rPr>
        <w:t xml:space="preserve"> </w:t>
      </w:r>
      <w:r>
        <w:t>comply</w:t>
      </w:r>
      <w:r>
        <w:rPr>
          <w:spacing w:val="-4"/>
        </w:rPr>
        <w:t xml:space="preserve"> </w:t>
      </w:r>
      <w:r>
        <w:t>with</w:t>
      </w:r>
      <w:r>
        <w:rPr>
          <w:spacing w:val="-4"/>
        </w:rPr>
        <w:t xml:space="preserve"> </w:t>
      </w:r>
      <w:r>
        <w:t>existing</w:t>
      </w:r>
      <w:r>
        <w:rPr>
          <w:spacing w:val="-4"/>
        </w:rPr>
        <w:t xml:space="preserve"> </w:t>
      </w:r>
      <w:r>
        <w:t>laws</w:t>
      </w:r>
      <w:r>
        <w:rPr>
          <w:spacing w:val="-4"/>
        </w:rPr>
        <w:t xml:space="preserve"> </w:t>
      </w:r>
      <w:r>
        <w:t>(including</w:t>
      </w:r>
      <w:r>
        <w:rPr>
          <w:spacing w:val="-4"/>
        </w:rPr>
        <w:t xml:space="preserve"> </w:t>
      </w:r>
      <w:r>
        <w:t>discrimination</w:t>
      </w:r>
      <w:r>
        <w:rPr>
          <w:spacing w:val="-4"/>
        </w:rPr>
        <w:t xml:space="preserve"> </w:t>
      </w:r>
      <w:r>
        <w:t>laws)? Is the limitation transparent?</w:t>
      </w:r>
    </w:p>
    <w:p w14:paraId="036703E7" w14:textId="77777777" w:rsidR="00401B52" w:rsidRDefault="00A01065" w:rsidP="00A01065">
      <w:pPr>
        <w:pStyle w:val="BodyText"/>
        <w:spacing w:line="311" w:lineRule="exact"/>
        <w:ind w:left="1226"/>
      </w:pPr>
      <w:r>
        <w:t>Is</w:t>
      </w:r>
      <w:r>
        <w:rPr>
          <w:spacing w:val="-2"/>
        </w:rPr>
        <w:t xml:space="preserve"> </w:t>
      </w:r>
      <w:r>
        <w:t>the</w:t>
      </w:r>
      <w:r>
        <w:rPr>
          <w:spacing w:val="-1"/>
        </w:rPr>
        <w:t xml:space="preserve"> </w:t>
      </w:r>
      <w:r>
        <w:t>limitation</w:t>
      </w:r>
      <w:r>
        <w:rPr>
          <w:spacing w:val="-2"/>
        </w:rPr>
        <w:t xml:space="preserve"> </w:t>
      </w:r>
      <w:r>
        <w:t>open</w:t>
      </w:r>
      <w:r>
        <w:rPr>
          <w:spacing w:val="-1"/>
        </w:rPr>
        <w:t xml:space="preserve"> </w:t>
      </w:r>
      <w:r>
        <w:t>to</w:t>
      </w:r>
      <w:r>
        <w:rPr>
          <w:spacing w:val="-1"/>
        </w:rPr>
        <w:t xml:space="preserve"> </w:t>
      </w:r>
      <w:r>
        <w:rPr>
          <w:spacing w:val="-2"/>
        </w:rPr>
        <w:t>scrutiny?</w:t>
      </w:r>
    </w:p>
    <w:p w14:paraId="220D5F54" w14:textId="77777777" w:rsidR="00401B52" w:rsidRDefault="00A01065" w:rsidP="00A01065">
      <w:pPr>
        <w:pStyle w:val="BodyText"/>
        <w:spacing w:before="2" w:line="242" w:lineRule="auto"/>
        <w:ind w:left="1226" w:right="641"/>
      </w:pPr>
      <w:r>
        <w:t>Does</w:t>
      </w:r>
      <w:r>
        <w:rPr>
          <w:spacing w:val="40"/>
        </w:rPr>
        <w:t xml:space="preserve"> </w:t>
      </w:r>
      <w:r>
        <w:t>the</w:t>
      </w:r>
      <w:r>
        <w:rPr>
          <w:spacing w:val="40"/>
        </w:rPr>
        <w:t xml:space="preserve"> </w:t>
      </w:r>
      <w:r>
        <w:t>limitation</w:t>
      </w:r>
      <w:r>
        <w:rPr>
          <w:spacing w:val="40"/>
        </w:rPr>
        <w:t xml:space="preserve"> </w:t>
      </w:r>
      <w:r>
        <w:t>protect</w:t>
      </w:r>
      <w:r>
        <w:rPr>
          <w:spacing w:val="40"/>
        </w:rPr>
        <w:t xml:space="preserve"> </w:t>
      </w:r>
      <w:r>
        <w:t>the</w:t>
      </w:r>
      <w:r>
        <w:rPr>
          <w:spacing w:val="40"/>
        </w:rPr>
        <w:t xml:space="preserve"> </w:t>
      </w:r>
      <w:r>
        <w:t>human</w:t>
      </w:r>
      <w:r>
        <w:rPr>
          <w:spacing w:val="40"/>
        </w:rPr>
        <w:t xml:space="preserve"> </w:t>
      </w:r>
      <w:r>
        <w:t>worth</w:t>
      </w:r>
      <w:r>
        <w:rPr>
          <w:spacing w:val="40"/>
        </w:rPr>
        <w:t xml:space="preserve"> </w:t>
      </w:r>
      <w:r>
        <w:t>and</w:t>
      </w:r>
      <w:r>
        <w:rPr>
          <w:spacing w:val="40"/>
        </w:rPr>
        <w:t xml:space="preserve"> </w:t>
      </w:r>
      <w:r>
        <w:t>dignity</w:t>
      </w:r>
      <w:r>
        <w:rPr>
          <w:spacing w:val="40"/>
        </w:rPr>
        <w:t xml:space="preserve"> </w:t>
      </w:r>
      <w:r>
        <w:t>of</w:t>
      </w:r>
      <w:r>
        <w:rPr>
          <w:spacing w:val="40"/>
        </w:rPr>
        <w:t xml:space="preserve"> </w:t>
      </w:r>
      <w:r>
        <w:t>the</w:t>
      </w:r>
      <w:r>
        <w:rPr>
          <w:spacing w:val="40"/>
        </w:rPr>
        <w:t xml:space="preserve"> </w:t>
      </w:r>
      <w:r>
        <w:t>most</w:t>
      </w:r>
      <w:r>
        <w:rPr>
          <w:spacing w:val="40"/>
        </w:rPr>
        <w:t xml:space="preserve"> </w:t>
      </w:r>
      <w:r>
        <w:t>vulnerable people in our community?</w:t>
      </w:r>
    </w:p>
    <w:p w14:paraId="760EEC02" w14:textId="77777777" w:rsidR="00401B52" w:rsidRDefault="00A01065" w:rsidP="00A01065">
      <w:pPr>
        <w:pStyle w:val="Heading2"/>
        <w:spacing w:before="222"/>
        <w:rPr>
          <w:b/>
        </w:rPr>
      </w:pPr>
      <w:r>
        <w:rPr>
          <w:b/>
        </w:rPr>
        <w:t>What</w:t>
      </w:r>
      <w:r>
        <w:rPr>
          <w:b/>
          <w:spacing w:val="18"/>
        </w:rPr>
        <w:t xml:space="preserve"> </w:t>
      </w:r>
      <w:r>
        <w:rPr>
          <w:b/>
        </w:rPr>
        <w:t>can</w:t>
      </w:r>
      <w:r>
        <w:rPr>
          <w:b/>
          <w:spacing w:val="19"/>
        </w:rPr>
        <w:t xml:space="preserve"> </w:t>
      </w:r>
      <w:r>
        <w:rPr>
          <w:b/>
        </w:rPr>
        <w:t>be</w:t>
      </w:r>
      <w:r>
        <w:rPr>
          <w:b/>
          <w:spacing w:val="18"/>
        </w:rPr>
        <w:t xml:space="preserve"> </w:t>
      </w:r>
      <w:r>
        <w:rPr>
          <w:b/>
        </w:rPr>
        <w:t>achieved</w:t>
      </w:r>
      <w:r>
        <w:rPr>
          <w:b/>
          <w:spacing w:val="19"/>
        </w:rPr>
        <w:t xml:space="preserve"> </w:t>
      </w:r>
      <w:r>
        <w:rPr>
          <w:b/>
        </w:rPr>
        <w:t>by</w:t>
      </w:r>
      <w:r>
        <w:rPr>
          <w:b/>
          <w:spacing w:val="19"/>
        </w:rPr>
        <w:t xml:space="preserve"> </w:t>
      </w:r>
      <w:r>
        <w:rPr>
          <w:b/>
        </w:rPr>
        <w:t>making</w:t>
      </w:r>
      <w:r>
        <w:rPr>
          <w:b/>
          <w:spacing w:val="18"/>
        </w:rPr>
        <w:t xml:space="preserve"> </w:t>
      </w:r>
      <w:r>
        <w:rPr>
          <w:b/>
        </w:rPr>
        <w:t>a</w:t>
      </w:r>
      <w:r>
        <w:rPr>
          <w:b/>
          <w:spacing w:val="19"/>
        </w:rPr>
        <w:t xml:space="preserve"> </w:t>
      </w:r>
      <w:r>
        <w:rPr>
          <w:b/>
        </w:rPr>
        <w:t>human</w:t>
      </w:r>
      <w:r>
        <w:rPr>
          <w:b/>
          <w:spacing w:val="19"/>
        </w:rPr>
        <w:t xml:space="preserve"> </w:t>
      </w:r>
      <w:r>
        <w:rPr>
          <w:b/>
        </w:rPr>
        <w:t>rights</w:t>
      </w:r>
      <w:r>
        <w:rPr>
          <w:b/>
          <w:spacing w:val="18"/>
        </w:rPr>
        <w:t xml:space="preserve"> </w:t>
      </w:r>
      <w:r>
        <w:rPr>
          <w:b/>
          <w:spacing w:val="-2"/>
        </w:rPr>
        <w:t>complaint?</w:t>
      </w:r>
    </w:p>
    <w:p w14:paraId="35810868" w14:textId="77777777" w:rsidR="00401B52" w:rsidRDefault="00A01065" w:rsidP="00A01065">
      <w:pPr>
        <w:pStyle w:val="BodyText"/>
        <w:spacing w:line="297" w:lineRule="exact"/>
        <w:ind w:left="828"/>
      </w:pPr>
      <w:r>
        <w:t>Making</w:t>
      </w:r>
      <w:r>
        <w:rPr>
          <w:spacing w:val="19"/>
        </w:rPr>
        <w:t xml:space="preserve"> </w:t>
      </w:r>
      <w:r>
        <w:t>a</w:t>
      </w:r>
      <w:r>
        <w:rPr>
          <w:spacing w:val="22"/>
        </w:rPr>
        <w:t xml:space="preserve"> </w:t>
      </w:r>
      <w:r>
        <w:t>human</w:t>
      </w:r>
      <w:r>
        <w:rPr>
          <w:spacing w:val="22"/>
        </w:rPr>
        <w:t xml:space="preserve"> </w:t>
      </w:r>
      <w:r>
        <w:t>rights</w:t>
      </w:r>
      <w:r>
        <w:rPr>
          <w:spacing w:val="22"/>
        </w:rPr>
        <w:t xml:space="preserve"> </w:t>
      </w:r>
      <w:r>
        <w:t>complaint</w:t>
      </w:r>
      <w:r>
        <w:rPr>
          <w:spacing w:val="22"/>
        </w:rPr>
        <w:t xml:space="preserve"> </w:t>
      </w:r>
      <w:r>
        <w:t>can</w:t>
      </w:r>
      <w:r>
        <w:rPr>
          <w:spacing w:val="22"/>
        </w:rPr>
        <w:t xml:space="preserve"> </w:t>
      </w:r>
      <w:r>
        <w:t>prompt</w:t>
      </w:r>
      <w:r>
        <w:rPr>
          <w:spacing w:val="21"/>
        </w:rPr>
        <w:t xml:space="preserve"> </w:t>
      </w:r>
      <w:r>
        <w:t>the</w:t>
      </w:r>
      <w:r>
        <w:rPr>
          <w:spacing w:val="22"/>
        </w:rPr>
        <w:t xml:space="preserve"> </w:t>
      </w:r>
      <w:r>
        <w:t>QHRC</w:t>
      </w:r>
      <w:r>
        <w:rPr>
          <w:spacing w:val="22"/>
        </w:rPr>
        <w:t xml:space="preserve"> </w:t>
      </w:r>
      <w:r>
        <w:t>to</w:t>
      </w:r>
      <w:r>
        <w:rPr>
          <w:spacing w:val="22"/>
        </w:rPr>
        <w:t xml:space="preserve"> </w:t>
      </w:r>
      <w:r>
        <w:t>make</w:t>
      </w:r>
      <w:r>
        <w:rPr>
          <w:spacing w:val="22"/>
        </w:rPr>
        <w:t xml:space="preserve"> </w:t>
      </w:r>
      <w:r>
        <w:t>preliminary</w:t>
      </w:r>
      <w:r>
        <w:rPr>
          <w:spacing w:val="22"/>
        </w:rPr>
        <w:t xml:space="preserve"> </w:t>
      </w:r>
      <w:r>
        <w:rPr>
          <w:spacing w:val="-2"/>
        </w:rPr>
        <w:t>inquiries</w:t>
      </w:r>
    </w:p>
    <w:p w14:paraId="322C450A" w14:textId="77777777" w:rsidR="00401B52" w:rsidRDefault="00A01065" w:rsidP="00A01065">
      <w:pPr>
        <w:pStyle w:val="BodyText"/>
        <w:spacing w:before="2" w:line="242" w:lineRule="auto"/>
        <w:ind w:left="828" w:right="830"/>
      </w:pPr>
      <w:r>
        <w:t>with the public entity about your complaint, which can help to address or resolve</w:t>
      </w:r>
      <w:r>
        <w:t xml:space="preserve"> the matter. If your complaint is accepted, it will go to a confidential conciliation with the public entity where you will be able to discuss your complaint and try to resolve it. If it is resolved, you will enter a settlement agreement, which may include</w:t>
      </w:r>
      <w:r>
        <w:t xml:space="preserve"> any terms as agreed by the parties. Remedies can include a public or private apology or an order to stop or to do a specific thing. If your matter does not resolve at the conciliation conference, the QHRC may publish a report about the complaint, which ca</w:t>
      </w:r>
      <w:r>
        <w:t>n include recommendations that the QHRC considers the public entity should take to ensure its actions are compatible with human rights.</w:t>
      </w:r>
    </w:p>
    <w:p w14:paraId="67616081" w14:textId="77777777" w:rsidR="00401B52" w:rsidRDefault="00401B52" w:rsidP="00A01065">
      <w:pPr>
        <w:pStyle w:val="BodyText"/>
        <w:rPr>
          <w:sz w:val="20"/>
        </w:rPr>
      </w:pPr>
    </w:p>
    <w:p w14:paraId="1DC026D5" w14:textId="77777777" w:rsidR="00401B52" w:rsidRDefault="00401B52" w:rsidP="00A01065">
      <w:pPr>
        <w:pStyle w:val="BodyText"/>
        <w:rPr>
          <w:sz w:val="20"/>
        </w:rPr>
      </w:pPr>
    </w:p>
    <w:p w14:paraId="6F9E776B" w14:textId="77777777" w:rsidR="00401B52" w:rsidRDefault="00401B52" w:rsidP="00A01065">
      <w:pPr>
        <w:pStyle w:val="BodyText"/>
        <w:rPr>
          <w:sz w:val="20"/>
        </w:rPr>
      </w:pPr>
    </w:p>
    <w:p w14:paraId="2D582CFF" w14:textId="77777777" w:rsidR="00401B52" w:rsidRDefault="00401B52" w:rsidP="00A01065">
      <w:pPr>
        <w:pStyle w:val="BodyText"/>
        <w:rPr>
          <w:sz w:val="20"/>
        </w:rPr>
      </w:pPr>
    </w:p>
    <w:p w14:paraId="2AC3067C" w14:textId="77777777" w:rsidR="00401B52" w:rsidRDefault="00401B52" w:rsidP="00A01065">
      <w:pPr>
        <w:pStyle w:val="BodyText"/>
        <w:rPr>
          <w:sz w:val="20"/>
        </w:rPr>
      </w:pPr>
    </w:p>
    <w:p w14:paraId="16DC8057" w14:textId="77777777" w:rsidR="00401B52" w:rsidRDefault="00401B52" w:rsidP="00A01065">
      <w:pPr>
        <w:pStyle w:val="BodyText"/>
        <w:spacing w:before="12"/>
        <w:rPr>
          <w:sz w:val="16"/>
        </w:rPr>
      </w:pPr>
    </w:p>
    <w:p w14:paraId="24345369" w14:textId="77777777" w:rsidR="00401B52" w:rsidRDefault="00A01065" w:rsidP="00A01065">
      <w:pPr>
        <w:spacing w:line="264" w:lineRule="auto"/>
        <w:ind w:left="119" w:right="111" w:hanging="1"/>
        <w:rPr>
          <w:rFonts w:ascii="Century Gothic"/>
          <w:sz w:val="20"/>
        </w:rPr>
      </w:pPr>
      <w:r>
        <w:rPr>
          <w:rFonts w:ascii="Century Gothic"/>
          <w:sz w:val="20"/>
        </w:rPr>
        <w:t>This factsheet has been prepared by Queensland Advocacy Incorporated (QAI), an independent, community- based advoc</w:t>
      </w:r>
      <w:r>
        <w:rPr>
          <w:rFonts w:ascii="Century Gothic"/>
          <w:sz w:val="20"/>
        </w:rPr>
        <w:t>acy organisation for people with disability in Queensland (www.qai.org.au).</w:t>
      </w:r>
      <w:r>
        <w:rPr>
          <w:rFonts w:ascii="Century Gothic"/>
          <w:spacing w:val="40"/>
          <w:sz w:val="20"/>
        </w:rPr>
        <w:t xml:space="preserve"> </w:t>
      </w:r>
      <w:r>
        <w:rPr>
          <w:rFonts w:ascii="Century Gothic"/>
          <w:sz w:val="20"/>
        </w:rPr>
        <w:t xml:space="preserve">This publication is for </w:t>
      </w:r>
      <w:r>
        <w:rPr>
          <w:rFonts w:ascii="Century Gothic"/>
          <w:w w:val="105"/>
          <w:sz w:val="20"/>
        </w:rPr>
        <w:t>general</w:t>
      </w:r>
      <w:r>
        <w:rPr>
          <w:rFonts w:ascii="Century Gothic"/>
          <w:spacing w:val="-12"/>
          <w:w w:val="105"/>
          <w:sz w:val="20"/>
        </w:rPr>
        <w:t xml:space="preserve"> </w:t>
      </w:r>
      <w:r>
        <w:rPr>
          <w:rFonts w:ascii="Century Gothic"/>
          <w:w w:val="105"/>
          <w:sz w:val="20"/>
        </w:rPr>
        <w:t>information</w:t>
      </w:r>
      <w:r>
        <w:rPr>
          <w:rFonts w:ascii="Century Gothic"/>
          <w:spacing w:val="-12"/>
          <w:w w:val="105"/>
          <w:sz w:val="20"/>
        </w:rPr>
        <w:t xml:space="preserve"> </w:t>
      </w:r>
      <w:r>
        <w:rPr>
          <w:rFonts w:ascii="Century Gothic"/>
          <w:w w:val="105"/>
          <w:sz w:val="20"/>
        </w:rPr>
        <w:t>only.</w:t>
      </w:r>
      <w:r>
        <w:rPr>
          <w:rFonts w:ascii="Century Gothic"/>
          <w:spacing w:val="-12"/>
          <w:w w:val="105"/>
          <w:sz w:val="20"/>
        </w:rPr>
        <w:t xml:space="preserve"> </w:t>
      </w:r>
      <w:r>
        <w:rPr>
          <w:rFonts w:ascii="Century Gothic"/>
          <w:w w:val="105"/>
          <w:sz w:val="20"/>
        </w:rPr>
        <w:t>It</w:t>
      </w:r>
      <w:r>
        <w:rPr>
          <w:rFonts w:ascii="Century Gothic"/>
          <w:spacing w:val="-12"/>
          <w:w w:val="105"/>
          <w:sz w:val="20"/>
        </w:rPr>
        <w:t xml:space="preserve"> </w:t>
      </w:r>
      <w:r>
        <w:rPr>
          <w:rFonts w:ascii="Century Gothic"/>
          <w:w w:val="105"/>
          <w:sz w:val="20"/>
        </w:rPr>
        <w:t>must</w:t>
      </w:r>
      <w:r>
        <w:rPr>
          <w:rFonts w:ascii="Century Gothic"/>
          <w:spacing w:val="-12"/>
          <w:w w:val="105"/>
          <w:sz w:val="20"/>
        </w:rPr>
        <w:t xml:space="preserve"> </w:t>
      </w:r>
      <w:r>
        <w:rPr>
          <w:rFonts w:ascii="Century Gothic"/>
          <w:w w:val="105"/>
          <w:sz w:val="20"/>
        </w:rPr>
        <w:t>not</w:t>
      </w:r>
      <w:r>
        <w:rPr>
          <w:rFonts w:ascii="Century Gothic"/>
          <w:spacing w:val="-12"/>
          <w:w w:val="105"/>
          <w:sz w:val="20"/>
        </w:rPr>
        <w:t xml:space="preserve"> </w:t>
      </w:r>
      <w:r>
        <w:rPr>
          <w:rFonts w:ascii="Century Gothic"/>
          <w:w w:val="105"/>
          <w:sz w:val="20"/>
        </w:rPr>
        <w:t>be</w:t>
      </w:r>
      <w:r>
        <w:rPr>
          <w:rFonts w:ascii="Century Gothic"/>
          <w:spacing w:val="-12"/>
          <w:w w:val="105"/>
          <w:sz w:val="20"/>
        </w:rPr>
        <w:t xml:space="preserve"> </w:t>
      </w:r>
      <w:r>
        <w:rPr>
          <w:rFonts w:ascii="Century Gothic"/>
          <w:w w:val="105"/>
          <w:sz w:val="20"/>
        </w:rPr>
        <w:t>relied</w:t>
      </w:r>
      <w:r>
        <w:rPr>
          <w:rFonts w:ascii="Century Gothic"/>
          <w:spacing w:val="-12"/>
          <w:w w:val="105"/>
          <w:sz w:val="20"/>
        </w:rPr>
        <w:t xml:space="preserve"> </w:t>
      </w:r>
      <w:r>
        <w:rPr>
          <w:rFonts w:ascii="Century Gothic"/>
          <w:w w:val="105"/>
          <w:sz w:val="20"/>
        </w:rPr>
        <w:t>on</w:t>
      </w:r>
      <w:r>
        <w:rPr>
          <w:rFonts w:ascii="Century Gothic"/>
          <w:spacing w:val="-12"/>
          <w:w w:val="105"/>
          <w:sz w:val="20"/>
        </w:rPr>
        <w:t xml:space="preserve"> </w:t>
      </w:r>
      <w:r>
        <w:rPr>
          <w:rFonts w:ascii="Century Gothic"/>
          <w:w w:val="105"/>
          <w:sz w:val="20"/>
        </w:rPr>
        <w:t>as</w:t>
      </w:r>
      <w:r>
        <w:rPr>
          <w:rFonts w:ascii="Century Gothic"/>
          <w:spacing w:val="-12"/>
          <w:w w:val="105"/>
          <w:sz w:val="20"/>
        </w:rPr>
        <w:t xml:space="preserve"> </w:t>
      </w:r>
      <w:r>
        <w:rPr>
          <w:rFonts w:ascii="Century Gothic"/>
          <w:w w:val="105"/>
          <w:sz w:val="20"/>
        </w:rPr>
        <w:t>legal</w:t>
      </w:r>
      <w:r>
        <w:rPr>
          <w:rFonts w:ascii="Century Gothic"/>
          <w:spacing w:val="-12"/>
          <w:w w:val="105"/>
          <w:sz w:val="20"/>
        </w:rPr>
        <w:t xml:space="preserve"> </w:t>
      </w:r>
      <w:r>
        <w:rPr>
          <w:rFonts w:ascii="Century Gothic"/>
          <w:w w:val="105"/>
          <w:sz w:val="20"/>
        </w:rPr>
        <w:t>advice.</w:t>
      </w:r>
      <w:r>
        <w:rPr>
          <w:rFonts w:ascii="Century Gothic"/>
          <w:spacing w:val="-12"/>
          <w:w w:val="105"/>
          <w:sz w:val="20"/>
        </w:rPr>
        <w:t xml:space="preserve"> </w:t>
      </w:r>
      <w:r>
        <w:rPr>
          <w:rFonts w:ascii="Century Gothic"/>
          <w:w w:val="105"/>
          <w:sz w:val="20"/>
        </w:rPr>
        <w:t>You</w:t>
      </w:r>
      <w:r>
        <w:rPr>
          <w:rFonts w:ascii="Century Gothic"/>
          <w:spacing w:val="-12"/>
          <w:w w:val="105"/>
          <w:sz w:val="20"/>
        </w:rPr>
        <w:t xml:space="preserve"> </w:t>
      </w:r>
      <w:r>
        <w:rPr>
          <w:rFonts w:ascii="Century Gothic"/>
          <w:w w:val="105"/>
          <w:sz w:val="20"/>
        </w:rPr>
        <w:t>must</w:t>
      </w:r>
      <w:r>
        <w:rPr>
          <w:rFonts w:ascii="Century Gothic"/>
          <w:spacing w:val="-12"/>
          <w:w w:val="105"/>
          <w:sz w:val="20"/>
        </w:rPr>
        <w:t xml:space="preserve"> </w:t>
      </w:r>
      <w:r>
        <w:rPr>
          <w:rFonts w:ascii="Century Gothic"/>
          <w:w w:val="105"/>
          <w:sz w:val="20"/>
        </w:rPr>
        <w:t>seek</w:t>
      </w:r>
      <w:r>
        <w:rPr>
          <w:rFonts w:ascii="Century Gothic"/>
          <w:spacing w:val="-12"/>
          <w:w w:val="105"/>
          <w:sz w:val="20"/>
        </w:rPr>
        <w:t xml:space="preserve"> </w:t>
      </w:r>
      <w:r>
        <w:rPr>
          <w:rFonts w:ascii="Century Gothic"/>
          <w:w w:val="105"/>
          <w:sz w:val="20"/>
        </w:rPr>
        <w:t>legal</w:t>
      </w:r>
      <w:r>
        <w:rPr>
          <w:rFonts w:ascii="Century Gothic"/>
          <w:spacing w:val="-12"/>
          <w:w w:val="105"/>
          <w:sz w:val="20"/>
        </w:rPr>
        <w:t xml:space="preserve"> </w:t>
      </w:r>
      <w:r>
        <w:rPr>
          <w:rFonts w:ascii="Century Gothic"/>
          <w:w w:val="105"/>
          <w:sz w:val="20"/>
        </w:rPr>
        <w:t>advice</w:t>
      </w:r>
      <w:r>
        <w:rPr>
          <w:rFonts w:ascii="Century Gothic"/>
          <w:spacing w:val="-12"/>
          <w:w w:val="105"/>
          <w:sz w:val="20"/>
        </w:rPr>
        <w:t xml:space="preserve"> </w:t>
      </w:r>
      <w:r>
        <w:rPr>
          <w:rFonts w:ascii="Century Gothic"/>
          <w:w w:val="105"/>
          <w:sz w:val="20"/>
        </w:rPr>
        <w:t>about</w:t>
      </w:r>
      <w:r>
        <w:rPr>
          <w:rFonts w:ascii="Century Gothic"/>
          <w:spacing w:val="-12"/>
          <w:w w:val="105"/>
          <w:sz w:val="20"/>
        </w:rPr>
        <w:t xml:space="preserve"> </w:t>
      </w:r>
      <w:r>
        <w:rPr>
          <w:rFonts w:ascii="Century Gothic"/>
          <w:w w:val="105"/>
          <w:sz w:val="20"/>
        </w:rPr>
        <w:t>your</w:t>
      </w:r>
      <w:r>
        <w:rPr>
          <w:rFonts w:ascii="Century Gothic"/>
          <w:spacing w:val="-12"/>
          <w:w w:val="105"/>
          <w:sz w:val="20"/>
        </w:rPr>
        <w:t xml:space="preserve"> </w:t>
      </w:r>
      <w:r>
        <w:rPr>
          <w:rFonts w:ascii="Century Gothic"/>
          <w:w w:val="105"/>
          <w:sz w:val="20"/>
        </w:rPr>
        <w:t xml:space="preserve">own </w:t>
      </w:r>
      <w:proofErr w:type="gramStart"/>
      <w:r>
        <w:rPr>
          <w:rFonts w:ascii="Century Gothic"/>
          <w:w w:val="105"/>
          <w:sz w:val="20"/>
        </w:rPr>
        <w:t>particular circumstances</w:t>
      </w:r>
      <w:proofErr w:type="gramEnd"/>
      <w:r>
        <w:rPr>
          <w:rFonts w:ascii="Century Gothic"/>
          <w:w w:val="105"/>
          <w:sz w:val="20"/>
        </w:rPr>
        <w:t>.</w:t>
      </w:r>
    </w:p>
    <w:p w14:paraId="0670B9C4" w14:textId="77777777" w:rsidR="00401B52" w:rsidRDefault="00A01065" w:rsidP="00A01065">
      <w:pPr>
        <w:spacing w:before="146"/>
        <w:ind w:left="820" w:right="815"/>
        <w:jc w:val="center"/>
        <w:rPr>
          <w:rFonts w:ascii="Poppins SemiBold"/>
          <w:b/>
          <w:sz w:val="16"/>
        </w:rPr>
      </w:pPr>
      <w:r>
        <w:rPr>
          <w:rFonts w:ascii="Poppins SemiBold"/>
          <w:b/>
          <w:sz w:val="16"/>
        </w:rPr>
        <w:t>Reviewed</w:t>
      </w:r>
      <w:r>
        <w:rPr>
          <w:rFonts w:ascii="Poppins SemiBold"/>
          <w:b/>
          <w:spacing w:val="14"/>
          <w:sz w:val="16"/>
        </w:rPr>
        <w:t xml:space="preserve"> </w:t>
      </w:r>
      <w:r>
        <w:rPr>
          <w:rFonts w:ascii="Poppins SemiBold"/>
          <w:b/>
          <w:sz w:val="16"/>
        </w:rPr>
        <w:t>February</w:t>
      </w:r>
      <w:r>
        <w:rPr>
          <w:rFonts w:ascii="Poppins SemiBold"/>
          <w:b/>
          <w:spacing w:val="15"/>
          <w:sz w:val="16"/>
        </w:rPr>
        <w:t xml:space="preserve"> </w:t>
      </w:r>
      <w:r>
        <w:rPr>
          <w:rFonts w:ascii="Poppins SemiBold"/>
          <w:b/>
          <w:spacing w:val="-4"/>
          <w:sz w:val="16"/>
        </w:rPr>
        <w:t>2022</w:t>
      </w:r>
    </w:p>
    <w:sectPr w:rsidR="00401B52">
      <w:pgSz w:w="11910" w:h="16850"/>
      <w:pgMar w:top="1160" w:right="360" w:bottom="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Poppins SemiBold">
    <w:panose1 w:val="00000700000000000000"/>
    <w:charset w:val="00"/>
    <w:family w:val="modern"/>
    <w:notTrueType/>
    <w:pitch w:val="variable"/>
    <w:sig w:usb0="00008007" w:usb1="00000000" w:usb2="00000000" w:usb3="00000000" w:csb0="00000093" w:csb1="00000000"/>
  </w:font>
  <w:font w:name="Poppins">
    <w:panose1 w:val="00000500000000000000"/>
    <w:charset w:val="00"/>
    <w:family w:val="modern"/>
    <w:notTrueType/>
    <w:pitch w:val="variable"/>
    <w:sig w:usb0="00008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401B52"/>
    <w:rsid w:val="00401B52"/>
    <w:rsid w:val="00A010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5EE3CF90"/>
  <w15:docId w15:val="{7381CD75-ABEB-40AB-8E04-4504B9E21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Open Sans" w:eastAsia="Open Sans" w:hAnsi="Open Sans" w:cs="Open Sans"/>
      <w:lang w:val="en-GB"/>
    </w:rPr>
  </w:style>
  <w:style w:type="paragraph" w:styleId="Heading1">
    <w:name w:val="heading 1"/>
    <w:basedOn w:val="Normal"/>
    <w:uiPriority w:val="9"/>
    <w:qFormat/>
    <w:pPr>
      <w:spacing w:before="100" w:line="329" w:lineRule="exact"/>
      <w:ind w:left="820"/>
      <w:outlineLvl w:val="0"/>
    </w:pPr>
    <w:rPr>
      <w:b/>
      <w:bCs/>
      <w:sz w:val="26"/>
      <w:szCs w:val="26"/>
    </w:rPr>
  </w:style>
  <w:style w:type="paragraph" w:styleId="Heading2">
    <w:name w:val="heading 2"/>
    <w:basedOn w:val="Normal"/>
    <w:uiPriority w:val="9"/>
    <w:unhideWhenUsed/>
    <w:qFormat/>
    <w:pPr>
      <w:spacing w:before="77" w:line="442" w:lineRule="exact"/>
      <w:ind w:left="835"/>
      <w:outlineLvl w:val="1"/>
    </w:pPr>
    <w:rPr>
      <w:rFonts w:ascii="Poppins SemiBold" w:eastAsia="Poppins SemiBold" w:hAnsi="Poppins SemiBold" w:cs="Poppins SemiBol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Title">
    <w:name w:val="Title"/>
    <w:basedOn w:val="Normal"/>
    <w:uiPriority w:val="10"/>
    <w:qFormat/>
    <w:pPr>
      <w:spacing w:before="69"/>
      <w:ind w:left="820"/>
    </w:pPr>
    <w:rPr>
      <w:rFonts w:ascii="Poppins" w:eastAsia="Poppins" w:hAnsi="Poppins" w:cs="Poppins"/>
      <w:sz w:val="60"/>
      <w:szCs w:val="6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727</Words>
  <Characters>4144</Characters>
  <Application>Microsoft Office Word</Application>
  <DocSecurity>0</DocSecurity>
  <Lines>34</Lines>
  <Paragraphs>9</Paragraphs>
  <ScaleCrop>false</ScaleCrop>
  <Company/>
  <LinksUpToDate>false</LinksUpToDate>
  <CharactersWithSpaces>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Human Rights Complaint</dc:title>
  <dc:creator>Queensland Advocacy</dc:creator>
  <cp:keywords>DAE5tlyXb8s,BAExXNVFOWA</cp:keywords>
  <cp:lastModifiedBy>Shannon Bell</cp:lastModifiedBy>
  <cp:revision>2</cp:revision>
  <dcterms:created xsi:type="dcterms:W3CDTF">2022-06-12T22:36:00Z</dcterms:created>
  <dcterms:modified xsi:type="dcterms:W3CDTF">2022-06-12T22:39:00Z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2022-03-01T00:00:00Z</vt:filetime>
  </property>
  <property fmtid="{D5CDD505-2E9C-101B-9397-08002B2CF9AE}" pid="3" name="Creator">
    <vt:lpwstr>Canva</vt:lpwstr>
  </property>
  <property fmtid="{D5CDD505-2E9C-101B-9397-08002B2CF9AE}" pid="4" name="LastSaved">
    <vt:filetime>2022-06-12T00:00:00Z</vt:filetime>
  </property>
</Properties>
</file>