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9A1A" w14:textId="77777777" w:rsidR="005B409E" w:rsidRDefault="00000000">
      <w:pPr>
        <w:pStyle w:val="BodyText"/>
        <w:spacing w:before="60"/>
        <w:ind w:left="1242"/>
      </w:pPr>
      <w:r>
        <w:t>12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3FF09A1B" w14:textId="77777777" w:rsidR="005B409E" w:rsidRDefault="005B409E">
      <w:pPr>
        <w:pStyle w:val="BodyText"/>
        <w:rPr>
          <w:sz w:val="26"/>
        </w:rPr>
      </w:pPr>
    </w:p>
    <w:p w14:paraId="3FF09A1C" w14:textId="77777777" w:rsidR="005B409E" w:rsidRDefault="00000000">
      <w:pPr>
        <w:pStyle w:val="BodyText"/>
        <w:spacing w:before="218"/>
        <w:ind w:left="1242" w:right="5971"/>
      </w:pPr>
      <w:r>
        <w:t>The Hon. Shannon Fentiman MP Attorney-General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Minister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Justice 1 William Street</w:t>
      </w:r>
    </w:p>
    <w:p w14:paraId="3FF09A1D" w14:textId="77777777" w:rsidR="005B409E" w:rsidRDefault="00000000">
      <w:pPr>
        <w:pStyle w:val="BodyText"/>
        <w:spacing w:line="292" w:lineRule="exact"/>
        <w:ind w:left="1242"/>
      </w:pPr>
      <w:r>
        <w:t>BRISBANE</w:t>
      </w:r>
      <w:r>
        <w:rPr>
          <w:spacing w:val="-3"/>
        </w:rPr>
        <w:t xml:space="preserve"> </w:t>
      </w:r>
      <w:r>
        <w:t>QLD</w:t>
      </w:r>
      <w:r>
        <w:rPr>
          <w:spacing w:val="-1"/>
        </w:rPr>
        <w:t xml:space="preserve"> </w:t>
      </w:r>
      <w:r>
        <w:rPr>
          <w:spacing w:val="-4"/>
        </w:rPr>
        <w:t>4000</w:t>
      </w:r>
    </w:p>
    <w:p w14:paraId="3FF09A1E" w14:textId="77777777" w:rsidR="005B409E" w:rsidRDefault="005B409E">
      <w:pPr>
        <w:pStyle w:val="BodyText"/>
        <w:spacing w:before="10"/>
        <w:rPr>
          <w:sz w:val="33"/>
        </w:rPr>
      </w:pPr>
    </w:p>
    <w:p w14:paraId="3FF09A1F" w14:textId="77777777" w:rsidR="005B409E" w:rsidRDefault="00000000">
      <w:pPr>
        <w:ind w:left="1242"/>
        <w:rPr>
          <w:b/>
          <w:sz w:val="24"/>
        </w:rPr>
      </w:pPr>
      <w:r>
        <w:rPr>
          <w:b/>
          <w:i/>
          <w:sz w:val="24"/>
        </w:rPr>
        <w:t>Delivered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email:</w:t>
      </w:r>
      <w:r>
        <w:rPr>
          <w:b/>
          <w:i/>
          <w:spacing w:val="-2"/>
          <w:sz w:val="24"/>
        </w:rPr>
        <w:t xml:space="preserve"> </w:t>
      </w:r>
      <w:hyperlink r:id="rId7">
        <w:r>
          <w:rPr>
            <w:b/>
            <w:color w:val="0462C1"/>
            <w:spacing w:val="-2"/>
            <w:sz w:val="24"/>
            <w:u w:val="single" w:color="0462C1"/>
          </w:rPr>
          <w:t>attorney@ministerial.qld.gov.au</w:t>
        </w:r>
      </w:hyperlink>
    </w:p>
    <w:p w14:paraId="3FF09A20" w14:textId="77777777" w:rsidR="005B409E" w:rsidRDefault="005B409E">
      <w:pPr>
        <w:pStyle w:val="BodyText"/>
        <w:rPr>
          <w:b/>
          <w:sz w:val="20"/>
        </w:rPr>
      </w:pPr>
    </w:p>
    <w:p w14:paraId="3FF09A21" w14:textId="77777777" w:rsidR="005B409E" w:rsidRDefault="005B409E">
      <w:pPr>
        <w:pStyle w:val="BodyText"/>
        <w:spacing w:before="5"/>
        <w:rPr>
          <w:b/>
          <w:sz w:val="19"/>
        </w:rPr>
      </w:pPr>
    </w:p>
    <w:p w14:paraId="3FF09A22" w14:textId="77777777" w:rsidR="005B409E" w:rsidRDefault="00000000">
      <w:pPr>
        <w:pStyle w:val="BodyText"/>
        <w:spacing w:before="51"/>
        <w:ind w:left="1242"/>
      </w:pPr>
      <w:r>
        <w:t>Dear</w:t>
      </w:r>
      <w:r>
        <w:rPr>
          <w:spacing w:val="-7"/>
        </w:rPr>
        <w:t xml:space="preserve"> </w:t>
      </w:r>
      <w:r>
        <w:t>Attorney-</w:t>
      </w:r>
      <w:r>
        <w:rPr>
          <w:spacing w:val="-2"/>
        </w:rPr>
        <w:t>General,</w:t>
      </w:r>
    </w:p>
    <w:p w14:paraId="3FF09A23" w14:textId="77777777" w:rsidR="005B409E" w:rsidRDefault="005B409E">
      <w:pPr>
        <w:pStyle w:val="BodyText"/>
      </w:pPr>
    </w:p>
    <w:p w14:paraId="3FF09A24" w14:textId="77777777" w:rsidR="005B409E" w:rsidRDefault="005B409E">
      <w:pPr>
        <w:pStyle w:val="BodyText"/>
        <w:spacing w:before="9"/>
        <w:rPr>
          <w:sz w:val="19"/>
        </w:rPr>
      </w:pPr>
    </w:p>
    <w:p w14:paraId="3FF09A25" w14:textId="77777777" w:rsidR="005B409E" w:rsidRDefault="00000000">
      <w:pPr>
        <w:pStyle w:val="Heading1"/>
        <w:ind w:left="4892" w:right="1300" w:hanging="3171"/>
      </w:pPr>
      <w:r>
        <w:t>Civil</w:t>
      </w:r>
      <w:r>
        <w:rPr>
          <w:spacing w:val="-4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 effective</w:t>
      </w:r>
      <w:r>
        <w:rPr>
          <w:spacing w:val="-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OPCAT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Queensland</w:t>
      </w:r>
    </w:p>
    <w:p w14:paraId="3FF09A26" w14:textId="77777777" w:rsidR="005B409E" w:rsidRDefault="005B409E">
      <w:pPr>
        <w:pStyle w:val="BodyText"/>
        <w:rPr>
          <w:b/>
        </w:rPr>
      </w:pPr>
    </w:p>
    <w:p w14:paraId="3FF09A27" w14:textId="77777777" w:rsidR="005B409E" w:rsidRDefault="005B409E">
      <w:pPr>
        <w:pStyle w:val="BodyText"/>
        <w:spacing w:before="7"/>
        <w:rPr>
          <w:b/>
          <w:sz w:val="19"/>
        </w:rPr>
      </w:pPr>
    </w:p>
    <w:p w14:paraId="3FF09A28" w14:textId="77777777" w:rsidR="005B409E" w:rsidRDefault="00000000">
      <w:pPr>
        <w:pStyle w:val="BodyText"/>
        <w:ind w:left="1242" w:right="1300"/>
      </w:pPr>
      <w:r>
        <w:t>On 1</w:t>
      </w:r>
      <w:r>
        <w:rPr>
          <w:vertAlign w:val="superscript"/>
        </w:rPr>
        <w:t>st</w:t>
      </w:r>
      <w:r>
        <w:t xml:space="preserve"> December 2022, The Public Advocate, the Queensland Human Rights Commission and Queensland Advocacy for Inclusion (QAI) co-hosted the Queensland OPCAT</w:t>
      </w:r>
      <w:r>
        <w:rPr>
          <w:spacing w:val="-2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Multicultural</w:t>
      </w:r>
      <w:r>
        <w:rPr>
          <w:spacing w:val="-2"/>
        </w:rPr>
        <w:t xml:space="preserve"> </w:t>
      </w:r>
      <w:r>
        <w:t>Centre.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key stakeholders from government and civil society across Queensland to discuss implementation of the Optional Protocol to the Convention Against Torture (OPCAT).</w:t>
      </w:r>
    </w:p>
    <w:p w14:paraId="3FF09A29" w14:textId="77777777" w:rsidR="005B409E" w:rsidRDefault="00000000">
      <w:pPr>
        <w:pStyle w:val="BodyText"/>
        <w:spacing w:before="122"/>
        <w:ind w:left="1242" w:right="1396"/>
      </w:pPr>
      <w:r>
        <w:t>The forum heard powerful presentations from people with lived experience of detention and included a Civil Society Forum facilitated by QAI, the Aboriginal and Torres</w:t>
      </w:r>
      <w:r>
        <w:rPr>
          <w:spacing w:val="-3"/>
        </w:rPr>
        <w:t xml:space="preserve"> </w:t>
      </w:r>
      <w:r>
        <w:t>Strait</w:t>
      </w:r>
      <w:r>
        <w:rPr>
          <w:spacing w:val="-2"/>
        </w:rPr>
        <w:t xml:space="preserve"> </w:t>
      </w:r>
      <w:r>
        <w:t>Islander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Prisoners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Sisters</w:t>
      </w:r>
      <w:r>
        <w:rPr>
          <w:spacing w:val="-5"/>
        </w:rPr>
        <w:t xml:space="preserve"> </w:t>
      </w:r>
      <w:r>
        <w:t>Inside.</w:t>
      </w:r>
      <w:r>
        <w:rPr>
          <w:spacing w:val="-4"/>
        </w:rPr>
        <w:t xml:space="preserve"> </w:t>
      </w:r>
      <w:r>
        <w:t>During the Civil Society Forum, six recommendations for an effective implementation of OPCAT in Queensland were presented.</w:t>
      </w:r>
    </w:p>
    <w:p w14:paraId="3FF09A2A" w14:textId="77777777" w:rsidR="005B409E" w:rsidRDefault="00000000">
      <w:pPr>
        <w:pStyle w:val="BodyText"/>
        <w:spacing w:before="119"/>
        <w:ind w:left="1242" w:right="1300"/>
      </w:pPr>
      <w:r>
        <w:t xml:space="preserve">Several other Civil Society </w:t>
      </w:r>
      <w:proofErr w:type="spellStart"/>
      <w:r>
        <w:t>organisations</w:t>
      </w:r>
      <w:proofErr w:type="spellEnd"/>
      <w:r>
        <w:t xml:space="preserve"> have also endorsed these six recommendations.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signatory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t>is included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letter.</w:t>
      </w:r>
    </w:p>
    <w:p w14:paraId="3FF09A2B" w14:textId="77777777" w:rsidR="005B409E" w:rsidRDefault="00000000">
      <w:pPr>
        <w:pStyle w:val="BodyText"/>
        <w:spacing w:before="120"/>
        <w:ind w:left="1242"/>
      </w:pPr>
      <w:r>
        <w:t>The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recommendations are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for your</w:t>
      </w:r>
      <w:r>
        <w:rPr>
          <w:spacing w:val="-3"/>
        </w:rPr>
        <w:t xml:space="preserve"> </w:t>
      </w:r>
      <w:r>
        <w:rPr>
          <w:spacing w:val="-2"/>
        </w:rPr>
        <w:t>attention:</w:t>
      </w:r>
    </w:p>
    <w:p w14:paraId="3FF09A2C" w14:textId="77777777" w:rsidR="005B409E" w:rsidRDefault="005B409E">
      <w:pPr>
        <w:pStyle w:val="BodyText"/>
        <w:spacing w:before="8"/>
        <w:rPr>
          <w:sz w:val="19"/>
        </w:rPr>
      </w:pPr>
    </w:p>
    <w:p w14:paraId="3FF09A2D" w14:textId="77777777" w:rsidR="005B409E" w:rsidRDefault="00000000">
      <w:pPr>
        <w:pStyle w:val="Heading1"/>
        <w:numPr>
          <w:ilvl w:val="0"/>
          <w:numId w:val="1"/>
        </w:numPr>
        <w:tabs>
          <w:tab w:val="left" w:pos="1669"/>
          <w:tab w:val="left" w:pos="1670"/>
        </w:tabs>
        <w:rPr>
          <w:b w:val="0"/>
        </w:rPr>
      </w:pPr>
      <w:r>
        <w:t>Coverage</w:t>
      </w:r>
      <w:r>
        <w:rPr>
          <w:spacing w:val="-4"/>
        </w:rPr>
        <w:t xml:space="preserve"> </w:t>
      </w:r>
      <w:r>
        <w:t>of OPCAT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detention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Queensland</w:t>
      </w:r>
    </w:p>
    <w:p w14:paraId="3FF09A2E" w14:textId="77777777" w:rsidR="005B409E" w:rsidRDefault="005B409E">
      <w:pPr>
        <w:pStyle w:val="BodyText"/>
        <w:spacing w:before="10"/>
        <w:rPr>
          <w:b/>
          <w:sz w:val="19"/>
        </w:rPr>
      </w:pPr>
    </w:p>
    <w:p w14:paraId="3FF09A2F" w14:textId="77777777" w:rsidR="005B409E" w:rsidRDefault="00000000">
      <w:pPr>
        <w:pStyle w:val="BodyText"/>
        <w:spacing w:before="1"/>
        <w:ind w:left="1669"/>
      </w:pPr>
      <w:r>
        <w:t>A</w:t>
      </w:r>
      <w:r>
        <w:rPr>
          <w:spacing w:val="-1"/>
        </w:rPr>
        <w:t xml:space="preserve"> </w:t>
      </w:r>
      <w:r>
        <w:t>NPM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detention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rPr>
          <w:spacing w:val="-5"/>
        </w:rPr>
        <w:t>are</w:t>
      </w:r>
    </w:p>
    <w:p w14:paraId="3FF09A30" w14:textId="77777777" w:rsidR="005B409E" w:rsidRDefault="00000000">
      <w:pPr>
        <w:pStyle w:val="BodyText"/>
        <w:ind w:left="1669" w:right="1300"/>
      </w:pPr>
      <w:r>
        <w:t>monitored. Currently there is only coverage of prisons, watch houses and youth detention.</w:t>
      </w:r>
      <w:r>
        <w:rPr>
          <w:spacing w:val="-5"/>
        </w:rPr>
        <w:t xml:space="preserve"> </w:t>
      </w:r>
      <w:r>
        <w:t>OPCAT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detention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 place where a deprivation of liberty occurs. This includes mental health wards, aged care facilities, and disability specific institutions, such as the Forensic Disability Service and disability group homes.</w:t>
      </w:r>
    </w:p>
    <w:p w14:paraId="3FF09A31" w14:textId="77777777" w:rsidR="005B409E" w:rsidRDefault="005B409E">
      <w:pPr>
        <w:pStyle w:val="BodyText"/>
        <w:spacing w:before="7"/>
        <w:rPr>
          <w:sz w:val="19"/>
        </w:rPr>
      </w:pPr>
    </w:p>
    <w:p w14:paraId="3FF09A32" w14:textId="77777777" w:rsidR="005B409E" w:rsidRDefault="00000000">
      <w:pPr>
        <w:pStyle w:val="Heading1"/>
        <w:numPr>
          <w:ilvl w:val="0"/>
          <w:numId w:val="1"/>
        </w:numPr>
        <w:tabs>
          <w:tab w:val="left" w:pos="1669"/>
          <w:tab w:val="left" w:pos="1670"/>
        </w:tabs>
        <w:rPr>
          <w:b w:val="0"/>
        </w:rPr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rPr>
          <w:spacing w:val="-2"/>
        </w:rPr>
        <w:t>entity</w:t>
      </w:r>
    </w:p>
    <w:p w14:paraId="3FF09A33" w14:textId="77777777" w:rsidR="005B409E" w:rsidRDefault="005B409E">
      <w:pPr>
        <w:pStyle w:val="BodyText"/>
        <w:spacing w:before="7"/>
        <w:rPr>
          <w:b/>
          <w:sz w:val="19"/>
        </w:rPr>
      </w:pPr>
    </w:p>
    <w:p w14:paraId="3FF09A34" w14:textId="77777777" w:rsidR="005B409E" w:rsidRDefault="00000000">
      <w:pPr>
        <w:pStyle w:val="BodyText"/>
        <w:spacing w:before="1"/>
        <w:ind w:left="1669" w:right="1300"/>
      </w:pPr>
      <w:r>
        <w:t>A well-funded oversight body is needed to collate and monitor the recommendations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of</w:t>
      </w:r>
    </w:p>
    <w:p w14:paraId="3FF09A35" w14:textId="77777777" w:rsidR="005B409E" w:rsidRDefault="005B409E">
      <w:pPr>
        <w:sectPr w:rsidR="005B409E">
          <w:type w:val="continuous"/>
          <w:pgSz w:w="11900" w:h="16850"/>
          <w:pgMar w:top="1520" w:right="380" w:bottom="280" w:left="460" w:header="720" w:footer="720" w:gutter="0"/>
          <w:cols w:space="720"/>
        </w:sectPr>
      </w:pPr>
    </w:p>
    <w:p w14:paraId="3FF09A36" w14:textId="77777777" w:rsidR="005B409E" w:rsidRDefault="00000000">
      <w:pPr>
        <w:pStyle w:val="BodyText"/>
        <w:spacing w:before="39"/>
        <w:ind w:left="1669" w:right="1396"/>
      </w:pPr>
      <w:r>
        <w:lastRenderedPageBreak/>
        <w:t xml:space="preserve">detention. This body should be a separate stand-alone body, such as in the UK. Alternatively, the Queensland Human Rights Commission (QHRC) is already responsible for accepting complaints of torture, cruel, </w:t>
      </w:r>
      <w:proofErr w:type="gramStart"/>
      <w:r>
        <w:t>inhumane</w:t>
      </w:r>
      <w:proofErr w:type="gramEnd"/>
      <w:r>
        <w:t xml:space="preserve"> and degrading treatment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</w:t>
      </w:r>
      <w:r>
        <w:rPr>
          <w:i/>
        </w:rPr>
        <w:t>Human</w:t>
      </w:r>
      <w:r>
        <w:rPr>
          <w:i/>
          <w:spacing w:val="-4"/>
        </w:rPr>
        <w:t xml:space="preserve"> </w:t>
      </w:r>
      <w:r>
        <w:rPr>
          <w:i/>
        </w:rPr>
        <w:t>Rights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4"/>
        </w:rPr>
        <w:t xml:space="preserve"> </w:t>
      </w:r>
      <w:r>
        <w:rPr>
          <w:i/>
        </w:rPr>
        <w:t>(2019)</w:t>
      </w:r>
      <w:r>
        <w:rPr>
          <w:i/>
          <w:spacing w:val="-1"/>
        </w:rPr>
        <w:t xml:space="preserve"> </w:t>
      </w:r>
      <w:r>
        <w:t>Qld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systemic issues</w:t>
      </w:r>
      <w:r>
        <w:rPr>
          <w:spacing w:val="-2"/>
        </w:rPr>
        <w:t xml:space="preserve"> </w:t>
      </w:r>
      <w:r>
        <w:t>impacting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detention,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them an appropriate oversight body for this function.</w:t>
      </w:r>
    </w:p>
    <w:p w14:paraId="3FF09A37" w14:textId="77777777" w:rsidR="005B409E" w:rsidRDefault="005B409E">
      <w:pPr>
        <w:pStyle w:val="BodyText"/>
        <w:spacing w:before="7"/>
        <w:rPr>
          <w:sz w:val="19"/>
        </w:rPr>
      </w:pPr>
    </w:p>
    <w:p w14:paraId="3FF09A38" w14:textId="77777777" w:rsidR="005B409E" w:rsidRDefault="00000000">
      <w:pPr>
        <w:pStyle w:val="Heading1"/>
        <w:numPr>
          <w:ilvl w:val="0"/>
          <w:numId w:val="1"/>
        </w:numPr>
        <w:tabs>
          <w:tab w:val="left" w:pos="1669"/>
          <w:tab w:val="left" w:pos="1670"/>
        </w:tabs>
      </w:pPr>
      <w:r>
        <w:t>Formal</w:t>
      </w:r>
      <w:r>
        <w:rPr>
          <w:spacing w:val="-5"/>
        </w:rPr>
        <w:t xml:space="preserve"> </w:t>
      </w:r>
      <w:r>
        <w:t>collaborations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Society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(CSOs)</w:t>
      </w:r>
    </w:p>
    <w:p w14:paraId="3FF09A39" w14:textId="77777777" w:rsidR="005B409E" w:rsidRDefault="005B409E">
      <w:pPr>
        <w:pStyle w:val="BodyText"/>
        <w:spacing w:before="8"/>
        <w:rPr>
          <w:b/>
          <w:sz w:val="19"/>
        </w:rPr>
      </w:pPr>
    </w:p>
    <w:p w14:paraId="3FF09A3A" w14:textId="77777777" w:rsidR="005B409E" w:rsidRDefault="00000000">
      <w:pPr>
        <w:pStyle w:val="BodyText"/>
        <w:ind w:left="1669" w:right="1396"/>
      </w:pPr>
      <w:r>
        <w:t>CSOs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mandate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NPM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exchanging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 best practice inspection processes and working together by forming formal coalitions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activities. We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CSOs</w:t>
      </w:r>
      <w:r>
        <w:rPr>
          <w:spacing w:val="-2"/>
        </w:rPr>
        <w:t xml:space="preserve"> </w:t>
      </w:r>
      <w:r>
        <w:t>into a Queensland NPM as recommended by the Subcommittee on Prevention of Torture. This integration should include funding to participate in OPCAT monitoring and to prepare a shadow report to parliament.</w:t>
      </w:r>
    </w:p>
    <w:p w14:paraId="3FF09A3B" w14:textId="77777777" w:rsidR="005B409E" w:rsidRDefault="005B409E">
      <w:pPr>
        <w:pStyle w:val="BodyText"/>
        <w:spacing w:before="10"/>
        <w:rPr>
          <w:sz w:val="19"/>
        </w:rPr>
      </w:pPr>
    </w:p>
    <w:p w14:paraId="3FF09A3C" w14:textId="77777777" w:rsidR="005B409E" w:rsidRDefault="00000000">
      <w:pPr>
        <w:pStyle w:val="Heading1"/>
        <w:numPr>
          <w:ilvl w:val="0"/>
          <w:numId w:val="1"/>
        </w:numPr>
        <w:tabs>
          <w:tab w:val="left" w:pos="1669"/>
          <w:tab w:val="left" w:pos="1670"/>
        </w:tabs>
        <w:ind w:right="2247"/>
        <w:rPr>
          <w:b w:val="0"/>
        </w:rPr>
      </w:pPr>
      <w:r>
        <w:t>Formal</w:t>
      </w:r>
      <w:r>
        <w:rPr>
          <w:spacing w:val="-4"/>
        </w:rPr>
        <w:t xml:space="preserve"> </w:t>
      </w:r>
      <w:r>
        <w:t>collaborations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lived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detention</w:t>
      </w:r>
      <w:r>
        <w:rPr>
          <w:spacing w:val="-6"/>
        </w:rPr>
        <w:t xml:space="preserve"> </w:t>
      </w:r>
      <w:r>
        <w:t>in monitoring activities</w:t>
      </w:r>
    </w:p>
    <w:p w14:paraId="3FF09A3D" w14:textId="77777777" w:rsidR="005B409E" w:rsidRDefault="005B409E">
      <w:pPr>
        <w:pStyle w:val="BodyText"/>
        <w:spacing w:before="7"/>
        <w:rPr>
          <w:b/>
          <w:sz w:val="19"/>
        </w:rPr>
      </w:pPr>
    </w:p>
    <w:p w14:paraId="3FF09A3E" w14:textId="77777777" w:rsidR="005B409E" w:rsidRDefault="00000000">
      <w:pPr>
        <w:pStyle w:val="BodyText"/>
        <w:spacing w:before="1"/>
        <w:ind w:left="1669" w:right="1396"/>
      </w:pPr>
      <w:r>
        <w:t>People who have personal experience in sites of detention provide invaluable insight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torture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settings.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detention</w:t>
      </w:r>
      <w:r>
        <w:rPr>
          <w:spacing w:val="-3"/>
        </w:rPr>
        <w:t xml:space="preserve"> </w:t>
      </w:r>
      <w:r>
        <w:t>also find it easier to communicate with and express concerns to ‘Experts by</w:t>
      </w:r>
    </w:p>
    <w:p w14:paraId="3FF09A3F" w14:textId="77777777" w:rsidR="005B409E" w:rsidRDefault="00000000">
      <w:pPr>
        <w:pStyle w:val="BodyText"/>
        <w:ind w:left="1669" w:right="1396"/>
      </w:pPr>
      <w:r>
        <w:t>Experience.’ We call for the establishment of transparent legislated and policy pathways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involvement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experience of detention in monitoring activities, including clear quantitative targets for engagement and a paid position for a prisoner to be a monitoring advocate.</w:t>
      </w:r>
    </w:p>
    <w:p w14:paraId="3FF09A40" w14:textId="77777777" w:rsidR="005B409E" w:rsidRDefault="005B409E">
      <w:pPr>
        <w:pStyle w:val="BodyText"/>
        <w:spacing w:before="1"/>
      </w:pPr>
    </w:p>
    <w:p w14:paraId="3FF09A41" w14:textId="77777777" w:rsidR="005B409E" w:rsidRDefault="00000000">
      <w:pPr>
        <w:pStyle w:val="Heading1"/>
        <w:numPr>
          <w:ilvl w:val="0"/>
          <w:numId w:val="1"/>
        </w:numPr>
        <w:tabs>
          <w:tab w:val="left" w:pos="1669"/>
          <w:tab w:val="left" w:pos="1670"/>
        </w:tabs>
        <w:rPr>
          <w:b w:val="0"/>
        </w:rPr>
      </w:pPr>
      <w:r>
        <w:t>Clear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detention</w:t>
      </w:r>
    </w:p>
    <w:p w14:paraId="3FF09A42" w14:textId="77777777" w:rsidR="005B409E" w:rsidRDefault="005B409E">
      <w:pPr>
        <w:pStyle w:val="BodyText"/>
        <w:spacing w:before="8"/>
        <w:rPr>
          <w:b/>
          <w:sz w:val="19"/>
        </w:rPr>
      </w:pPr>
    </w:p>
    <w:p w14:paraId="3FF09A43" w14:textId="77777777" w:rsidR="005B409E" w:rsidRDefault="00000000">
      <w:pPr>
        <w:pStyle w:val="BodyText"/>
        <w:ind w:left="1669" w:right="1349"/>
      </w:pPr>
      <w:r>
        <w:t xml:space="preserve">To make OPCAT real, people in detention need accessible communication to understand their human rights and to </w:t>
      </w:r>
      <w:proofErr w:type="spellStart"/>
      <w:r>
        <w:t>realise</w:t>
      </w:r>
      <w:proofErr w:type="spellEnd"/>
      <w:r>
        <w:t xml:space="preserve"> them via appropriate complaints mechanisms. Culturally appropriate and disability informed dialogue with people in</w:t>
      </w:r>
      <w:r>
        <w:rPr>
          <w:spacing w:val="-2"/>
        </w:rPr>
        <w:t xml:space="preserve"> </w:t>
      </w:r>
      <w:r>
        <w:t>detention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NPM,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culturally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disability inclusive from the outset.</w:t>
      </w:r>
    </w:p>
    <w:p w14:paraId="3FF09A44" w14:textId="77777777" w:rsidR="005B409E" w:rsidRDefault="005B409E">
      <w:pPr>
        <w:pStyle w:val="BodyText"/>
        <w:spacing w:before="7"/>
        <w:rPr>
          <w:sz w:val="19"/>
        </w:rPr>
      </w:pPr>
    </w:p>
    <w:p w14:paraId="3FF09A45" w14:textId="77777777" w:rsidR="005B409E" w:rsidRDefault="00000000">
      <w:pPr>
        <w:pStyle w:val="ListParagraph"/>
        <w:numPr>
          <w:ilvl w:val="0"/>
          <w:numId w:val="1"/>
        </w:numPr>
        <w:tabs>
          <w:tab w:val="left" w:pos="1669"/>
          <w:tab w:val="left" w:pos="1670"/>
        </w:tabs>
        <w:rPr>
          <w:sz w:val="24"/>
        </w:rPr>
      </w:pPr>
      <w:r>
        <w:rPr>
          <w:b/>
          <w:sz w:val="24"/>
        </w:rPr>
        <w:t>Improvements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Inspector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Detention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Services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2"/>
          <w:sz w:val="24"/>
        </w:rPr>
        <w:t xml:space="preserve"> </w:t>
      </w:r>
      <w:r>
        <w:rPr>
          <w:b/>
          <w:spacing w:val="-2"/>
          <w:sz w:val="24"/>
        </w:rPr>
        <w:t>(Qld)</w:t>
      </w:r>
    </w:p>
    <w:p w14:paraId="3FF09A46" w14:textId="77777777" w:rsidR="005B409E" w:rsidRDefault="005B409E">
      <w:pPr>
        <w:pStyle w:val="BodyText"/>
        <w:spacing w:before="8"/>
        <w:rPr>
          <w:b/>
          <w:sz w:val="19"/>
        </w:rPr>
      </w:pPr>
    </w:p>
    <w:p w14:paraId="3FF09A47" w14:textId="77777777" w:rsidR="005B409E" w:rsidRDefault="00000000">
      <w:pPr>
        <w:pStyle w:val="ListParagraph"/>
        <w:numPr>
          <w:ilvl w:val="1"/>
          <w:numId w:val="1"/>
        </w:numPr>
        <w:tabs>
          <w:tab w:val="left" w:pos="2235"/>
          <w:tab w:val="left" w:pos="2236"/>
        </w:tabs>
        <w:spacing w:line="242" w:lineRule="auto"/>
        <w:ind w:right="1778"/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places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detention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ensure adequate oversight is a legislative rather than political commitment.</w:t>
      </w:r>
    </w:p>
    <w:p w14:paraId="3FF09A48" w14:textId="77777777" w:rsidR="005B409E" w:rsidRDefault="005B409E">
      <w:pPr>
        <w:pStyle w:val="BodyText"/>
        <w:spacing w:before="3"/>
        <w:rPr>
          <w:sz w:val="19"/>
        </w:rPr>
      </w:pPr>
    </w:p>
    <w:p w14:paraId="3FF09A49" w14:textId="77777777" w:rsidR="005B409E" w:rsidRDefault="00000000">
      <w:pPr>
        <w:pStyle w:val="ListParagraph"/>
        <w:numPr>
          <w:ilvl w:val="1"/>
          <w:numId w:val="1"/>
        </w:numPr>
        <w:tabs>
          <w:tab w:val="left" w:pos="2235"/>
          <w:tab w:val="left" w:pos="2236"/>
        </w:tabs>
        <w:ind w:right="1337"/>
        <w:rPr>
          <w:sz w:val="24"/>
        </w:rPr>
      </w:pPr>
      <w:r>
        <w:rPr>
          <w:sz w:val="24"/>
        </w:rPr>
        <w:t>When reports are made with concerns of torture or ill-treatment of a detainee, that detainees are provided with legal representation and a right of</w:t>
      </w:r>
      <w:r>
        <w:rPr>
          <w:spacing w:val="-1"/>
          <w:sz w:val="24"/>
        </w:rPr>
        <w:t xml:space="preserve"> </w:t>
      </w:r>
      <w:r>
        <w:rPr>
          <w:sz w:val="24"/>
        </w:rPr>
        <w:t>reply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Inspector decides whether further action is required.</w:t>
      </w:r>
    </w:p>
    <w:p w14:paraId="3FF09A4A" w14:textId="77777777" w:rsidR="005B409E" w:rsidRDefault="005B409E">
      <w:pPr>
        <w:pStyle w:val="BodyText"/>
        <w:spacing w:before="9"/>
        <w:rPr>
          <w:sz w:val="19"/>
        </w:rPr>
      </w:pPr>
    </w:p>
    <w:p w14:paraId="3FF09A4B" w14:textId="77777777" w:rsidR="005B409E" w:rsidRDefault="00000000">
      <w:pPr>
        <w:pStyle w:val="ListParagraph"/>
        <w:numPr>
          <w:ilvl w:val="1"/>
          <w:numId w:val="1"/>
        </w:numPr>
        <w:tabs>
          <w:tab w:val="left" w:pos="2235"/>
          <w:tab w:val="left" w:pos="2236"/>
        </w:tabs>
        <w:rPr>
          <w:sz w:val="24"/>
        </w:rPr>
      </w:pPr>
      <w:r>
        <w:rPr>
          <w:sz w:val="24"/>
        </w:rPr>
        <w:t>Expand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Inspector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include:</w:t>
      </w:r>
    </w:p>
    <w:p w14:paraId="3FF09A4C" w14:textId="77777777" w:rsidR="005B409E" w:rsidRDefault="00000000">
      <w:pPr>
        <w:pStyle w:val="ListParagraph"/>
        <w:numPr>
          <w:ilvl w:val="2"/>
          <w:numId w:val="1"/>
        </w:numPr>
        <w:tabs>
          <w:tab w:val="left" w:pos="2945"/>
        </w:tabs>
        <w:spacing w:before="240"/>
        <w:ind w:hanging="28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critical </w:t>
      </w:r>
      <w:proofErr w:type="gramStart"/>
      <w:r>
        <w:rPr>
          <w:spacing w:val="-2"/>
          <w:sz w:val="24"/>
        </w:rPr>
        <w:t>incidents;</w:t>
      </w:r>
      <w:proofErr w:type="gramEnd"/>
    </w:p>
    <w:p w14:paraId="3FF09A4D" w14:textId="77777777" w:rsidR="005B409E" w:rsidRDefault="005B409E">
      <w:pPr>
        <w:rPr>
          <w:sz w:val="24"/>
        </w:rPr>
        <w:sectPr w:rsidR="005B409E">
          <w:footerReference w:type="default" r:id="rId8"/>
          <w:pgSz w:w="11900" w:h="16850"/>
          <w:pgMar w:top="1400" w:right="380" w:bottom="1060" w:left="460" w:header="0" w:footer="863" w:gutter="0"/>
          <w:pgNumType w:start="2"/>
          <w:cols w:space="720"/>
        </w:sectPr>
      </w:pPr>
    </w:p>
    <w:p w14:paraId="3FF09A4E" w14:textId="77777777" w:rsidR="005B409E" w:rsidRDefault="00000000">
      <w:pPr>
        <w:pStyle w:val="ListParagraph"/>
        <w:numPr>
          <w:ilvl w:val="2"/>
          <w:numId w:val="1"/>
        </w:numPr>
        <w:tabs>
          <w:tab w:val="left" w:pos="2945"/>
        </w:tabs>
        <w:spacing w:before="59"/>
        <w:ind w:right="1596"/>
        <w:rPr>
          <w:sz w:val="24"/>
        </w:rPr>
      </w:pPr>
      <w:r>
        <w:rPr>
          <w:sz w:val="24"/>
        </w:rPr>
        <w:lastRenderedPageBreak/>
        <w:t>The power to submit proposals and observations on existing and draft</w:t>
      </w:r>
      <w:r>
        <w:rPr>
          <w:spacing w:val="-4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undertake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advocacy,</w:t>
      </w:r>
      <w:r>
        <w:rPr>
          <w:spacing w:val="-7"/>
          <w:sz w:val="24"/>
        </w:rPr>
        <w:t xml:space="preserve"> </w:t>
      </w:r>
      <w:r>
        <w:rPr>
          <w:sz w:val="24"/>
        </w:rPr>
        <w:t>awareness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raising and capacity </w:t>
      </w:r>
      <w:proofErr w:type="gramStart"/>
      <w:r>
        <w:rPr>
          <w:sz w:val="24"/>
        </w:rPr>
        <w:t>building;</w:t>
      </w:r>
      <w:proofErr w:type="gramEnd"/>
    </w:p>
    <w:p w14:paraId="3FF09A4F" w14:textId="77777777" w:rsidR="005B409E" w:rsidRDefault="005B409E">
      <w:pPr>
        <w:pStyle w:val="BodyText"/>
        <w:spacing w:before="7"/>
        <w:rPr>
          <w:sz w:val="19"/>
        </w:rPr>
      </w:pPr>
    </w:p>
    <w:p w14:paraId="3FF09A50" w14:textId="77777777" w:rsidR="005B409E" w:rsidRDefault="00000000">
      <w:pPr>
        <w:pStyle w:val="ListParagraph"/>
        <w:numPr>
          <w:ilvl w:val="2"/>
          <w:numId w:val="1"/>
        </w:numPr>
        <w:tabs>
          <w:tab w:val="left" w:pos="2945"/>
        </w:tabs>
        <w:ind w:right="2191"/>
        <w:rPr>
          <w:sz w:val="24"/>
        </w:rPr>
      </w:pP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Cabinet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 committee of Cabinet.</w:t>
      </w:r>
    </w:p>
    <w:p w14:paraId="3FF09A51" w14:textId="77777777" w:rsidR="005B409E" w:rsidRDefault="005B409E">
      <w:pPr>
        <w:pStyle w:val="BodyText"/>
        <w:spacing w:before="7"/>
        <w:rPr>
          <w:sz w:val="19"/>
        </w:rPr>
      </w:pPr>
    </w:p>
    <w:p w14:paraId="3FF09A52" w14:textId="77777777" w:rsidR="005B409E" w:rsidRDefault="00000000">
      <w:pPr>
        <w:pStyle w:val="ListParagraph"/>
        <w:numPr>
          <w:ilvl w:val="1"/>
          <w:numId w:val="1"/>
        </w:numPr>
        <w:tabs>
          <w:tab w:val="left" w:pos="2235"/>
          <w:tab w:val="left" w:pos="2236"/>
        </w:tabs>
        <w:spacing w:line="242" w:lineRule="auto"/>
        <w:ind w:right="1857"/>
        <w:rPr>
          <w:sz w:val="24"/>
        </w:rPr>
      </w:pPr>
      <w:r>
        <w:rPr>
          <w:sz w:val="24"/>
        </w:rPr>
        <w:t>Publish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Inspector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interact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existing oversight agencies, including the Official Visitor Regime and the QHRC.</w:t>
      </w:r>
    </w:p>
    <w:p w14:paraId="3FF09A53" w14:textId="77777777" w:rsidR="005B409E" w:rsidRDefault="005B409E">
      <w:pPr>
        <w:pStyle w:val="BodyText"/>
        <w:spacing w:before="4"/>
        <w:rPr>
          <w:sz w:val="19"/>
        </w:rPr>
      </w:pPr>
    </w:p>
    <w:p w14:paraId="3FF09A54" w14:textId="77777777" w:rsidR="005B409E" w:rsidRDefault="00000000">
      <w:pPr>
        <w:pStyle w:val="ListParagraph"/>
        <w:numPr>
          <w:ilvl w:val="1"/>
          <w:numId w:val="1"/>
        </w:numPr>
        <w:tabs>
          <w:tab w:val="left" w:pos="2235"/>
          <w:tab w:val="left" w:pos="2236"/>
        </w:tabs>
        <w:ind w:right="1343"/>
        <w:rPr>
          <w:sz w:val="24"/>
        </w:rPr>
      </w:pPr>
      <w:r>
        <w:rPr>
          <w:sz w:val="24"/>
        </w:rPr>
        <w:t>Consult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CSOs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detention facility will be inspected. This will ensure that all places susceptible to abuse receive appropriate oversight.</w:t>
      </w:r>
    </w:p>
    <w:p w14:paraId="3FF09A55" w14:textId="77777777" w:rsidR="005B409E" w:rsidRDefault="005B409E">
      <w:pPr>
        <w:pStyle w:val="BodyText"/>
      </w:pPr>
    </w:p>
    <w:p w14:paraId="3FF09A56" w14:textId="77777777" w:rsidR="005B409E" w:rsidRDefault="005B409E">
      <w:pPr>
        <w:pStyle w:val="BodyText"/>
        <w:spacing w:before="6"/>
        <w:rPr>
          <w:sz w:val="29"/>
        </w:rPr>
      </w:pPr>
    </w:p>
    <w:p w14:paraId="3FF09A57" w14:textId="77777777" w:rsidR="005B409E" w:rsidRDefault="00000000">
      <w:pPr>
        <w:pStyle w:val="BodyText"/>
        <w:ind w:left="1242"/>
      </w:pPr>
      <w:r>
        <w:t>Yours</w:t>
      </w:r>
      <w:r>
        <w:rPr>
          <w:spacing w:val="-2"/>
        </w:rPr>
        <w:t xml:space="preserve"> faithfully,</w:t>
      </w:r>
    </w:p>
    <w:p w14:paraId="3FF09A58" w14:textId="77777777" w:rsidR="005B409E" w:rsidRDefault="005B409E">
      <w:pPr>
        <w:pStyle w:val="BodyText"/>
      </w:pPr>
    </w:p>
    <w:p w14:paraId="3FF09A59" w14:textId="77777777" w:rsidR="005B409E" w:rsidRDefault="005B409E">
      <w:pPr>
        <w:pStyle w:val="BodyText"/>
        <w:spacing w:before="10"/>
        <w:rPr>
          <w:sz w:val="19"/>
        </w:rPr>
      </w:pPr>
    </w:p>
    <w:p w14:paraId="3FF09A5A" w14:textId="77777777" w:rsidR="005B409E" w:rsidRDefault="00000000">
      <w:pPr>
        <w:pStyle w:val="BodyText"/>
        <w:ind w:left="1242" w:right="4565"/>
      </w:pPr>
      <w:r>
        <w:t>Aboriginal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t>Strait</w:t>
      </w:r>
      <w:r>
        <w:rPr>
          <w:spacing w:val="-6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Service Aged and Disability Advocacy Australia</w:t>
      </w:r>
    </w:p>
    <w:p w14:paraId="3FF09A5B" w14:textId="77777777" w:rsidR="005B409E" w:rsidRDefault="00000000">
      <w:pPr>
        <w:pStyle w:val="BodyText"/>
        <w:spacing w:line="293" w:lineRule="exact"/>
        <w:ind w:left="1242"/>
      </w:pPr>
      <w:r>
        <w:t>Caxton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2"/>
        </w:rPr>
        <w:t>Centre</w:t>
      </w:r>
    </w:p>
    <w:p w14:paraId="3FF09A5C" w14:textId="77777777" w:rsidR="005B409E" w:rsidRDefault="00000000">
      <w:pPr>
        <w:pStyle w:val="BodyText"/>
        <w:ind w:left="1242" w:right="5971"/>
      </w:pPr>
      <w:r>
        <w:t>First</w:t>
      </w:r>
      <w:r>
        <w:rPr>
          <w:spacing w:val="-9"/>
        </w:rPr>
        <w:t xml:space="preserve"> </w:t>
      </w:r>
      <w:r>
        <w:t>Peoples</w:t>
      </w:r>
      <w:r>
        <w:rPr>
          <w:spacing w:val="-9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t>(FPDN) Mackay Advocacy</w:t>
      </w:r>
    </w:p>
    <w:p w14:paraId="3FF09A5D" w14:textId="77777777" w:rsidR="005B409E" w:rsidRDefault="00000000">
      <w:pPr>
        <w:pStyle w:val="BodyText"/>
        <w:ind w:left="1242" w:right="6991"/>
      </w:pPr>
      <w:r>
        <w:t>Prisoners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 xml:space="preserve">Service </w:t>
      </w:r>
      <w:r>
        <w:rPr>
          <w:spacing w:val="-2"/>
        </w:rPr>
        <w:t>QCOSS</w:t>
      </w:r>
    </w:p>
    <w:p w14:paraId="3FF09A5E" w14:textId="77777777" w:rsidR="005B409E" w:rsidRDefault="00000000">
      <w:pPr>
        <w:pStyle w:val="BodyText"/>
        <w:ind w:left="1242" w:right="5971"/>
      </w:pPr>
      <w:r>
        <w:t>Queensland</w:t>
      </w:r>
      <w:r>
        <w:rPr>
          <w:spacing w:val="-14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Inclusion Sisters Inside</w:t>
      </w:r>
    </w:p>
    <w:p w14:paraId="3FF09A5F" w14:textId="77777777" w:rsidR="005B409E" w:rsidRDefault="00000000">
      <w:pPr>
        <w:pStyle w:val="BodyText"/>
        <w:spacing w:line="293" w:lineRule="exact"/>
        <w:ind w:left="1242"/>
      </w:pPr>
      <w:r>
        <w:t>Speaking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You</w:t>
      </w:r>
    </w:p>
    <w:p w14:paraId="3FF09A60" w14:textId="77777777" w:rsidR="005B409E" w:rsidRDefault="00000000">
      <w:pPr>
        <w:pStyle w:val="BodyText"/>
        <w:ind w:left="1242" w:right="5003"/>
      </w:pPr>
      <w:r>
        <w:t>Steven Caruana, Australia OPCAT Network Uniting</w:t>
      </w:r>
      <w:r>
        <w:rPr>
          <w:spacing w:val="-10"/>
        </w:rPr>
        <w:t xml:space="preserve"> </w:t>
      </w:r>
      <w:r>
        <w:t>Church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Australia</w:t>
      </w:r>
      <w:r>
        <w:rPr>
          <w:spacing w:val="-8"/>
        </w:rPr>
        <w:t xml:space="preserve"> </w:t>
      </w:r>
      <w:r>
        <w:t>Queensland</w:t>
      </w:r>
      <w:r>
        <w:rPr>
          <w:spacing w:val="-8"/>
        </w:rPr>
        <w:t xml:space="preserve"> </w:t>
      </w:r>
      <w:r>
        <w:t>Synod</w:t>
      </w:r>
    </w:p>
    <w:p w14:paraId="3FF09A61" w14:textId="77777777" w:rsidR="005B409E" w:rsidRDefault="005B409E">
      <w:pPr>
        <w:pStyle w:val="BodyText"/>
        <w:rPr>
          <w:sz w:val="20"/>
        </w:rPr>
      </w:pPr>
    </w:p>
    <w:p w14:paraId="3FF09A62" w14:textId="77777777" w:rsidR="005B409E" w:rsidRDefault="005B409E">
      <w:pPr>
        <w:pStyle w:val="BodyText"/>
        <w:rPr>
          <w:sz w:val="20"/>
        </w:rPr>
      </w:pPr>
    </w:p>
    <w:p w14:paraId="3FF09A63" w14:textId="77777777" w:rsidR="005B409E" w:rsidRDefault="005B409E">
      <w:pPr>
        <w:pStyle w:val="BodyText"/>
        <w:rPr>
          <w:sz w:val="20"/>
        </w:rPr>
      </w:pPr>
    </w:p>
    <w:p w14:paraId="3FF09A64" w14:textId="5A6FA38A" w:rsidR="005B409E" w:rsidRDefault="00000000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F09A73" wp14:editId="17821F4B">
            <wp:simplePos x="0" y="0"/>
            <wp:positionH relativeFrom="page">
              <wp:posOffset>455423</wp:posOffset>
            </wp:positionH>
            <wp:positionV relativeFrom="paragraph">
              <wp:posOffset>193881</wp:posOffset>
            </wp:positionV>
            <wp:extent cx="3840008" cy="914400"/>
            <wp:effectExtent l="0" t="0" r="0" b="0"/>
            <wp:wrapTopAndBottom/>
            <wp:docPr id="1" name="image1.jpeg" descr="Aboriginal and Torres Strait Islander Legal Servi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boriginal and Torres Strait Islander Legal Service logo.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0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FF09A75" wp14:editId="717E6920">
            <wp:simplePos x="0" y="0"/>
            <wp:positionH relativeFrom="page">
              <wp:posOffset>4380865</wp:posOffset>
            </wp:positionH>
            <wp:positionV relativeFrom="paragraph">
              <wp:posOffset>120172</wp:posOffset>
            </wp:positionV>
            <wp:extent cx="2686238" cy="947261"/>
            <wp:effectExtent l="0" t="0" r="0" b="0"/>
            <wp:wrapTopAndBottom/>
            <wp:docPr id="3" name="image2.jpeg" descr="Aged and Disability Advocates Australi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ged and Disability Advocates Australia logo.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238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FF09A77" wp14:editId="162CE774">
            <wp:simplePos x="0" y="0"/>
            <wp:positionH relativeFrom="page">
              <wp:posOffset>955039</wp:posOffset>
            </wp:positionH>
            <wp:positionV relativeFrom="paragraph">
              <wp:posOffset>1636405</wp:posOffset>
            </wp:positionV>
            <wp:extent cx="2414299" cy="963930"/>
            <wp:effectExtent l="0" t="0" r="0" b="0"/>
            <wp:wrapTopAndBottom/>
            <wp:docPr id="5" name="image3.jpeg" descr="Caxton Legal Centr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axton Legal Centre logo.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99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FF09A79" wp14:editId="246D367B">
            <wp:simplePos x="0" y="0"/>
            <wp:positionH relativeFrom="page">
              <wp:posOffset>4464684</wp:posOffset>
            </wp:positionH>
            <wp:positionV relativeFrom="paragraph">
              <wp:posOffset>1231275</wp:posOffset>
            </wp:positionV>
            <wp:extent cx="1513925" cy="1623060"/>
            <wp:effectExtent l="0" t="0" r="0" b="0"/>
            <wp:wrapTopAndBottom/>
            <wp:docPr id="7" name="image4.jpeg" descr="First Peoples Disability Network Australi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First Peoples Disability Network Australia logo.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92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68F">
        <w:rPr>
          <w:sz w:val="13"/>
        </w:rPr>
        <w:t>Ca</w:t>
      </w:r>
    </w:p>
    <w:p w14:paraId="3FF09A65" w14:textId="77777777" w:rsidR="005B409E" w:rsidRDefault="005B409E">
      <w:pPr>
        <w:pStyle w:val="BodyText"/>
        <w:spacing w:before="11"/>
        <w:rPr>
          <w:sz w:val="13"/>
        </w:rPr>
      </w:pPr>
    </w:p>
    <w:p w14:paraId="3FF09A66" w14:textId="77777777" w:rsidR="005B409E" w:rsidRDefault="005B409E">
      <w:pPr>
        <w:rPr>
          <w:sz w:val="13"/>
        </w:rPr>
        <w:sectPr w:rsidR="005B409E">
          <w:pgSz w:w="11900" w:h="16850"/>
          <w:pgMar w:top="1380" w:right="380" w:bottom="1060" w:left="460" w:header="0" w:footer="863" w:gutter="0"/>
          <w:cols w:space="720"/>
        </w:sectPr>
      </w:pPr>
    </w:p>
    <w:p w14:paraId="3FF09A67" w14:textId="77777777" w:rsidR="005B409E" w:rsidRDefault="00000000">
      <w:pPr>
        <w:tabs>
          <w:tab w:val="left" w:pos="6910"/>
        </w:tabs>
        <w:ind w:left="117"/>
        <w:rPr>
          <w:sz w:val="20"/>
        </w:rPr>
      </w:pPr>
      <w:r>
        <w:rPr>
          <w:noProof/>
          <w:position w:val="68"/>
          <w:sz w:val="20"/>
        </w:rPr>
        <w:lastRenderedPageBreak/>
        <w:drawing>
          <wp:inline distT="0" distB="0" distL="0" distR="0" wp14:anchorId="3FF09A7B" wp14:editId="1DDAA73B">
            <wp:extent cx="3780791" cy="838200"/>
            <wp:effectExtent l="0" t="0" r="0" b="0"/>
            <wp:docPr id="9" name="image5.png" descr="Mackay Advocacy Inc.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Mackay Advocacy Inc. logo.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7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8"/>
          <w:sz w:val="20"/>
        </w:rPr>
        <w:tab/>
      </w:r>
      <w:r>
        <w:rPr>
          <w:noProof/>
          <w:sz w:val="20"/>
        </w:rPr>
        <w:drawing>
          <wp:inline distT="0" distB="0" distL="0" distR="0" wp14:anchorId="3FF09A7D" wp14:editId="0839CED1">
            <wp:extent cx="2558462" cy="1700783"/>
            <wp:effectExtent l="0" t="0" r="0" b="0"/>
            <wp:docPr id="11" name="image6.png" descr="Prisoners Legal Servic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Prisoners Legal Service logo.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62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09A68" w14:textId="77777777" w:rsidR="005B409E" w:rsidRDefault="005B409E">
      <w:pPr>
        <w:pStyle w:val="BodyText"/>
        <w:rPr>
          <w:sz w:val="20"/>
        </w:rPr>
      </w:pPr>
    </w:p>
    <w:p w14:paraId="3FF09A69" w14:textId="77777777" w:rsidR="005B409E" w:rsidRDefault="005B409E">
      <w:pPr>
        <w:pStyle w:val="BodyText"/>
        <w:rPr>
          <w:sz w:val="20"/>
        </w:rPr>
      </w:pPr>
    </w:p>
    <w:p w14:paraId="3FF09A6B" w14:textId="5FE07EF1" w:rsidR="005B409E" w:rsidRDefault="00000000">
      <w:pPr>
        <w:pStyle w:val="BodyText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FF09A7F" wp14:editId="77CD00DB">
            <wp:simplePos x="0" y="0"/>
            <wp:positionH relativeFrom="page">
              <wp:posOffset>664844</wp:posOffset>
            </wp:positionH>
            <wp:positionV relativeFrom="paragraph">
              <wp:posOffset>249287</wp:posOffset>
            </wp:positionV>
            <wp:extent cx="2813701" cy="831437"/>
            <wp:effectExtent l="0" t="0" r="0" b="0"/>
            <wp:wrapTopAndBottom/>
            <wp:docPr id="13" name="image7.png" descr="Queensland Council of Social Servi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Queensland Council of Social Services logo.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701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FF09A81" wp14:editId="51DA7C00">
            <wp:simplePos x="0" y="0"/>
            <wp:positionH relativeFrom="page">
              <wp:posOffset>4115434</wp:posOffset>
            </wp:positionH>
            <wp:positionV relativeFrom="paragraph">
              <wp:posOffset>197217</wp:posOffset>
            </wp:positionV>
            <wp:extent cx="2992305" cy="817245"/>
            <wp:effectExtent l="0" t="0" r="0" b="0"/>
            <wp:wrapTopAndBottom/>
            <wp:docPr id="15" name="image8.png" descr="Queensland Advocacy for Inclu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Queensland Advocacy for Inclusion logo.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0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09A6C" w14:textId="77777777" w:rsidR="005B409E" w:rsidRDefault="005B409E">
      <w:pPr>
        <w:pStyle w:val="BodyText"/>
        <w:rPr>
          <w:sz w:val="20"/>
        </w:rPr>
      </w:pPr>
    </w:p>
    <w:p w14:paraId="3FF09A6D" w14:textId="77777777" w:rsidR="005B409E" w:rsidRDefault="005B409E">
      <w:pPr>
        <w:pStyle w:val="BodyText"/>
        <w:rPr>
          <w:sz w:val="20"/>
        </w:rPr>
      </w:pPr>
    </w:p>
    <w:p w14:paraId="3FF09A6E" w14:textId="77777777" w:rsidR="005B409E" w:rsidRDefault="005B409E">
      <w:pPr>
        <w:pStyle w:val="BodyText"/>
        <w:rPr>
          <w:sz w:val="20"/>
        </w:rPr>
      </w:pPr>
    </w:p>
    <w:p w14:paraId="3FF09A6F" w14:textId="77777777" w:rsidR="005B409E" w:rsidRDefault="00000000">
      <w:pPr>
        <w:pStyle w:val="BodyText"/>
        <w:spacing w:before="7"/>
      </w:pPr>
      <w:r>
        <w:rPr>
          <w:noProof/>
        </w:rPr>
        <w:drawing>
          <wp:anchor distT="0" distB="0" distL="0" distR="0" simplePos="0" relativeHeight="6" behindDoc="0" locked="0" layoutInCell="1" allowOverlap="1" wp14:anchorId="3FF09A83" wp14:editId="6CF7F1BF">
            <wp:simplePos x="0" y="0"/>
            <wp:positionH relativeFrom="page">
              <wp:posOffset>1426489</wp:posOffset>
            </wp:positionH>
            <wp:positionV relativeFrom="paragraph">
              <wp:posOffset>205908</wp:posOffset>
            </wp:positionV>
            <wp:extent cx="1415123" cy="1893569"/>
            <wp:effectExtent l="0" t="0" r="0" b="0"/>
            <wp:wrapTopAndBottom/>
            <wp:docPr id="17" name="image9.png" descr="Sisters Insid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Sisters Inside logo.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23" cy="189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FF09A85" wp14:editId="243D068C">
            <wp:simplePos x="0" y="0"/>
            <wp:positionH relativeFrom="page">
              <wp:posOffset>4072890</wp:posOffset>
            </wp:positionH>
            <wp:positionV relativeFrom="paragraph">
              <wp:posOffset>259224</wp:posOffset>
            </wp:positionV>
            <wp:extent cx="2171103" cy="1731645"/>
            <wp:effectExtent l="0" t="0" r="0" b="0"/>
            <wp:wrapTopAndBottom/>
            <wp:docPr id="19" name="image10.jpeg" descr="Speaking Up For You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Speaking Up For You logo.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103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09A70" w14:textId="77777777" w:rsidR="005B409E" w:rsidRDefault="005B409E">
      <w:pPr>
        <w:pStyle w:val="BodyText"/>
        <w:rPr>
          <w:sz w:val="20"/>
        </w:rPr>
      </w:pPr>
    </w:p>
    <w:p w14:paraId="3FF09A71" w14:textId="77777777" w:rsidR="005B409E" w:rsidRDefault="005B409E">
      <w:pPr>
        <w:pStyle w:val="BodyText"/>
        <w:rPr>
          <w:sz w:val="20"/>
        </w:rPr>
      </w:pPr>
    </w:p>
    <w:p w14:paraId="3FF09A72" w14:textId="77777777" w:rsidR="005B409E" w:rsidRDefault="00000000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FF09A87" wp14:editId="107E8976">
            <wp:simplePos x="0" y="0"/>
            <wp:positionH relativeFrom="page">
              <wp:posOffset>2256789</wp:posOffset>
            </wp:positionH>
            <wp:positionV relativeFrom="paragraph">
              <wp:posOffset>105842</wp:posOffset>
            </wp:positionV>
            <wp:extent cx="2731125" cy="1555241"/>
            <wp:effectExtent l="0" t="0" r="0" b="0"/>
            <wp:wrapTopAndBottom/>
            <wp:docPr id="21" name="image11.jpeg" descr="The Uniting Church in Australia Queensland SYNO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The Uniting Church in Australia Queensland SYNOD logo.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125" cy="155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09E">
      <w:pgSz w:w="11900" w:h="16850"/>
      <w:pgMar w:top="1860" w:right="380" w:bottom="1060" w:left="4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D7CB" w14:textId="77777777" w:rsidR="00AE6333" w:rsidRDefault="00AE6333">
      <w:r>
        <w:separator/>
      </w:r>
    </w:p>
  </w:endnote>
  <w:endnote w:type="continuationSeparator" w:id="0">
    <w:p w14:paraId="3F424914" w14:textId="77777777" w:rsidR="00AE6333" w:rsidRDefault="00AE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A89" w14:textId="77777777" w:rsidR="005B409E" w:rsidRDefault="00000000">
    <w:pPr>
      <w:pStyle w:val="BodyText"/>
      <w:spacing w:line="14" w:lineRule="auto"/>
      <w:rPr>
        <w:sz w:val="20"/>
      </w:rPr>
    </w:pPr>
    <w:r>
      <w:pict w14:anchorId="3FF09A8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9.8pt;margin-top:787.9pt;width:13.1pt;height:14pt;z-index:-251658752;mso-position-horizontal-relative:page;mso-position-vertical-relative:page" filled="f" stroked="f">
          <v:textbox inset="0,0,0,0">
            <w:txbxContent>
              <w:p w14:paraId="3FF09A8B" w14:textId="77777777" w:rsidR="005B409E" w:rsidRDefault="00000000">
                <w:pPr>
                  <w:pStyle w:val="BodyText"/>
                  <w:spacing w:line="264" w:lineRule="exact"/>
                  <w:ind w:left="6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fldChar w:fldCharType="begin"/>
                </w:r>
                <w:r>
                  <w:rPr>
                    <w:rFonts w:ascii="Calibri Light"/>
                  </w:rPr>
                  <w:instrText xml:space="preserve"> PAGE </w:instrText>
                </w:r>
                <w:r>
                  <w:rPr>
                    <w:rFonts w:ascii="Calibri Light"/>
                  </w:rPr>
                  <w:fldChar w:fldCharType="separate"/>
                </w:r>
                <w:r>
                  <w:rPr>
                    <w:rFonts w:ascii="Calibri Light"/>
                  </w:rPr>
                  <w:t>2</w:t>
                </w:r>
                <w:r>
                  <w:rPr>
                    <w:rFonts w:ascii="Calibri Ligh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FB3D" w14:textId="77777777" w:rsidR="00AE6333" w:rsidRDefault="00AE6333">
      <w:r>
        <w:separator/>
      </w:r>
    </w:p>
  </w:footnote>
  <w:footnote w:type="continuationSeparator" w:id="0">
    <w:p w14:paraId="29DA6F21" w14:textId="77777777" w:rsidR="00AE6333" w:rsidRDefault="00AE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835"/>
    <w:multiLevelType w:val="hybridMultilevel"/>
    <w:tmpl w:val="8334C12C"/>
    <w:lvl w:ilvl="0" w:tplc="31A6FABC">
      <w:start w:val="1"/>
      <w:numFmt w:val="decimal"/>
      <w:lvlText w:val="%1."/>
      <w:lvlJc w:val="left"/>
      <w:pPr>
        <w:ind w:left="1669" w:hanging="428"/>
        <w:jc w:val="left"/>
      </w:pPr>
      <w:rPr>
        <w:rFonts w:hint="default"/>
        <w:w w:val="100"/>
        <w:lang w:val="en-US" w:eastAsia="en-US" w:bidi="ar-SA"/>
      </w:rPr>
    </w:lvl>
    <w:lvl w:ilvl="1" w:tplc="A942C50A">
      <w:numFmt w:val="bullet"/>
      <w:lvlText w:val=""/>
      <w:lvlJc w:val="left"/>
      <w:pPr>
        <w:ind w:left="2235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19C9B42">
      <w:numFmt w:val="bullet"/>
      <w:lvlText w:val=""/>
      <w:lvlJc w:val="left"/>
      <w:pPr>
        <w:ind w:left="294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8CE5538">
      <w:numFmt w:val="bullet"/>
      <w:lvlText w:val="•"/>
      <w:lvlJc w:val="left"/>
      <w:pPr>
        <w:ind w:left="3954" w:hanging="284"/>
      </w:pPr>
      <w:rPr>
        <w:rFonts w:hint="default"/>
        <w:lang w:val="en-US" w:eastAsia="en-US" w:bidi="ar-SA"/>
      </w:rPr>
    </w:lvl>
    <w:lvl w:ilvl="4" w:tplc="DD7A2E02">
      <w:numFmt w:val="bullet"/>
      <w:lvlText w:val="•"/>
      <w:lvlJc w:val="left"/>
      <w:pPr>
        <w:ind w:left="4969" w:hanging="284"/>
      </w:pPr>
      <w:rPr>
        <w:rFonts w:hint="default"/>
        <w:lang w:val="en-US" w:eastAsia="en-US" w:bidi="ar-SA"/>
      </w:rPr>
    </w:lvl>
    <w:lvl w:ilvl="5" w:tplc="90581DA0">
      <w:numFmt w:val="bullet"/>
      <w:lvlText w:val="•"/>
      <w:lvlJc w:val="left"/>
      <w:pPr>
        <w:ind w:left="5984" w:hanging="284"/>
      </w:pPr>
      <w:rPr>
        <w:rFonts w:hint="default"/>
        <w:lang w:val="en-US" w:eastAsia="en-US" w:bidi="ar-SA"/>
      </w:rPr>
    </w:lvl>
    <w:lvl w:ilvl="6" w:tplc="00DC6C0C">
      <w:numFmt w:val="bullet"/>
      <w:lvlText w:val="•"/>
      <w:lvlJc w:val="left"/>
      <w:pPr>
        <w:ind w:left="6999" w:hanging="284"/>
      </w:pPr>
      <w:rPr>
        <w:rFonts w:hint="default"/>
        <w:lang w:val="en-US" w:eastAsia="en-US" w:bidi="ar-SA"/>
      </w:rPr>
    </w:lvl>
    <w:lvl w:ilvl="7" w:tplc="69ECE594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ar-SA"/>
      </w:rPr>
    </w:lvl>
    <w:lvl w:ilvl="8" w:tplc="1674A37A">
      <w:numFmt w:val="bullet"/>
      <w:lvlText w:val="•"/>
      <w:lvlJc w:val="left"/>
      <w:pPr>
        <w:ind w:left="9029" w:hanging="284"/>
      </w:pPr>
      <w:rPr>
        <w:rFonts w:hint="default"/>
        <w:lang w:val="en-US" w:eastAsia="en-US" w:bidi="ar-SA"/>
      </w:rPr>
    </w:lvl>
  </w:abstractNum>
  <w:num w:numId="1" w16cid:durableId="5165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09E"/>
    <w:rsid w:val="005B409E"/>
    <w:rsid w:val="007F568F"/>
    <w:rsid w:val="008579A0"/>
    <w:rsid w:val="00AE6333"/>
    <w:rsid w:val="00C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09A1A"/>
  <w15:docId w15:val="{22746EF4-02E7-48D4-959A-0CED765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6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9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ttorney@ministerial.qld.gov.a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Leong</dc:creator>
  <cp:lastModifiedBy>Shannon Bell</cp:lastModifiedBy>
  <cp:revision>4</cp:revision>
  <dcterms:created xsi:type="dcterms:W3CDTF">2022-12-15T00:13:00Z</dcterms:created>
  <dcterms:modified xsi:type="dcterms:W3CDTF">2022-12-15T00:18:00Z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