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8802" w14:textId="77777777" w:rsidR="004C21CA" w:rsidRDefault="004C21CA" w:rsidP="004C21CA">
      <w:pPr>
        <w:pStyle w:val="Title"/>
        <w:rPr>
          <w:rStyle w:val="BookTitle"/>
          <w:rFonts w:ascii="Calibri" w:hAnsi="Calibri"/>
          <w:iCs w:val="0"/>
          <w:color w:val="auto"/>
          <w:spacing w:val="-10"/>
          <w:sz w:val="36"/>
          <w:szCs w:val="36"/>
        </w:rPr>
      </w:pPr>
    </w:p>
    <w:p w14:paraId="0B05F0F9" w14:textId="77777777" w:rsidR="00F14878" w:rsidRPr="00F14878" w:rsidRDefault="00F14878" w:rsidP="00F14878"/>
    <w:p w14:paraId="14B49C37" w14:textId="5427EE46" w:rsidR="004C21CA" w:rsidRDefault="004C21CA" w:rsidP="00EE7A31">
      <w:pPr>
        <w:pStyle w:val="Title"/>
        <w:rPr>
          <w:rStyle w:val="BookTitle"/>
          <w:rFonts w:ascii="Calibri" w:hAnsi="Calibri"/>
          <w:iCs w:val="0"/>
          <w:color w:val="auto"/>
          <w:spacing w:val="-10"/>
          <w:sz w:val="36"/>
          <w:szCs w:val="36"/>
        </w:rPr>
      </w:pPr>
      <w:r>
        <w:rPr>
          <w:rStyle w:val="BookTitle"/>
          <w:rFonts w:ascii="Calibri" w:hAnsi="Calibri"/>
          <w:iCs w:val="0"/>
          <w:color w:val="auto"/>
          <w:spacing w:val="-10"/>
          <w:sz w:val="36"/>
          <w:szCs w:val="36"/>
        </w:rPr>
        <w:tab/>
      </w:r>
      <w:r>
        <w:rPr>
          <w:rStyle w:val="BookTitle"/>
          <w:rFonts w:ascii="Calibri" w:hAnsi="Calibri"/>
          <w:iCs w:val="0"/>
          <w:color w:val="auto"/>
          <w:spacing w:val="-10"/>
          <w:sz w:val="36"/>
          <w:szCs w:val="36"/>
        </w:rPr>
        <w:tab/>
      </w:r>
      <w:r w:rsidR="00EB6575">
        <w:rPr>
          <w:rStyle w:val="BookTitle"/>
          <w:rFonts w:ascii="Calibri" w:hAnsi="Calibri"/>
          <w:iCs w:val="0"/>
          <w:color w:val="auto"/>
          <w:spacing w:val="-10"/>
          <w:sz w:val="36"/>
          <w:szCs w:val="36"/>
        </w:rPr>
        <w:t>F</w:t>
      </w:r>
      <w:r w:rsidR="00581889">
        <w:rPr>
          <w:rStyle w:val="BookTitle"/>
          <w:rFonts w:ascii="Calibri" w:hAnsi="Calibri"/>
          <w:iCs w:val="0"/>
          <w:color w:val="auto"/>
          <w:spacing w:val="-10"/>
          <w:sz w:val="36"/>
          <w:szCs w:val="36"/>
        </w:rPr>
        <w:t xml:space="preserve">inal </w:t>
      </w:r>
      <w:r w:rsidR="00EE7A31">
        <w:rPr>
          <w:rStyle w:val="BookTitle"/>
          <w:rFonts w:ascii="Calibri" w:hAnsi="Calibri"/>
          <w:iCs w:val="0"/>
          <w:color w:val="auto"/>
          <w:spacing w:val="-10"/>
          <w:sz w:val="36"/>
          <w:szCs w:val="36"/>
        </w:rPr>
        <w:t>R</w:t>
      </w:r>
      <w:r w:rsidR="00613C5A" w:rsidRPr="007337E0">
        <w:rPr>
          <w:rStyle w:val="BookTitle"/>
          <w:rFonts w:ascii="Calibri" w:hAnsi="Calibri"/>
          <w:iCs w:val="0"/>
          <w:color w:val="auto"/>
          <w:spacing w:val="-10"/>
          <w:sz w:val="36"/>
          <w:szCs w:val="36"/>
        </w:rPr>
        <w:t xml:space="preserve">ecommendations </w:t>
      </w:r>
    </w:p>
    <w:p w14:paraId="410B64A8" w14:textId="77777777" w:rsidR="00EE7A31" w:rsidRPr="00EE7A31" w:rsidRDefault="00EE7A31" w:rsidP="00EE7A31"/>
    <w:p w14:paraId="5476F6FA" w14:textId="082563BC" w:rsidR="1B8A2A76" w:rsidRDefault="00EE7A31" w:rsidP="00EE7A31">
      <w:pPr>
        <w:pStyle w:val="Title"/>
        <w:spacing w:before="240"/>
        <w:ind w:left="720"/>
        <w:rPr>
          <w:rFonts w:eastAsia="Calibri"/>
          <w:b/>
          <w:bCs/>
          <w:sz w:val="36"/>
          <w:szCs w:val="36"/>
        </w:rPr>
      </w:pPr>
      <w:r>
        <w:rPr>
          <w:rFonts w:eastAsia="Calibri"/>
          <w:b/>
          <w:bCs/>
          <w:sz w:val="36"/>
          <w:szCs w:val="36"/>
        </w:rPr>
        <w:t xml:space="preserve">to </w:t>
      </w:r>
      <w:r w:rsidR="00613C5A">
        <w:rPr>
          <w:rFonts w:eastAsia="Calibri"/>
          <w:b/>
          <w:bCs/>
          <w:sz w:val="36"/>
          <w:szCs w:val="36"/>
        </w:rPr>
        <w:t>The Royal Commission into Violence, Abuse, Neglect</w:t>
      </w:r>
      <w:r w:rsidR="00572B16">
        <w:rPr>
          <w:rFonts w:eastAsia="Calibri"/>
          <w:b/>
          <w:bCs/>
          <w:sz w:val="36"/>
          <w:szCs w:val="36"/>
        </w:rPr>
        <w:t xml:space="preserve"> and Exploitation of People with Disability</w:t>
      </w:r>
    </w:p>
    <w:p w14:paraId="4E410138" w14:textId="77777777" w:rsidR="00EE7A31" w:rsidRPr="00EE7A31" w:rsidRDefault="00EE7A31" w:rsidP="00EE7A31"/>
    <w:p w14:paraId="5AE783B4" w14:textId="182B0497" w:rsidR="001545DE" w:rsidRDefault="00EE7A31" w:rsidP="00EE7A31">
      <w:pPr>
        <w:rPr>
          <w:rFonts w:eastAsia="Calibri"/>
          <w:b/>
          <w:bCs/>
          <w:sz w:val="36"/>
          <w:szCs w:val="36"/>
        </w:rPr>
      </w:pPr>
      <w:r>
        <w:rPr>
          <w:rFonts w:eastAsia="Calibri"/>
          <w:b/>
          <w:bCs/>
          <w:sz w:val="36"/>
          <w:szCs w:val="36"/>
        </w:rPr>
        <w:tab/>
      </w:r>
      <w:r>
        <w:rPr>
          <w:rFonts w:eastAsia="Calibri"/>
          <w:b/>
          <w:bCs/>
          <w:sz w:val="36"/>
          <w:szCs w:val="36"/>
        </w:rPr>
        <w:tab/>
      </w:r>
      <w:r w:rsidR="00572B16">
        <w:rPr>
          <w:rFonts w:eastAsia="Calibri"/>
          <w:b/>
          <w:bCs/>
          <w:sz w:val="36"/>
          <w:szCs w:val="36"/>
        </w:rPr>
        <w:t>December 2022</w:t>
      </w:r>
    </w:p>
    <w:p w14:paraId="0C1442E8" w14:textId="06DD7034" w:rsidR="00E8197C" w:rsidRDefault="00E8197C" w:rsidP="001545DE">
      <w:pPr>
        <w:ind w:left="1134"/>
        <w:rPr>
          <w:rFonts w:eastAsia="Calibri"/>
          <w:b/>
          <w:bCs/>
          <w:sz w:val="36"/>
          <w:szCs w:val="36"/>
        </w:rPr>
        <w:sectPr w:rsidR="00E8197C" w:rsidSect="001545DE">
          <w:footerReference w:type="even" r:id="rId11"/>
          <w:footerReference w:type="default" r:id="rId12"/>
          <w:headerReference w:type="first" r:id="rId13"/>
          <w:footerReference w:type="first" r:id="rId14"/>
          <w:pgSz w:w="11900" w:h="16840" w:code="9"/>
          <w:pgMar w:top="1440" w:right="1077" w:bottom="1440" w:left="1077" w:header="709" w:footer="595" w:gutter="0"/>
          <w:cols w:space="708"/>
          <w:vAlign w:val="center"/>
          <w:titlePg/>
          <w:docGrid w:linePitch="400"/>
        </w:sectPr>
      </w:pPr>
    </w:p>
    <w:p w14:paraId="1D5C2DAE" w14:textId="38D39753" w:rsidR="000A1ABB" w:rsidRPr="001545DE" w:rsidRDefault="000A1ABB" w:rsidP="001545DE">
      <w:pPr>
        <w:pStyle w:val="Heading1"/>
      </w:pPr>
      <w:r w:rsidRPr="001545DE">
        <w:lastRenderedPageBreak/>
        <w:t xml:space="preserve">About Queensland Advocacy </w:t>
      </w:r>
      <w:r w:rsidR="00DC499F" w:rsidRPr="001545DE">
        <w:t>for Inclusion</w:t>
      </w:r>
    </w:p>
    <w:p w14:paraId="192FF4AF" w14:textId="4A5ED624" w:rsidR="00735296" w:rsidRPr="00BC1C68" w:rsidRDefault="00735296" w:rsidP="00E5774A">
      <w:r w:rsidRPr="00BC1C68">
        <w:t xml:space="preserve">Queensland Advocacy </w:t>
      </w:r>
      <w:r w:rsidR="00DC499F">
        <w:t xml:space="preserve">for Inclusion </w:t>
      </w:r>
      <w:r w:rsidRPr="00BC1C68">
        <w:t>(</w:t>
      </w:r>
      <w:r w:rsidRPr="00F92D5A">
        <w:t>QAI</w:t>
      </w:r>
      <w:r w:rsidRPr="00BC1C68">
        <w:t>)</w:t>
      </w:r>
      <w:r w:rsidR="00DC499F">
        <w:t xml:space="preserve"> (formerly Queensland Advocacy Incorporated)</w:t>
      </w:r>
      <w:r w:rsidRPr="00BC1C68">
        <w:t xml:space="preserve"> is an independent, community-based advocacy organisation and community legal service that provides individual and systems advocacy for people with disability. Our </w:t>
      </w:r>
      <w:r w:rsidR="000B6729">
        <w:t>purpose</w:t>
      </w:r>
      <w:r w:rsidRPr="00BC1C68">
        <w:t xml:space="preserve"> is to </w:t>
      </w:r>
      <w:r>
        <w:t xml:space="preserve">advocate for the protection and advancement of the fundamental needs, </w:t>
      </w:r>
      <w:proofErr w:type="gramStart"/>
      <w:r>
        <w:t>rights</w:t>
      </w:r>
      <w:proofErr w:type="gramEnd"/>
      <w:r>
        <w:t xml:space="preserve"> and lives</w:t>
      </w:r>
      <w:r w:rsidRPr="00BC1C68">
        <w:t xml:space="preserve"> of people with disability in Queensland. QAI’s </w:t>
      </w:r>
      <w:r w:rsidR="00986F50">
        <w:t>Management Committee</w:t>
      </w:r>
      <w:r w:rsidRPr="00BC1C68">
        <w:t xml:space="preserve"> is comprised of </w:t>
      </w:r>
      <w:proofErr w:type="gramStart"/>
      <w:r w:rsidRPr="00BC1C68">
        <w:t>a majority of</w:t>
      </w:r>
      <w:proofErr w:type="gramEnd"/>
      <w:r w:rsidRPr="00BC1C68">
        <w:t xml:space="preserve"> persons with disability, whose wisdom and lived experience is our foundation and guide.</w:t>
      </w:r>
    </w:p>
    <w:p w14:paraId="50F53EF8" w14:textId="0F428F67" w:rsidR="009B6F0F" w:rsidRPr="009B6F0F" w:rsidRDefault="009B6F0F" w:rsidP="00E5774A">
      <w:pPr>
        <w:rPr>
          <w:rFonts w:ascii="Segoe UI" w:eastAsia="Times New Roman" w:hAnsi="Segoe UI" w:cs="Segoe UI"/>
          <w:sz w:val="18"/>
          <w:szCs w:val="18"/>
          <w:lang w:eastAsia="en-AU"/>
        </w:rPr>
      </w:pPr>
      <w:r w:rsidRPr="009B6F0F">
        <w:rPr>
          <w:rFonts w:ascii="Calibri" w:eastAsia="Times New Roman" w:hAnsi="Calibri" w:cs="Calibri"/>
          <w:lang w:eastAsia="en-AU"/>
        </w:rPr>
        <w:t>QAI has been engaged in systems advocacy for over thirty years, advocating for change through campaigns directed at attitudinal, law and policy reform. QAI has also supported the development of a range of advocacy initiatives in this state. </w:t>
      </w:r>
      <w:r w:rsidRPr="009B6F0F">
        <w:rPr>
          <w:rFonts w:ascii="Calibri" w:eastAsia="Times New Roman" w:hAnsi="Calibri" w:cs="Calibri"/>
          <w:color w:val="000000"/>
          <w:lang w:eastAsia="en-AU"/>
        </w:rPr>
        <w:t>For over a decade, QAI has provided highly in-demand individual advocacy services. These services are currently provided through our four advocacy practices: the Human Rights Advocacy Practice (which provides legal advocacy in the areas of guardianship and administration, disability discrimination and human rights law and non-legal advocacy support with the Disability Royal Commission and the justice interface</w:t>
      </w:r>
      <w:r w:rsidR="00276449">
        <w:rPr>
          <w:rFonts w:ascii="Calibri" w:eastAsia="Times New Roman" w:hAnsi="Calibri" w:cs="Calibri"/>
          <w:color w:val="000000"/>
          <w:lang w:eastAsia="en-AU"/>
        </w:rPr>
        <w:t xml:space="preserve">, as well as </w:t>
      </w:r>
      <w:r w:rsidR="00557682">
        <w:rPr>
          <w:rFonts w:ascii="Calibri" w:eastAsia="Times New Roman" w:hAnsi="Calibri" w:cs="Calibri"/>
          <w:color w:val="000000"/>
          <w:lang w:eastAsia="en-AU"/>
        </w:rPr>
        <w:t>Indigenous Advocacy</w:t>
      </w:r>
      <w:r w:rsidRPr="009B6F0F">
        <w:rPr>
          <w:rFonts w:ascii="Calibri" w:eastAsia="Times New Roman" w:hAnsi="Calibri" w:cs="Calibri"/>
          <w:color w:val="000000"/>
          <w:lang w:eastAsia="en-AU"/>
        </w:rPr>
        <w:t>); the Mental Health Advocacy Practice (which supports people receiving involuntary treatment for mental illness); the NDIS Advocacy Practice (which provides support for people challenging decisions of the National Disability Insurance Agency and decision support to access the NDIS); and the Disability Advocacy Practice (which operates the Pathways information and referral line, and provides non-legal advocacy support with Education and other systems that impact young people with disability).</w:t>
      </w:r>
      <w:r w:rsidR="00DF1AB0" w:rsidRPr="009B6F0F">
        <w:rPr>
          <w:rFonts w:ascii="Calibri" w:eastAsia="Times New Roman" w:hAnsi="Calibri" w:cs="Calibri"/>
          <w:color w:val="000000"/>
          <w:lang w:eastAsia="en-AU"/>
        </w:rPr>
        <w:t xml:space="preserve"> </w:t>
      </w:r>
      <w:r w:rsidRPr="009B6F0F">
        <w:rPr>
          <w:rFonts w:ascii="Calibri" w:eastAsia="Times New Roman" w:hAnsi="Calibri" w:cs="Calibri"/>
          <w:color w:val="000000"/>
          <w:lang w:eastAsia="en-AU"/>
        </w:rPr>
        <w:t>  </w:t>
      </w:r>
    </w:p>
    <w:p w14:paraId="08411328" w14:textId="3BF0F405" w:rsidR="009D0259" w:rsidRDefault="009B6F0F" w:rsidP="00E5774A">
      <w:pPr>
        <w:rPr>
          <w:rFonts w:ascii="Calibri" w:eastAsia="Times New Roman" w:hAnsi="Calibri" w:cs="Calibri"/>
          <w:color w:val="000000"/>
          <w:lang w:eastAsia="en-AU"/>
        </w:rPr>
      </w:pPr>
      <w:r w:rsidRPr="009B6F0F">
        <w:rPr>
          <w:rFonts w:ascii="Calibri" w:eastAsia="Times New Roman" w:hAnsi="Calibri" w:cs="Calibri"/>
          <w:lang w:val="en-US" w:eastAsia="en-AU"/>
        </w:rPr>
        <w:t xml:space="preserve">From 1 January 2022, we have been funded by the Queensland Government to establish and co-ordinate the Queensland </w:t>
      </w:r>
      <w:r w:rsidR="00DC499F">
        <w:rPr>
          <w:rFonts w:ascii="Calibri" w:eastAsia="Times New Roman" w:hAnsi="Calibri" w:cs="Calibri"/>
          <w:lang w:val="en-US" w:eastAsia="en-AU"/>
        </w:rPr>
        <w:t xml:space="preserve">Independent </w:t>
      </w:r>
      <w:r w:rsidRPr="009B6F0F">
        <w:rPr>
          <w:rFonts w:ascii="Calibri" w:eastAsia="Times New Roman" w:hAnsi="Calibri" w:cs="Calibri"/>
          <w:lang w:val="en-US" w:eastAsia="en-AU"/>
        </w:rPr>
        <w:t xml:space="preserve">Disability Advocacy Network (QIDAN), which includes operating the Disability Advocacy Pathways Hotline, a </w:t>
      </w:r>
      <w:r w:rsidR="00E24B25" w:rsidRPr="009B6F0F">
        <w:rPr>
          <w:rFonts w:ascii="Calibri" w:eastAsia="Times New Roman" w:hAnsi="Calibri" w:cs="Calibri"/>
          <w:lang w:val="en-US" w:eastAsia="en-AU"/>
        </w:rPr>
        <w:t>centrali</w:t>
      </w:r>
      <w:r w:rsidR="00E24B25">
        <w:rPr>
          <w:rFonts w:ascii="Calibri" w:eastAsia="Times New Roman" w:hAnsi="Calibri" w:cs="Calibri"/>
          <w:lang w:val="en-US" w:eastAsia="en-AU"/>
        </w:rPr>
        <w:t>z</w:t>
      </w:r>
      <w:r w:rsidR="00E24B25" w:rsidRPr="009B6F0F">
        <w:rPr>
          <w:rFonts w:ascii="Calibri" w:eastAsia="Times New Roman" w:hAnsi="Calibri" w:cs="Calibri"/>
          <w:lang w:val="en-US" w:eastAsia="en-AU"/>
        </w:rPr>
        <w:t>ed</w:t>
      </w:r>
      <w:r w:rsidRPr="009B6F0F">
        <w:rPr>
          <w:rFonts w:ascii="Calibri" w:eastAsia="Times New Roman" w:hAnsi="Calibri" w:cs="Calibri"/>
          <w:lang w:val="en-US" w:eastAsia="en-AU"/>
        </w:rPr>
        <w:t xml:space="preserve"> phone support </w:t>
      </w:r>
      <w:r w:rsidR="005552A7" w:rsidRPr="009B6F0F">
        <w:rPr>
          <w:rFonts w:ascii="Calibri" w:eastAsia="Times New Roman" w:hAnsi="Calibri" w:cs="Calibri"/>
          <w:lang w:val="en-US" w:eastAsia="en-AU"/>
        </w:rPr>
        <w:t xml:space="preserve">providing information and referral </w:t>
      </w:r>
      <w:r w:rsidRPr="009B6F0F">
        <w:rPr>
          <w:rFonts w:ascii="Calibri" w:eastAsia="Times New Roman" w:hAnsi="Calibri" w:cs="Calibri"/>
          <w:lang w:val="en-US" w:eastAsia="en-AU"/>
        </w:rPr>
        <w:t xml:space="preserve">for all people with disability in Queensland. We have also been funded to provide advocacy for young people with disability as part of the QIDAN network, which we provide in addition to our non-legal education advocacy for Queensland students with disability. </w:t>
      </w:r>
      <w:r w:rsidRPr="009B6F0F">
        <w:rPr>
          <w:rFonts w:ascii="Calibri" w:eastAsia="Times New Roman" w:hAnsi="Calibri" w:cs="Calibri"/>
          <w:color w:val="000000"/>
          <w:lang w:eastAsia="en-AU"/>
        </w:rPr>
        <w:t>Our individual advocacy experience informs our understanding and prioritisation of systemic advocacy issues.</w:t>
      </w:r>
    </w:p>
    <w:p w14:paraId="262A99E7" w14:textId="502DCDE8" w:rsidR="00561A03" w:rsidRDefault="00561A03" w:rsidP="00E5774A">
      <w:pPr>
        <w:rPr>
          <w:rFonts w:ascii="Calibri" w:eastAsia="Times New Roman" w:hAnsi="Calibri" w:cs="Calibri"/>
          <w:lang w:val="en-US" w:eastAsia="en-AU"/>
        </w:rPr>
      </w:pPr>
      <w:r>
        <w:rPr>
          <w:rFonts w:ascii="Calibri" w:eastAsia="Times New Roman" w:hAnsi="Calibri" w:cs="Calibri"/>
          <w:lang w:val="en-US" w:eastAsia="en-AU"/>
        </w:rPr>
        <w:t>The objects of QAI’s constitution are:</w:t>
      </w:r>
    </w:p>
    <w:p w14:paraId="44DC56DA" w14:textId="7844D760" w:rsidR="00561A03" w:rsidRPr="00E5774A" w:rsidRDefault="00561A03"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advocate for the protection and advancement of the needs</w:t>
      </w:r>
      <w:r w:rsidR="008326C9" w:rsidRPr="00E5774A">
        <w:rPr>
          <w:rFonts w:ascii="Calibri" w:eastAsia="Times New Roman" w:hAnsi="Calibri" w:cs="Calibri"/>
          <w:color w:val="000000"/>
          <w:lang w:eastAsia="en-AU"/>
        </w:rPr>
        <w:t xml:space="preserve">, </w:t>
      </w:r>
      <w:proofErr w:type="gramStart"/>
      <w:r w:rsidR="008326C9" w:rsidRPr="00E5774A">
        <w:rPr>
          <w:rFonts w:ascii="Calibri" w:eastAsia="Times New Roman" w:hAnsi="Calibri" w:cs="Calibri"/>
          <w:color w:val="000000"/>
          <w:lang w:eastAsia="en-AU"/>
        </w:rPr>
        <w:t>rights</w:t>
      </w:r>
      <w:proofErr w:type="gramEnd"/>
      <w:r w:rsidR="008326C9" w:rsidRPr="00E5774A">
        <w:rPr>
          <w:rFonts w:ascii="Calibri" w:eastAsia="Times New Roman" w:hAnsi="Calibri" w:cs="Calibri"/>
          <w:color w:val="000000"/>
          <w:lang w:eastAsia="en-AU"/>
        </w:rPr>
        <w:t xml:space="preserve"> and lives of people with disability in Queensland;</w:t>
      </w:r>
    </w:p>
    <w:p w14:paraId="2F6E0C26" w14:textId="5B0139AA" w:rsidR="008326C9" w:rsidRPr="00E5774A" w:rsidRDefault="008326C9"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protect and advance human rights including the Convention on the Rights of Persons with Disabilit</w:t>
      </w:r>
      <w:r w:rsidR="00DF1AB0" w:rsidRPr="00E5774A">
        <w:rPr>
          <w:rFonts w:ascii="Calibri" w:eastAsia="Times New Roman" w:hAnsi="Calibri" w:cs="Calibri"/>
          <w:color w:val="000000"/>
          <w:lang w:eastAsia="en-AU"/>
        </w:rPr>
        <w:t>ies (CRPD)</w:t>
      </w:r>
      <w:r w:rsidRPr="00E5774A">
        <w:rPr>
          <w:rFonts w:ascii="Calibri" w:eastAsia="Times New Roman" w:hAnsi="Calibri" w:cs="Calibri"/>
          <w:color w:val="000000"/>
          <w:lang w:eastAsia="en-AU"/>
        </w:rPr>
        <w:t>;</w:t>
      </w:r>
    </w:p>
    <w:p w14:paraId="6045E8C3" w14:textId="77DF3DDA" w:rsidR="008326C9" w:rsidRPr="00E5774A" w:rsidRDefault="008326C9"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be accountable to the most disadvantaged people with disability in Queensland; and</w:t>
      </w:r>
    </w:p>
    <w:p w14:paraId="6C35BB30" w14:textId="7D4B9A03" w:rsidR="00DD56D1" w:rsidRDefault="008326C9" w:rsidP="325F15C5">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advance the health, social and public wellbeing of disadvantaged people with disability.</w:t>
      </w:r>
    </w:p>
    <w:p w14:paraId="4DC0653F" w14:textId="77777777" w:rsidR="00DD56D1" w:rsidRDefault="00DD56D1">
      <w:pPr>
        <w:tabs>
          <w:tab w:val="clear" w:pos="288"/>
        </w:tabs>
        <w:spacing w:after="160" w:line="259" w:lineRule="auto"/>
        <w:rPr>
          <w:rFonts w:eastAsia="Times New Roman"/>
          <w:b/>
          <w:bCs/>
          <w:sz w:val="32"/>
          <w:szCs w:val="28"/>
          <w:lang w:eastAsia="en-US"/>
        </w:rPr>
      </w:pPr>
      <w:r>
        <w:br w:type="page"/>
      </w:r>
    </w:p>
    <w:p w14:paraId="2597563F" w14:textId="5A175FBB" w:rsidR="00864664" w:rsidRDefault="00864664" w:rsidP="001545DE">
      <w:pPr>
        <w:pStyle w:val="Heading1"/>
      </w:pPr>
      <w:r w:rsidRPr="001545DE">
        <w:lastRenderedPageBreak/>
        <w:t>QAI’s recommendations</w:t>
      </w:r>
    </w:p>
    <w:tbl>
      <w:tblPr>
        <w:tblStyle w:val="TableGrid"/>
        <w:tblW w:w="0" w:type="auto"/>
        <w:tblLook w:val="04A0" w:firstRow="1" w:lastRow="0" w:firstColumn="1" w:lastColumn="0" w:noHBand="0" w:noVBand="1"/>
      </w:tblPr>
      <w:tblGrid>
        <w:gridCol w:w="9736"/>
      </w:tblGrid>
      <w:tr w:rsidR="004073CD" w14:paraId="5F103349" w14:textId="77777777" w:rsidTr="00C41BEE">
        <w:tc>
          <w:tcPr>
            <w:tcW w:w="9736" w:type="dxa"/>
            <w:shd w:val="clear" w:color="auto" w:fill="F2F2F2" w:themeFill="background1" w:themeFillShade="F2"/>
          </w:tcPr>
          <w:p w14:paraId="32478F1F" w14:textId="34882E70" w:rsidR="009F47C2" w:rsidRPr="009F0AC7" w:rsidRDefault="009F47C2" w:rsidP="00FE4273">
            <w:pPr>
              <w:rPr>
                <w:lang w:eastAsia="en-US"/>
              </w:rPr>
            </w:pPr>
            <w:r w:rsidRPr="009F0AC7">
              <w:rPr>
                <w:lang w:eastAsia="en-US"/>
              </w:rPr>
              <w:t xml:space="preserve">In addition to the detailed recommendations provided </w:t>
            </w:r>
            <w:r w:rsidR="004C50FF" w:rsidRPr="009F0AC7">
              <w:rPr>
                <w:lang w:eastAsia="en-US"/>
              </w:rPr>
              <w:t xml:space="preserve">in </w:t>
            </w:r>
            <w:r w:rsidR="0087566D">
              <w:rPr>
                <w:lang w:eastAsia="en-US"/>
              </w:rPr>
              <w:t>QAI’s ten</w:t>
            </w:r>
            <w:r w:rsidR="004C50FF" w:rsidRPr="009F0AC7">
              <w:rPr>
                <w:lang w:eastAsia="en-US"/>
              </w:rPr>
              <w:t xml:space="preserve"> previous</w:t>
            </w:r>
            <w:r w:rsidR="0087566D">
              <w:rPr>
                <w:lang w:eastAsia="en-US"/>
              </w:rPr>
              <w:t xml:space="preserve"> written</w:t>
            </w:r>
            <w:r w:rsidR="000533DC" w:rsidRPr="009F0AC7">
              <w:rPr>
                <w:lang w:eastAsia="en-US"/>
              </w:rPr>
              <w:t xml:space="preserve"> submissions to the </w:t>
            </w:r>
            <w:r w:rsidR="004B7726">
              <w:t>Royal Commission into Violence, Abuse, Neglect and Exploitation of People with Disability (‘Royal Commission’ hereafter)</w:t>
            </w:r>
            <w:r w:rsidR="000533DC" w:rsidRPr="009F0AC7">
              <w:rPr>
                <w:lang w:eastAsia="en-US"/>
              </w:rPr>
              <w:t>;</w:t>
            </w:r>
          </w:p>
          <w:p w14:paraId="2F9D6E74" w14:textId="77777777" w:rsidR="009F0AC7" w:rsidRPr="003D7B7E" w:rsidRDefault="009F0AC7" w:rsidP="009F0AC7">
            <w:pPr>
              <w:rPr>
                <w:b/>
                <w:bCs/>
              </w:rPr>
            </w:pPr>
            <w:r w:rsidRPr="003D7B7E">
              <w:rPr>
                <w:b/>
                <w:bCs/>
              </w:rPr>
              <w:t>1.</w:t>
            </w:r>
            <w:r w:rsidRPr="003D7B7E">
              <w:rPr>
                <w:b/>
                <w:bCs/>
              </w:rPr>
              <w:tab/>
              <w:t>End the segregation of people with disability</w:t>
            </w:r>
          </w:p>
          <w:p w14:paraId="2534C448" w14:textId="677A8CB3" w:rsidR="00CF6655" w:rsidRDefault="0068204B" w:rsidP="009F0AC7">
            <w:pPr>
              <w:pStyle w:val="ListParagraph"/>
              <w:numPr>
                <w:ilvl w:val="0"/>
                <w:numId w:val="13"/>
              </w:numPr>
              <w:tabs>
                <w:tab w:val="clear" w:pos="288"/>
                <w:tab w:val="left" w:pos="455"/>
              </w:tabs>
              <w:ind w:left="709" w:hanging="283"/>
              <w:rPr>
                <w:lang w:eastAsia="en-US"/>
              </w:rPr>
            </w:pPr>
            <w:r>
              <w:rPr>
                <w:lang w:eastAsia="en-US"/>
              </w:rPr>
              <w:t xml:space="preserve">Fully implement the </w:t>
            </w:r>
            <w:r w:rsidR="00C7746A">
              <w:rPr>
                <w:lang w:eastAsia="en-US"/>
              </w:rPr>
              <w:t>“</w:t>
            </w:r>
            <w:r w:rsidR="0082123C">
              <w:rPr>
                <w:lang w:eastAsia="en-US"/>
              </w:rPr>
              <w:t>Guidelines on deinstitu</w:t>
            </w:r>
            <w:r w:rsidR="002F0183">
              <w:rPr>
                <w:lang w:eastAsia="en-US"/>
              </w:rPr>
              <w:t>tionalization, including in emergencies</w:t>
            </w:r>
            <w:r w:rsidR="00C7746A">
              <w:rPr>
                <w:lang w:eastAsia="en-US"/>
              </w:rPr>
              <w:t>”</w:t>
            </w:r>
            <w:r w:rsidR="009A00F3">
              <w:rPr>
                <w:lang w:eastAsia="en-US"/>
              </w:rPr>
              <w:t xml:space="preserve"> </w:t>
            </w:r>
            <w:r w:rsidR="00CF6655">
              <w:rPr>
                <w:lang w:eastAsia="en-US"/>
              </w:rPr>
              <w:t>from the Committee on the Rights of Persons wi</w:t>
            </w:r>
            <w:r w:rsidR="00B950D4">
              <w:rPr>
                <w:lang w:eastAsia="en-US"/>
              </w:rPr>
              <w:t>th Disabilities.</w:t>
            </w:r>
          </w:p>
          <w:p w14:paraId="45A32923" w14:textId="040DEC74" w:rsidR="009F0AC7" w:rsidRPr="00220E2C" w:rsidRDefault="009F0AC7" w:rsidP="009F0AC7">
            <w:pPr>
              <w:pStyle w:val="ListParagraph"/>
              <w:numPr>
                <w:ilvl w:val="0"/>
                <w:numId w:val="13"/>
              </w:numPr>
              <w:tabs>
                <w:tab w:val="clear" w:pos="288"/>
                <w:tab w:val="left" w:pos="455"/>
              </w:tabs>
              <w:ind w:left="709" w:hanging="283"/>
              <w:rPr>
                <w:lang w:eastAsia="en-US"/>
              </w:rPr>
            </w:pPr>
            <w:r w:rsidRPr="00220E2C">
              <w:rPr>
                <w:lang w:eastAsia="en-US"/>
              </w:rPr>
              <w:t>Ensure a fully inclusive education system through implementation of the Australian Coalition for Inclusive Education (ACIE)’s Roadmap “Driving change: A roadmap for achieving inclusive education in Australia” including the phasing out of segregated education.</w:t>
            </w:r>
          </w:p>
          <w:p w14:paraId="1F6E0B1E" w14:textId="57A80CA4" w:rsidR="009F0AC7" w:rsidRDefault="009F0AC7" w:rsidP="009F0AC7">
            <w:pPr>
              <w:pStyle w:val="ListParagraph"/>
              <w:numPr>
                <w:ilvl w:val="0"/>
                <w:numId w:val="13"/>
              </w:numPr>
              <w:tabs>
                <w:tab w:val="clear" w:pos="288"/>
                <w:tab w:val="left" w:pos="455"/>
              </w:tabs>
              <w:ind w:left="709" w:hanging="284"/>
              <w:rPr>
                <w:lang w:eastAsia="en-US"/>
              </w:rPr>
            </w:pPr>
            <w:r>
              <w:rPr>
                <w:lang w:eastAsia="en-US"/>
              </w:rPr>
              <w:t xml:space="preserve">Develop a plan </w:t>
            </w:r>
            <w:r w:rsidRPr="00BD58CF">
              <w:rPr>
                <w:lang w:eastAsia="en-US"/>
              </w:rPr>
              <w:t>to eradicate Australian</w:t>
            </w:r>
            <w:r>
              <w:rPr>
                <w:lang w:eastAsia="en-US"/>
              </w:rPr>
              <w:t xml:space="preserve"> Disability </w:t>
            </w:r>
            <w:r w:rsidRPr="00220E2C">
              <w:rPr>
                <w:lang w:eastAsia="en-US"/>
              </w:rPr>
              <w:t>E</w:t>
            </w:r>
            <w:r>
              <w:rPr>
                <w:lang w:eastAsia="en-US"/>
              </w:rPr>
              <w:t>nterprise</w:t>
            </w:r>
            <w:r w:rsidRPr="00220E2C">
              <w:rPr>
                <w:lang w:eastAsia="en-US"/>
              </w:rPr>
              <w:t>s</w:t>
            </w:r>
            <w:r>
              <w:rPr>
                <w:lang w:eastAsia="en-US"/>
              </w:rPr>
              <w:t xml:space="preserve"> (ADEs)</w:t>
            </w:r>
            <w:r w:rsidRPr="00220E2C">
              <w:rPr>
                <w:lang w:eastAsia="en-US"/>
              </w:rPr>
              <w:t xml:space="preserve"> and productivity-based wage assessment tools</w:t>
            </w:r>
            <w:r>
              <w:rPr>
                <w:lang w:eastAsia="en-US"/>
              </w:rPr>
              <w:t>, following broad stakeholder engagement that includes people with disability and their representative organisations</w:t>
            </w:r>
            <w:r w:rsidRPr="00220E2C">
              <w:rPr>
                <w:lang w:eastAsia="en-US"/>
              </w:rPr>
              <w:t>.</w:t>
            </w:r>
          </w:p>
          <w:p w14:paraId="221D5594" w14:textId="77777777" w:rsidR="009F0AC7" w:rsidRPr="00220E2C" w:rsidRDefault="009F0AC7" w:rsidP="009F0AC7">
            <w:pPr>
              <w:pStyle w:val="ListParagraph"/>
              <w:numPr>
                <w:ilvl w:val="0"/>
                <w:numId w:val="13"/>
              </w:numPr>
              <w:tabs>
                <w:tab w:val="clear" w:pos="288"/>
                <w:tab w:val="left" w:pos="455"/>
              </w:tabs>
              <w:ind w:left="709" w:hanging="284"/>
              <w:rPr>
                <w:lang w:eastAsia="en-US"/>
              </w:rPr>
            </w:pPr>
            <w:r w:rsidRPr="00220E2C">
              <w:rPr>
                <w:lang w:eastAsia="en-US"/>
              </w:rPr>
              <w:t xml:space="preserve">Address discriminatory practices by employers that prevent people with disability accessing the workforce. For example, develop Disability Employment Standards as a form of subordinate legislation under the </w:t>
            </w:r>
            <w:r w:rsidRPr="00220E2C">
              <w:rPr>
                <w:i/>
                <w:iCs/>
                <w:lang w:eastAsia="en-US"/>
              </w:rPr>
              <w:t>Disability Discrimination Act 1992</w:t>
            </w:r>
            <w:r w:rsidRPr="00220E2C">
              <w:rPr>
                <w:lang w:eastAsia="en-US"/>
              </w:rPr>
              <w:t xml:space="preserve"> (Cth).</w:t>
            </w:r>
          </w:p>
          <w:p w14:paraId="5A68D413" w14:textId="77777777" w:rsidR="009F0AC7" w:rsidRPr="00220E2C" w:rsidRDefault="009F0AC7" w:rsidP="009F0AC7">
            <w:pPr>
              <w:pStyle w:val="ListParagraph"/>
              <w:numPr>
                <w:ilvl w:val="0"/>
                <w:numId w:val="13"/>
              </w:numPr>
              <w:tabs>
                <w:tab w:val="clear" w:pos="288"/>
                <w:tab w:val="left" w:pos="455"/>
              </w:tabs>
              <w:ind w:left="709" w:hanging="284"/>
              <w:rPr>
                <w:lang w:eastAsia="en-US"/>
              </w:rPr>
            </w:pPr>
            <w:r>
              <w:rPr>
                <w:lang w:eastAsia="en-US"/>
              </w:rPr>
              <w:t>R</w:t>
            </w:r>
            <w:r w:rsidRPr="00220E2C">
              <w:rPr>
                <w:lang w:eastAsia="en-US"/>
              </w:rPr>
              <w:t>emove barriers that deny people with disability the right to live in a home of their own, in a location of their choice and with whom they wish to reside. For example, long waiting lists for public housing, unaffordable private rentals, and inaccessible buildings.</w:t>
            </w:r>
          </w:p>
          <w:p w14:paraId="029CB76B" w14:textId="0F4449A2" w:rsidR="009F0AC7" w:rsidRPr="00220E2C" w:rsidRDefault="009F0AC7" w:rsidP="009F0AC7">
            <w:pPr>
              <w:pStyle w:val="ListParagraph"/>
              <w:numPr>
                <w:ilvl w:val="0"/>
                <w:numId w:val="13"/>
              </w:numPr>
              <w:tabs>
                <w:tab w:val="clear" w:pos="288"/>
                <w:tab w:val="left" w:pos="455"/>
              </w:tabs>
              <w:ind w:left="709" w:hanging="284"/>
              <w:rPr>
                <w:lang w:eastAsia="en-US"/>
              </w:rPr>
            </w:pPr>
            <w:r>
              <w:rPr>
                <w:lang w:eastAsia="en-US"/>
              </w:rPr>
              <w:t>Increase funding for, and access to,</w:t>
            </w:r>
            <w:r w:rsidRPr="00220E2C">
              <w:rPr>
                <w:lang w:eastAsia="en-US"/>
              </w:rPr>
              <w:t xml:space="preserve"> individualised </w:t>
            </w:r>
            <w:r>
              <w:rPr>
                <w:lang w:eastAsia="en-US"/>
              </w:rPr>
              <w:t>living options</w:t>
            </w:r>
            <w:r w:rsidRPr="00220E2C">
              <w:rPr>
                <w:lang w:eastAsia="en-US"/>
              </w:rPr>
              <w:t xml:space="preserve"> that </w:t>
            </w:r>
            <w:r>
              <w:rPr>
                <w:lang w:eastAsia="en-US"/>
              </w:rPr>
              <w:t>facilitate people with disability living where they want to live, with who</w:t>
            </w:r>
            <w:r w:rsidR="00CC1238">
              <w:rPr>
                <w:lang w:eastAsia="en-US"/>
              </w:rPr>
              <w:t>m they choose</w:t>
            </w:r>
            <w:r>
              <w:rPr>
                <w:lang w:eastAsia="en-US"/>
              </w:rPr>
              <w:t xml:space="preserve"> and with the support that they need to live independently in the community.</w:t>
            </w:r>
          </w:p>
          <w:p w14:paraId="51354788" w14:textId="77777777" w:rsidR="009F0AC7" w:rsidRPr="00220E2C" w:rsidRDefault="009F0AC7" w:rsidP="009F0AC7"/>
          <w:p w14:paraId="04060713" w14:textId="77777777" w:rsidR="009F0AC7" w:rsidRPr="003D7B7E" w:rsidRDefault="009F0AC7" w:rsidP="009F0AC7">
            <w:pPr>
              <w:rPr>
                <w:b/>
                <w:bCs/>
              </w:rPr>
            </w:pPr>
            <w:r w:rsidRPr="003D7B7E">
              <w:rPr>
                <w:b/>
                <w:bCs/>
              </w:rPr>
              <w:t>2.</w:t>
            </w:r>
            <w:r w:rsidRPr="003D7B7E">
              <w:rPr>
                <w:b/>
                <w:bCs/>
              </w:rPr>
              <w:tab/>
              <w:t>Address prejudicial attitudes and a lack of understanding of the needs of people with disability</w:t>
            </w:r>
          </w:p>
          <w:p w14:paraId="764A2623" w14:textId="77777777" w:rsidR="009F0AC7" w:rsidRDefault="009F0AC7" w:rsidP="009F0AC7">
            <w:pPr>
              <w:pStyle w:val="ListParagraph"/>
              <w:numPr>
                <w:ilvl w:val="0"/>
                <w:numId w:val="15"/>
              </w:numPr>
              <w:tabs>
                <w:tab w:val="clear" w:pos="288"/>
                <w:tab w:val="left" w:pos="455"/>
              </w:tabs>
              <w:ind w:left="851" w:hanging="425"/>
            </w:pPr>
            <w:r>
              <w:t xml:space="preserve">Develop a national, multi-pronged public education campaign with the objective of achieving greater visibility of people with disability in the community and which addresses prejudice and a lack of understanding of the needs and aspirations of people with disability. </w:t>
            </w:r>
          </w:p>
          <w:p w14:paraId="15A5FC70" w14:textId="77777777" w:rsidR="009F0AC7" w:rsidRDefault="009F0AC7" w:rsidP="009F0AC7">
            <w:pPr>
              <w:pStyle w:val="ListParagraph"/>
              <w:tabs>
                <w:tab w:val="clear" w:pos="288"/>
                <w:tab w:val="left" w:pos="455"/>
              </w:tabs>
              <w:ind w:left="851"/>
            </w:pPr>
            <w:r>
              <w:t>The campaign should aim to:</w:t>
            </w:r>
          </w:p>
          <w:p w14:paraId="1BD20192" w14:textId="77777777" w:rsidR="009F0AC7" w:rsidRDefault="009F0AC7" w:rsidP="009F0AC7">
            <w:pPr>
              <w:pStyle w:val="ListParagraph"/>
              <w:numPr>
                <w:ilvl w:val="0"/>
                <w:numId w:val="29"/>
              </w:numPr>
              <w:tabs>
                <w:tab w:val="clear" w:pos="288"/>
                <w:tab w:val="left" w:pos="455"/>
              </w:tabs>
            </w:pPr>
            <w:r>
              <w:t xml:space="preserve">Improve public awareness and understanding of disability and the needs and aspirations of people with disability to live ordinary lives in the community. </w:t>
            </w:r>
          </w:p>
          <w:p w14:paraId="6293104F" w14:textId="77777777" w:rsidR="009F0AC7" w:rsidRDefault="009F0AC7" w:rsidP="009F0AC7">
            <w:pPr>
              <w:pStyle w:val="ListParagraph"/>
              <w:numPr>
                <w:ilvl w:val="0"/>
                <w:numId w:val="29"/>
              </w:numPr>
              <w:tabs>
                <w:tab w:val="clear" w:pos="288"/>
                <w:tab w:val="left" w:pos="455"/>
              </w:tabs>
            </w:pPr>
            <w:r>
              <w:t>Present positive portrayals of people with disability as productive and contributing members of the community.</w:t>
            </w:r>
          </w:p>
          <w:p w14:paraId="3EE59179" w14:textId="77777777" w:rsidR="009F0AC7" w:rsidRDefault="009F0AC7" w:rsidP="009F0AC7">
            <w:pPr>
              <w:pStyle w:val="ListParagraph"/>
              <w:tabs>
                <w:tab w:val="clear" w:pos="288"/>
                <w:tab w:val="left" w:pos="455"/>
              </w:tabs>
              <w:ind w:left="851"/>
            </w:pPr>
            <w:r>
              <w:t>The campaign should be supported by:</w:t>
            </w:r>
          </w:p>
          <w:p w14:paraId="080AA295" w14:textId="77777777" w:rsidR="009F0AC7" w:rsidRDefault="009F0AC7" w:rsidP="009F0AC7">
            <w:pPr>
              <w:pStyle w:val="ListParagraph"/>
              <w:numPr>
                <w:ilvl w:val="0"/>
                <w:numId w:val="30"/>
              </w:numPr>
              <w:tabs>
                <w:tab w:val="clear" w:pos="288"/>
                <w:tab w:val="left" w:pos="455"/>
              </w:tabs>
            </w:pPr>
            <w:r>
              <w:t>New national media and entertainment standards that require minimum levels of representation of people with disability in advertising and media content produced in Australia.</w:t>
            </w:r>
          </w:p>
          <w:p w14:paraId="703B9611" w14:textId="77777777" w:rsidR="009A5BD8" w:rsidRDefault="009F0AC7" w:rsidP="009A5BD8">
            <w:pPr>
              <w:pStyle w:val="ListParagraph"/>
              <w:numPr>
                <w:ilvl w:val="0"/>
                <w:numId w:val="30"/>
              </w:numPr>
              <w:tabs>
                <w:tab w:val="clear" w:pos="288"/>
                <w:tab w:val="left" w:pos="455"/>
              </w:tabs>
            </w:pPr>
            <w:r>
              <w:t xml:space="preserve">A government grants program that provides funding to media and entertainment projects that provide realistic and positive portrayals of people with disability living ordinary lives in the community. </w:t>
            </w:r>
          </w:p>
          <w:p w14:paraId="744C5D9D" w14:textId="7B8D7AA7" w:rsidR="009F0AC7" w:rsidRPr="00220E2C" w:rsidRDefault="009F0AC7" w:rsidP="009A5BD8">
            <w:pPr>
              <w:pStyle w:val="ListParagraph"/>
              <w:numPr>
                <w:ilvl w:val="0"/>
                <w:numId w:val="15"/>
              </w:numPr>
              <w:tabs>
                <w:tab w:val="clear" w:pos="288"/>
                <w:tab w:val="left" w:pos="455"/>
              </w:tabs>
              <w:ind w:left="881" w:hanging="426"/>
            </w:pPr>
            <w:r>
              <w:rPr>
                <w:lang w:eastAsia="en-US"/>
              </w:rPr>
              <w:lastRenderedPageBreak/>
              <w:t>Introduce mandatory requirements for</w:t>
            </w:r>
            <w:r w:rsidRPr="00220E2C">
              <w:rPr>
                <w:lang w:eastAsia="en-US"/>
              </w:rPr>
              <w:t xml:space="preserve"> disability awareness </w:t>
            </w:r>
            <w:r>
              <w:rPr>
                <w:lang w:eastAsia="en-US"/>
              </w:rPr>
              <w:t xml:space="preserve">training </w:t>
            </w:r>
            <w:r w:rsidRPr="00220E2C">
              <w:rPr>
                <w:lang w:eastAsia="en-US"/>
              </w:rPr>
              <w:t>across all educational settings and across all industries.</w:t>
            </w:r>
            <w:r w:rsidR="00C34929">
              <w:rPr>
                <w:lang w:eastAsia="en-US"/>
              </w:rPr>
              <w:t xml:space="preserve"> This should include people with lived experience sharing their stories</w:t>
            </w:r>
            <w:r w:rsidR="009A5BD8">
              <w:rPr>
                <w:lang w:eastAsia="en-US"/>
              </w:rPr>
              <w:t>.</w:t>
            </w:r>
          </w:p>
          <w:p w14:paraId="30B058A1" w14:textId="52C082AE" w:rsidR="009F0AC7" w:rsidRDefault="009F0AC7" w:rsidP="009F0AC7">
            <w:pPr>
              <w:pStyle w:val="ListParagraph"/>
              <w:numPr>
                <w:ilvl w:val="0"/>
                <w:numId w:val="15"/>
              </w:numPr>
              <w:tabs>
                <w:tab w:val="clear" w:pos="288"/>
                <w:tab w:val="left" w:pos="455"/>
              </w:tabs>
              <w:ind w:left="851" w:hanging="425"/>
              <w:rPr>
                <w:lang w:eastAsia="en-US"/>
              </w:rPr>
            </w:pPr>
            <w:r>
              <w:rPr>
                <w:lang w:eastAsia="en-US"/>
              </w:rPr>
              <w:t xml:space="preserve">Ensure evidence-based approaches inform the individual support of people with disability. For example, Michael Kendrick’s framework on ‘Right Relationships’ could be used to train, and audit the quality of, ethical partnering between people with disability and the </w:t>
            </w:r>
            <w:r w:rsidR="00960E15">
              <w:rPr>
                <w:lang w:eastAsia="en-US"/>
              </w:rPr>
              <w:t xml:space="preserve">support </w:t>
            </w:r>
            <w:r>
              <w:rPr>
                <w:lang w:eastAsia="en-US"/>
              </w:rPr>
              <w:t>services they interact with.</w:t>
            </w:r>
          </w:p>
          <w:p w14:paraId="7844F76B" w14:textId="2A66F3DA" w:rsidR="009F0AC7" w:rsidRPr="00220E2C" w:rsidRDefault="009F0AC7" w:rsidP="009F0AC7">
            <w:pPr>
              <w:pStyle w:val="ListParagraph"/>
              <w:numPr>
                <w:ilvl w:val="0"/>
                <w:numId w:val="15"/>
              </w:numPr>
              <w:tabs>
                <w:tab w:val="clear" w:pos="288"/>
                <w:tab w:val="left" w:pos="455"/>
              </w:tabs>
              <w:ind w:left="851" w:hanging="425"/>
            </w:pPr>
            <w:r>
              <w:rPr>
                <w:lang w:eastAsia="en-US"/>
              </w:rPr>
              <w:t>Require al</w:t>
            </w:r>
            <w:r w:rsidRPr="00220E2C">
              <w:rPr>
                <w:lang w:eastAsia="en-US"/>
              </w:rPr>
              <w:t xml:space="preserve">l levels of government </w:t>
            </w:r>
            <w:r w:rsidR="000D0F9C">
              <w:rPr>
                <w:lang w:eastAsia="en-US"/>
              </w:rPr>
              <w:t xml:space="preserve">to </w:t>
            </w:r>
            <w:r>
              <w:rPr>
                <w:lang w:eastAsia="en-US"/>
              </w:rPr>
              <w:t>review their policies</w:t>
            </w:r>
            <w:r w:rsidR="001723EF">
              <w:rPr>
                <w:lang w:eastAsia="en-US"/>
              </w:rPr>
              <w:t xml:space="preserve"> and</w:t>
            </w:r>
            <w:r>
              <w:rPr>
                <w:lang w:eastAsia="en-US"/>
              </w:rPr>
              <w:t xml:space="preserve"> </w:t>
            </w:r>
            <w:r w:rsidRPr="00220E2C">
              <w:rPr>
                <w:lang w:eastAsia="en-US"/>
              </w:rPr>
              <w:t xml:space="preserve">consider the assumptions, values and beliefs underlying </w:t>
            </w:r>
            <w:r>
              <w:rPr>
                <w:lang w:eastAsia="en-US"/>
              </w:rPr>
              <w:t>them</w:t>
            </w:r>
            <w:r w:rsidR="005D48D0">
              <w:rPr>
                <w:lang w:eastAsia="en-US"/>
              </w:rPr>
              <w:t xml:space="preserve">, including </w:t>
            </w:r>
            <w:r w:rsidRPr="00220E2C">
              <w:rPr>
                <w:lang w:eastAsia="en-US"/>
              </w:rPr>
              <w:t>the extent to which they reflect ableist attitudes</w:t>
            </w:r>
            <w:r>
              <w:rPr>
                <w:lang w:eastAsia="en-US"/>
              </w:rPr>
              <w:t>. Where necessary, re</w:t>
            </w:r>
            <w:r w:rsidR="008271C3">
              <w:rPr>
                <w:lang w:eastAsia="en-US"/>
              </w:rPr>
              <w:t>form</w:t>
            </w:r>
            <w:r>
              <w:rPr>
                <w:lang w:eastAsia="en-US"/>
              </w:rPr>
              <w:t xml:space="preserve"> polic</w:t>
            </w:r>
            <w:r w:rsidR="008271C3">
              <w:rPr>
                <w:lang w:eastAsia="en-US"/>
              </w:rPr>
              <w:t>ies following</w:t>
            </w:r>
            <w:r>
              <w:rPr>
                <w:lang w:eastAsia="en-US"/>
              </w:rPr>
              <w:t xml:space="preserve"> meaningful consultation with people with disability and their representative organisations</w:t>
            </w:r>
            <w:r w:rsidR="00783C17">
              <w:rPr>
                <w:lang w:eastAsia="en-US"/>
              </w:rPr>
              <w:t>,</w:t>
            </w:r>
            <w:r>
              <w:rPr>
                <w:lang w:eastAsia="en-US"/>
              </w:rPr>
              <w:t xml:space="preserve"> and within specified timeframes.</w:t>
            </w:r>
          </w:p>
          <w:p w14:paraId="08D4C966" w14:textId="77777777" w:rsidR="009F0AC7" w:rsidRPr="00220E2C" w:rsidRDefault="009F0AC7" w:rsidP="009F0AC7"/>
          <w:p w14:paraId="663EF58A" w14:textId="77777777" w:rsidR="009F0AC7" w:rsidRPr="003D7B7E" w:rsidRDefault="009F0AC7" w:rsidP="009F0AC7">
            <w:pPr>
              <w:rPr>
                <w:b/>
                <w:bCs/>
              </w:rPr>
            </w:pPr>
            <w:r w:rsidRPr="003D7B7E">
              <w:rPr>
                <w:b/>
                <w:bCs/>
              </w:rPr>
              <w:t>3.</w:t>
            </w:r>
            <w:r w:rsidRPr="003D7B7E">
              <w:rPr>
                <w:b/>
                <w:bCs/>
              </w:rPr>
              <w:tab/>
              <w:t>Involve people with disability in decision-making processes</w:t>
            </w:r>
          </w:p>
          <w:p w14:paraId="185EA4C6" w14:textId="724EA40F" w:rsidR="009F0AC7" w:rsidRDefault="009F0AC7" w:rsidP="009F0AC7">
            <w:pPr>
              <w:pStyle w:val="ListParagraph"/>
              <w:numPr>
                <w:ilvl w:val="0"/>
                <w:numId w:val="19"/>
              </w:numPr>
              <w:rPr>
                <w:lang w:eastAsia="en-US"/>
              </w:rPr>
            </w:pPr>
            <w:r w:rsidRPr="00220E2C">
              <w:rPr>
                <w:lang w:eastAsia="en-US"/>
              </w:rPr>
              <w:t>Implement the supported decision-making paradigm required by Article 12 of the CRPD</w:t>
            </w:r>
            <w:r>
              <w:rPr>
                <w:lang w:eastAsia="en-US"/>
              </w:rPr>
              <w:t xml:space="preserve"> to ensure</w:t>
            </w:r>
            <w:r w:rsidRPr="00220E2C">
              <w:rPr>
                <w:lang w:eastAsia="en-US"/>
              </w:rPr>
              <w:t xml:space="preserve"> people with disability retain their legal capacity and have their will and preferences upheld in decision-making </w:t>
            </w:r>
            <w:r w:rsidR="0046493D">
              <w:rPr>
                <w:lang w:eastAsia="en-US"/>
              </w:rPr>
              <w:t>about</w:t>
            </w:r>
            <w:r w:rsidRPr="00220E2C">
              <w:rPr>
                <w:lang w:eastAsia="en-US"/>
              </w:rPr>
              <w:t xml:space="preserve"> their lives.</w:t>
            </w:r>
            <w:r>
              <w:rPr>
                <w:lang w:eastAsia="en-US"/>
              </w:rPr>
              <w:t xml:space="preserve"> This c</w:t>
            </w:r>
            <w:r w:rsidR="006038EF">
              <w:rPr>
                <w:lang w:eastAsia="en-US"/>
              </w:rPr>
              <w:t>ould</w:t>
            </w:r>
            <w:r>
              <w:rPr>
                <w:lang w:eastAsia="en-US"/>
              </w:rPr>
              <w:t xml:space="preserve"> be achieved by:</w:t>
            </w:r>
          </w:p>
          <w:p w14:paraId="01E3FA27" w14:textId="77777777" w:rsidR="009F0AC7" w:rsidRDefault="009F0AC7" w:rsidP="009F0AC7">
            <w:pPr>
              <w:pStyle w:val="ListParagraph"/>
              <w:numPr>
                <w:ilvl w:val="0"/>
                <w:numId w:val="31"/>
              </w:numPr>
              <w:rPr>
                <w:lang w:eastAsia="en-US"/>
              </w:rPr>
            </w:pPr>
            <w:r>
              <w:rPr>
                <w:lang w:eastAsia="en-US"/>
              </w:rPr>
              <w:t>Community education campaigns regarding the concept of legal capacity and decision-making support;</w:t>
            </w:r>
          </w:p>
          <w:p w14:paraId="220062D1" w14:textId="30227999" w:rsidR="009F0AC7" w:rsidRDefault="009F0AC7" w:rsidP="009F0AC7">
            <w:pPr>
              <w:pStyle w:val="ListParagraph"/>
              <w:numPr>
                <w:ilvl w:val="0"/>
                <w:numId w:val="31"/>
              </w:numPr>
              <w:rPr>
                <w:lang w:eastAsia="en-US"/>
              </w:rPr>
            </w:pPr>
            <w:r>
              <w:rPr>
                <w:lang w:eastAsia="en-US"/>
              </w:rPr>
              <w:t>Introduc</w:t>
            </w:r>
            <w:r w:rsidR="001E1943">
              <w:rPr>
                <w:lang w:eastAsia="en-US"/>
              </w:rPr>
              <w:t>ing</w:t>
            </w:r>
            <w:r>
              <w:rPr>
                <w:lang w:eastAsia="en-US"/>
              </w:rPr>
              <w:t xml:space="preserve"> and legislat</w:t>
            </w:r>
            <w:r w:rsidR="001E1943">
              <w:rPr>
                <w:lang w:eastAsia="en-US"/>
              </w:rPr>
              <w:t>ing</w:t>
            </w:r>
            <w:r>
              <w:rPr>
                <w:lang w:eastAsia="en-US"/>
              </w:rPr>
              <w:t xml:space="preserve"> a nationally consistent supported decision-making framework as per the Australian Law Reform Commission’s work;</w:t>
            </w:r>
          </w:p>
          <w:p w14:paraId="03DBABB2" w14:textId="77777777" w:rsidR="009F0AC7" w:rsidRDefault="009F0AC7" w:rsidP="009F0AC7">
            <w:pPr>
              <w:pStyle w:val="ListParagraph"/>
              <w:numPr>
                <w:ilvl w:val="0"/>
                <w:numId w:val="31"/>
              </w:numPr>
              <w:rPr>
                <w:lang w:eastAsia="en-US"/>
              </w:rPr>
            </w:pPr>
            <w:r>
              <w:rPr>
                <w:lang w:eastAsia="en-US"/>
              </w:rPr>
              <w:t>Introducing legislative changes that will prevent vexatious applications for, and unnecessary appointments of, substitute decision-makers, including increased scrutiny of applications, more frequent review of appointments, and penalties for unmeritorious applications;</w:t>
            </w:r>
          </w:p>
          <w:p w14:paraId="1D5685E3" w14:textId="60C60218" w:rsidR="009F0AC7" w:rsidRPr="00220E2C" w:rsidRDefault="009F0AC7" w:rsidP="009F0AC7">
            <w:pPr>
              <w:pStyle w:val="ListParagraph"/>
              <w:numPr>
                <w:ilvl w:val="0"/>
                <w:numId w:val="31"/>
              </w:numPr>
              <w:rPr>
                <w:lang w:eastAsia="en-US"/>
              </w:rPr>
            </w:pPr>
            <w:r>
              <w:rPr>
                <w:lang w:eastAsia="en-US"/>
              </w:rPr>
              <w:t>Provid</w:t>
            </w:r>
            <w:r w:rsidR="00D34145">
              <w:rPr>
                <w:lang w:eastAsia="en-US"/>
              </w:rPr>
              <w:t>ing</w:t>
            </w:r>
            <w:r>
              <w:rPr>
                <w:lang w:eastAsia="en-US"/>
              </w:rPr>
              <w:t xml:space="preserve"> access to legal safeguards, such as free legal representation for all adults subject to applications for substitute decision-makers</w:t>
            </w:r>
            <w:r w:rsidR="00833FB1">
              <w:rPr>
                <w:lang w:eastAsia="en-US"/>
              </w:rPr>
              <w:t>.</w:t>
            </w:r>
          </w:p>
          <w:p w14:paraId="1B5B0E1D" w14:textId="6C553B02" w:rsidR="009F0AC7" w:rsidRDefault="009F0AC7" w:rsidP="009F0AC7">
            <w:pPr>
              <w:pStyle w:val="ListParagraph"/>
              <w:numPr>
                <w:ilvl w:val="0"/>
                <w:numId w:val="19"/>
              </w:numPr>
              <w:rPr>
                <w:lang w:eastAsia="en-US"/>
              </w:rPr>
            </w:pPr>
            <w:r w:rsidRPr="00220E2C">
              <w:rPr>
                <w:lang w:eastAsia="en-US"/>
              </w:rPr>
              <w:t>Ensure the inclusion of people with disability at the policy-making level.</w:t>
            </w:r>
            <w:r>
              <w:rPr>
                <w:lang w:eastAsia="en-US"/>
              </w:rPr>
              <w:t xml:space="preserve"> For example, consider introducing quotas and mandatory requirements for</w:t>
            </w:r>
            <w:r w:rsidRPr="00220E2C">
              <w:rPr>
                <w:lang w:eastAsia="en-US"/>
              </w:rPr>
              <w:t xml:space="preserve"> people with disability </w:t>
            </w:r>
            <w:r>
              <w:rPr>
                <w:lang w:eastAsia="en-US"/>
              </w:rPr>
              <w:t xml:space="preserve">to </w:t>
            </w:r>
            <w:r w:rsidRPr="00220E2C">
              <w:rPr>
                <w:lang w:eastAsia="en-US"/>
              </w:rPr>
              <w:t>active</w:t>
            </w:r>
            <w:r>
              <w:rPr>
                <w:lang w:eastAsia="en-US"/>
              </w:rPr>
              <w:t>ly</w:t>
            </w:r>
            <w:r w:rsidRPr="00220E2C">
              <w:rPr>
                <w:lang w:eastAsia="en-US"/>
              </w:rPr>
              <w:t xml:space="preserve"> participat</w:t>
            </w:r>
            <w:r>
              <w:rPr>
                <w:lang w:eastAsia="en-US"/>
              </w:rPr>
              <w:t xml:space="preserve">e </w:t>
            </w:r>
            <w:r w:rsidRPr="00220E2C">
              <w:rPr>
                <w:lang w:eastAsia="en-US"/>
              </w:rPr>
              <w:t xml:space="preserve">in the development, implementation, and monitoring of </w:t>
            </w:r>
            <w:proofErr w:type="gramStart"/>
            <w:r w:rsidRPr="00220E2C">
              <w:rPr>
                <w:lang w:eastAsia="en-US"/>
              </w:rPr>
              <w:t>policy</w:t>
            </w:r>
            <w:r w:rsidR="00833FB1">
              <w:rPr>
                <w:lang w:eastAsia="en-US"/>
              </w:rPr>
              <w:t>-</w:t>
            </w:r>
            <w:r w:rsidRPr="00220E2C">
              <w:rPr>
                <w:lang w:eastAsia="en-US"/>
              </w:rPr>
              <w:t>making</w:t>
            </w:r>
            <w:proofErr w:type="gramEnd"/>
            <w:r w:rsidRPr="00220E2C">
              <w:rPr>
                <w:lang w:eastAsia="en-US"/>
              </w:rPr>
              <w:t xml:space="preserve"> in all aspects of public, government, and community life.</w:t>
            </w:r>
          </w:p>
          <w:p w14:paraId="0F392E4D" w14:textId="0FA44460" w:rsidR="009F0AC7" w:rsidRPr="00220E2C" w:rsidRDefault="009F0AC7" w:rsidP="009F0AC7">
            <w:pPr>
              <w:pStyle w:val="ListParagraph"/>
              <w:numPr>
                <w:ilvl w:val="0"/>
                <w:numId w:val="19"/>
              </w:numPr>
              <w:rPr>
                <w:lang w:eastAsia="en-US"/>
              </w:rPr>
            </w:pPr>
            <w:r>
              <w:rPr>
                <w:lang w:eastAsia="en-US"/>
              </w:rPr>
              <w:t>Ensure</w:t>
            </w:r>
            <w:r w:rsidRPr="00220E2C">
              <w:rPr>
                <w:lang w:eastAsia="en-US"/>
              </w:rPr>
              <w:t xml:space="preserve"> people with disability are involved in co-designing </w:t>
            </w:r>
            <w:r w:rsidR="003D6E55">
              <w:rPr>
                <w:lang w:eastAsia="en-US"/>
              </w:rPr>
              <w:t xml:space="preserve">and monitoring </w:t>
            </w:r>
            <w:r w:rsidRPr="00220E2C">
              <w:rPr>
                <w:lang w:eastAsia="en-US"/>
              </w:rPr>
              <w:t>reforms that follow th</w:t>
            </w:r>
            <w:r>
              <w:rPr>
                <w:lang w:eastAsia="en-US"/>
              </w:rPr>
              <w:t>e recomme</w:t>
            </w:r>
            <w:r w:rsidRPr="00220E2C">
              <w:rPr>
                <w:lang w:eastAsia="en-US"/>
              </w:rPr>
              <w:t>nd</w:t>
            </w:r>
            <w:r>
              <w:rPr>
                <w:lang w:eastAsia="en-US"/>
              </w:rPr>
              <w:t>ations of the</w:t>
            </w:r>
            <w:r w:rsidRPr="00220E2C">
              <w:rPr>
                <w:lang w:eastAsia="en-US"/>
              </w:rPr>
              <w:t xml:space="preserve"> </w:t>
            </w:r>
            <w:r w:rsidR="00ED6143">
              <w:rPr>
                <w:lang w:eastAsia="en-US"/>
              </w:rPr>
              <w:t xml:space="preserve">Disability </w:t>
            </w:r>
            <w:r w:rsidRPr="00220E2C">
              <w:rPr>
                <w:lang w:eastAsia="en-US"/>
              </w:rPr>
              <w:t>Royal Commission.</w:t>
            </w:r>
          </w:p>
          <w:p w14:paraId="1FB2098E" w14:textId="77777777" w:rsidR="009F0AC7" w:rsidRPr="00220E2C" w:rsidRDefault="009F0AC7" w:rsidP="009F0AC7"/>
          <w:p w14:paraId="0C254E4D" w14:textId="77777777" w:rsidR="009F0AC7" w:rsidRPr="003D7B7E" w:rsidRDefault="009F0AC7" w:rsidP="009F0AC7">
            <w:pPr>
              <w:rPr>
                <w:b/>
                <w:bCs/>
              </w:rPr>
            </w:pPr>
            <w:r w:rsidRPr="003D7B7E">
              <w:rPr>
                <w:b/>
                <w:bCs/>
              </w:rPr>
              <w:t>4.</w:t>
            </w:r>
            <w:r w:rsidRPr="003D7B7E">
              <w:rPr>
                <w:b/>
                <w:bCs/>
              </w:rPr>
              <w:tab/>
              <w:t>Ensure access to essential supports</w:t>
            </w:r>
          </w:p>
          <w:p w14:paraId="0E399EEA" w14:textId="77777777" w:rsidR="009F0AC7" w:rsidRDefault="009F0AC7" w:rsidP="009F0AC7">
            <w:pPr>
              <w:pStyle w:val="ListParagraph"/>
              <w:numPr>
                <w:ilvl w:val="0"/>
                <w:numId w:val="20"/>
              </w:numPr>
              <w:rPr>
                <w:lang w:eastAsia="en-US"/>
              </w:rPr>
            </w:pPr>
            <w:bookmarkStart w:id="0" w:name="_Hlk122093904"/>
            <w:r w:rsidRPr="00220E2C">
              <w:rPr>
                <w:lang w:eastAsia="en-US"/>
              </w:rPr>
              <w:t xml:space="preserve">Australia’s social security system must accept greater responsibility for ensuring that all members of society, including people living with disability, have access to an acceptable standard of living. </w:t>
            </w:r>
            <w:proofErr w:type="gramStart"/>
            <w:r>
              <w:rPr>
                <w:lang w:eastAsia="en-US"/>
              </w:rPr>
              <w:t>In light of</w:t>
            </w:r>
            <w:proofErr w:type="gramEnd"/>
            <w:r>
              <w:rPr>
                <w:lang w:eastAsia="en-US"/>
              </w:rPr>
              <w:t xml:space="preserve"> the economic benefits of improved financial security;</w:t>
            </w:r>
          </w:p>
          <w:p w14:paraId="539240A9" w14:textId="77777777" w:rsidR="009F0AC7" w:rsidRDefault="009F0AC7" w:rsidP="009F0AC7">
            <w:pPr>
              <w:pStyle w:val="ListParagraph"/>
              <w:numPr>
                <w:ilvl w:val="0"/>
                <w:numId w:val="32"/>
              </w:numPr>
              <w:rPr>
                <w:lang w:eastAsia="en-US"/>
              </w:rPr>
            </w:pPr>
            <w:r w:rsidRPr="00220E2C">
              <w:rPr>
                <w:lang w:eastAsia="en-US"/>
              </w:rPr>
              <w:t>Increas</w:t>
            </w:r>
            <w:r>
              <w:rPr>
                <w:lang w:eastAsia="en-US"/>
              </w:rPr>
              <w:t>e</w:t>
            </w:r>
            <w:r w:rsidRPr="00220E2C">
              <w:rPr>
                <w:lang w:eastAsia="en-US"/>
              </w:rPr>
              <w:t xml:space="preserve"> the monetary value of the Disability Support Pension</w:t>
            </w:r>
            <w:r>
              <w:rPr>
                <w:lang w:eastAsia="en-US"/>
              </w:rPr>
              <w:t>;</w:t>
            </w:r>
          </w:p>
          <w:p w14:paraId="2CC78271" w14:textId="77777777" w:rsidR="009F0AC7" w:rsidRDefault="009F0AC7" w:rsidP="009F0AC7">
            <w:pPr>
              <w:pStyle w:val="ListParagraph"/>
              <w:numPr>
                <w:ilvl w:val="0"/>
                <w:numId w:val="32"/>
              </w:numPr>
              <w:rPr>
                <w:lang w:eastAsia="en-US"/>
              </w:rPr>
            </w:pPr>
            <w:r>
              <w:rPr>
                <w:lang w:eastAsia="en-US"/>
              </w:rPr>
              <w:t>Ensure</w:t>
            </w:r>
            <w:r w:rsidRPr="00220E2C">
              <w:rPr>
                <w:lang w:eastAsia="en-US"/>
              </w:rPr>
              <w:t xml:space="preserve"> it remains a constant safety net rather than one that is taken away when recipients try </w:t>
            </w:r>
            <w:r>
              <w:rPr>
                <w:lang w:eastAsia="en-US"/>
              </w:rPr>
              <w:t>to</w:t>
            </w:r>
            <w:r w:rsidRPr="00220E2C">
              <w:rPr>
                <w:lang w:eastAsia="en-US"/>
              </w:rPr>
              <w:t xml:space="preserve"> participate in employment to the best of their abilities</w:t>
            </w:r>
            <w:r>
              <w:rPr>
                <w:lang w:eastAsia="en-US"/>
              </w:rPr>
              <w:t>;</w:t>
            </w:r>
          </w:p>
          <w:p w14:paraId="7CE3E3DE" w14:textId="1CEF8997" w:rsidR="009F0AC7" w:rsidRPr="00220E2C" w:rsidRDefault="009F0AC7" w:rsidP="009F0AC7">
            <w:pPr>
              <w:pStyle w:val="ListParagraph"/>
              <w:numPr>
                <w:ilvl w:val="0"/>
                <w:numId w:val="32"/>
              </w:numPr>
              <w:rPr>
                <w:lang w:eastAsia="en-US"/>
              </w:rPr>
            </w:pPr>
            <w:r>
              <w:rPr>
                <w:lang w:eastAsia="en-US"/>
              </w:rPr>
              <w:t>Reform the way in which eligibility for the Disability Support Pension is assessed. For example, reinstat</w:t>
            </w:r>
            <w:r w:rsidR="00717241">
              <w:rPr>
                <w:lang w:eastAsia="en-US"/>
              </w:rPr>
              <w:t>e</w:t>
            </w:r>
            <w:r w:rsidR="004306D1">
              <w:rPr>
                <w:lang w:eastAsia="en-US"/>
              </w:rPr>
              <w:t xml:space="preserve"> the</w:t>
            </w:r>
            <w:r>
              <w:rPr>
                <w:lang w:eastAsia="en-US"/>
              </w:rPr>
              <w:t xml:space="preserve"> medical evidence template for General Practitioners </w:t>
            </w:r>
            <w:r>
              <w:rPr>
                <w:lang w:eastAsia="en-US"/>
              </w:rPr>
              <w:lastRenderedPageBreak/>
              <w:t xml:space="preserve">and </w:t>
            </w:r>
            <w:r w:rsidR="006D2F31">
              <w:rPr>
                <w:lang w:eastAsia="en-US"/>
              </w:rPr>
              <w:t>remov</w:t>
            </w:r>
            <w:r w:rsidR="00F5225C">
              <w:rPr>
                <w:lang w:eastAsia="en-US"/>
              </w:rPr>
              <w:t>e</w:t>
            </w:r>
            <w:r w:rsidR="006D2F31">
              <w:rPr>
                <w:lang w:eastAsia="en-US"/>
              </w:rPr>
              <w:t xml:space="preserve"> </w:t>
            </w:r>
            <w:r w:rsidR="00962C85">
              <w:rPr>
                <w:lang w:eastAsia="en-US"/>
              </w:rPr>
              <w:t xml:space="preserve">the </w:t>
            </w:r>
            <w:r>
              <w:rPr>
                <w:lang w:eastAsia="en-US"/>
              </w:rPr>
              <w:t xml:space="preserve">arbitrary requirement that eligible recipients </w:t>
            </w:r>
            <w:r w:rsidR="00CA4109">
              <w:rPr>
                <w:lang w:eastAsia="en-US"/>
              </w:rPr>
              <w:t>need</w:t>
            </w:r>
            <w:r>
              <w:rPr>
                <w:lang w:eastAsia="en-US"/>
              </w:rPr>
              <w:t xml:space="preserve"> 20 points on a single Impairment Table</w:t>
            </w:r>
            <w:r w:rsidR="00B20BC9">
              <w:rPr>
                <w:lang w:eastAsia="en-US"/>
              </w:rPr>
              <w:t xml:space="preserve"> to avoid </w:t>
            </w:r>
            <w:r w:rsidR="00102244">
              <w:rPr>
                <w:lang w:eastAsia="en-US"/>
              </w:rPr>
              <w:t>complet</w:t>
            </w:r>
            <w:r w:rsidR="00CA4109">
              <w:rPr>
                <w:lang w:eastAsia="en-US"/>
              </w:rPr>
              <w:t>ing</w:t>
            </w:r>
            <w:r w:rsidR="00B20BC9">
              <w:rPr>
                <w:lang w:eastAsia="en-US"/>
              </w:rPr>
              <w:t xml:space="preserve"> a program</w:t>
            </w:r>
            <w:r w:rsidR="00245984">
              <w:rPr>
                <w:lang w:eastAsia="en-US"/>
              </w:rPr>
              <w:t xml:space="preserve"> of support</w:t>
            </w:r>
            <w:r w:rsidRPr="00220E2C">
              <w:rPr>
                <w:lang w:eastAsia="en-US"/>
              </w:rPr>
              <w:t>.</w:t>
            </w:r>
          </w:p>
          <w:p w14:paraId="4DA9AC0A" w14:textId="6DF4C4B0" w:rsidR="009F0AC7" w:rsidRDefault="009F0AC7" w:rsidP="009F0AC7">
            <w:pPr>
              <w:pStyle w:val="ListParagraph"/>
              <w:numPr>
                <w:ilvl w:val="0"/>
                <w:numId w:val="20"/>
              </w:numPr>
              <w:rPr>
                <w:lang w:eastAsia="en-US"/>
              </w:rPr>
            </w:pPr>
            <w:r>
              <w:rPr>
                <w:lang w:eastAsia="en-US"/>
              </w:rPr>
              <w:t xml:space="preserve">Ensure the NDIS is properly resourced </w:t>
            </w:r>
            <w:r w:rsidR="00E541C6">
              <w:rPr>
                <w:lang w:eastAsia="en-US"/>
              </w:rPr>
              <w:t xml:space="preserve">into the future </w:t>
            </w:r>
            <w:r>
              <w:rPr>
                <w:lang w:eastAsia="en-US"/>
              </w:rPr>
              <w:t>and fully accessible</w:t>
            </w:r>
            <w:r w:rsidR="00D12061">
              <w:rPr>
                <w:lang w:eastAsia="en-US"/>
              </w:rPr>
              <w:t xml:space="preserve"> and operational</w:t>
            </w:r>
            <w:r>
              <w:rPr>
                <w:lang w:eastAsia="en-US"/>
              </w:rPr>
              <w:t xml:space="preserve"> to eligible Australians with disability. This could be achieved by</w:t>
            </w:r>
            <w:r w:rsidR="00FE10DE">
              <w:rPr>
                <w:lang w:eastAsia="en-US"/>
              </w:rPr>
              <w:t>, among other things</w:t>
            </w:r>
            <w:r>
              <w:rPr>
                <w:lang w:eastAsia="en-US"/>
              </w:rPr>
              <w:t>:</w:t>
            </w:r>
          </w:p>
          <w:p w14:paraId="0139E729" w14:textId="77777777" w:rsidR="009F0AC7" w:rsidRDefault="009F0AC7" w:rsidP="009F0AC7">
            <w:pPr>
              <w:pStyle w:val="ListParagraph"/>
              <w:numPr>
                <w:ilvl w:val="0"/>
                <w:numId w:val="33"/>
              </w:numPr>
              <w:rPr>
                <w:lang w:eastAsia="en-US"/>
              </w:rPr>
            </w:pPr>
            <w:r>
              <w:rPr>
                <w:lang w:eastAsia="en-US"/>
              </w:rPr>
              <w:t>Considering an increased Medicare levy to ensure long-term funding</w:t>
            </w:r>
          </w:p>
          <w:p w14:paraId="2565B61C" w14:textId="77777777" w:rsidR="009F0AC7" w:rsidRDefault="009F0AC7" w:rsidP="009F0AC7">
            <w:pPr>
              <w:pStyle w:val="ListParagraph"/>
              <w:numPr>
                <w:ilvl w:val="0"/>
                <w:numId w:val="33"/>
              </w:numPr>
              <w:rPr>
                <w:lang w:eastAsia="en-US"/>
              </w:rPr>
            </w:pPr>
            <w:r>
              <w:rPr>
                <w:lang w:eastAsia="en-US"/>
              </w:rPr>
              <w:t>Ongoing and increased funding of programs such as the ART (Access and Referral Team) program</w:t>
            </w:r>
          </w:p>
          <w:p w14:paraId="4A081C13" w14:textId="7A3D4588" w:rsidR="009F0AC7" w:rsidRDefault="009F0AC7" w:rsidP="009F0AC7">
            <w:pPr>
              <w:pStyle w:val="ListParagraph"/>
              <w:numPr>
                <w:ilvl w:val="0"/>
                <w:numId w:val="33"/>
              </w:numPr>
              <w:rPr>
                <w:lang w:eastAsia="en-US"/>
              </w:rPr>
            </w:pPr>
            <w:r>
              <w:rPr>
                <w:lang w:eastAsia="en-US"/>
              </w:rPr>
              <w:t>Requir</w:t>
            </w:r>
            <w:r w:rsidR="00FE10DE">
              <w:rPr>
                <w:lang w:eastAsia="en-US"/>
              </w:rPr>
              <w:t>ing</w:t>
            </w:r>
            <w:r>
              <w:rPr>
                <w:lang w:eastAsia="en-US"/>
              </w:rPr>
              <w:t xml:space="preserve"> the National Disability Insurance Agency (NDIA) to update its Operational Guidelines and practices following decisions made in the Administrative Appeals Tribunal (AAT)</w:t>
            </w:r>
            <w:r w:rsidR="003A5830">
              <w:rPr>
                <w:lang w:eastAsia="en-US"/>
              </w:rPr>
              <w:t>; and</w:t>
            </w:r>
          </w:p>
          <w:p w14:paraId="470F0CAD" w14:textId="515233CF" w:rsidR="009F0AC7" w:rsidRPr="00220E2C" w:rsidRDefault="009F0AC7" w:rsidP="009F0AC7">
            <w:pPr>
              <w:pStyle w:val="ListParagraph"/>
              <w:numPr>
                <w:ilvl w:val="0"/>
                <w:numId w:val="33"/>
              </w:numPr>
              <w:rPr>
                <w:lang w:eastAsia="en-US"/>
              </w:rPr>
            </w:pPr>
            <w:r>
              <w:rPr>
                <w:lang w:eastAsia="en-US"/>
              </w:rPr>
              <w:t>Introduc</w:t>
            </w:r>
            <w:r w:rsidR="00FE10DE">
              <w:rPr>
                <w:lang w:eastAsia="en-US"/>
              </w:rPr>
              <w:t>ing</w:t>
            </w:r>
            <w:r>
              <w:rPr>
                <w:lang w:eastAsia="en-US"/>
              </w:rPr>
              <w:t xml:space="preserve"> a targeted action plan to improve the availability of disability support services in regional and remote parts of Australia.</w:t>
            </w:r>
          </w:p>
          <w:bookmarkEnd w:id="0"/>
          <w:p w14:paraId="27662E3A" w14:textId="77777777" w:rsidR="009F0AC7" w:rsidRPr="00220E2C" w:rsidRDefault="009F0AC7" w:rsidP="009F0AC7"/>
          <w:p w14:paraId="544D6C39" w14:textId="2EEA5CA8" w:rsidR="009F0AC7" w:rsidRPr="003D7B7E" w:rsidRDefault="009F0AC7" w:rsidP="009F0AC7">
            <w:pPr>
              <w:rPr>
                <w:b/>
                <w:bCs/>
              </w:rPr>
            </w:pPr>
            <w:r w:rsidRPr="003D7B7E">
              <w:rPr>
                <w:b/>
                <w:bCs/>
              </w:rPr>
              <w:t>5.</w:t>
            </w:r>
            <w:r w:rsidRPr="003D7B7E">
              <w:rPr>
                <w:b/>
                <w:bCs/>
              </w:rPr>
              <w:tab/>
              <w:t>Introduce stronger safeguards that will protect against abuse</w:t>
            </w:r>
          </w:p>
          <w:p w14:paraId="72E3DD37" w14:textId="6E269A86" w:rsidR="003762D0" w:rsidRPr="00220E2C" w:rsidRDefault="003762D0" w:rsidP="003762D0">
            <w:pPr>
              <w:pStyle w:val="ListParagraph"/>
              <w:numPr>
                <w:ilvl w:val="0"/>
                <w:numId w:val="34"/>
              </w:numPr>
              <w:rPr>
                <w:lang w:eastAsia="en-US"/>
              </w:rPr>
            </w:pPr>
            <w:bookmarkStart w:id="1" w:name="_Hlk122094890"/>
            <w:r>
              <w:rPr>
                <w:lang w:eastAsia="en-US"/>
              </w:rPr>
              <w:t>The Australian government l</w:t>
            </w:r>
            <w:r w:rsidRPr="00220E2C">
              <w:rPr>
                <w:lang w:eastAsia="en-US"/>
              </w:rPr>
              <w:t>egislate an Australian Charter of Human Rights</w:t>
            </w:r>
            <w:r>
              <w:rPr>
                <w:lang w:eastAsia="en-US"/>
              </w:rPr>
              <w:t xml:space="preserve"> that gives </w:t>
            </w:r>
            <w:r w:rsidR="00B3420E">
              <w:rPr>
                <w:lang w:eastAsia="en-US"/>
              </w:rPr>
              <w:t xml:space="preserve">full </w:t>
            </w:r>
            <w:r>
              <w:rPr>
                <w:lang w:eastAsia="en-US"/>
              </w:rPr>
              <w:t>effect to the CRPD</w:t>
            </w:r>
            <w:r w:rsidRPr="00220E2C">
              <w:rPr>
                <w:lang w:eastAsia="en-US"/>
              </w:rPr>
              <w:t>.</w:t>
            </w:r>
          </w:p>
          <w:p w14:paraId="393DA844" w14:textId="77777777" w:rsidR="009F0AC7" w:rsidRDefault="009F0AC7" w:rsidP="009F0AC7">
            <w:pPr>
              <w:pStyle w:val="ListParagraph"/>
              <w:numPr>
                <w:ilvl w:val="0"/>
                <w:numId w:val="34"/>
              </w:numPr>
              <w:rPr>
                <w:lang w:eastAsia="en-US"/>
              </w:rPr>
            </w:pPr>
            <w:r w:rsidRPr="00220E2C">
              <w:rPr>
                <w:lang w:eastAsia="en-US"/>
              </w:rPr>
              <w:t>Ensure greater oversight and safeguards for disability supports provided under the NDIS</w:t>
            </w:r>
            <w:r>
              <w:rPr>
                <w:lang w:eastAsia="en-US"/>
              </w:rPr>
              <w:t>. For example:</w:t>
            </w:r>
          </w:p>
          <w:p w14:paraId="7D319F95" w14:textId="77777777" w:rsidR="00771F87" w:rsidRDefault="00771F87" w:rsidP="00771F87">
            <w:pPr>
              <w:pStyle w:val="ListParagraph"/>
              <w:numPr>
                <w:ilvl w:val="0"/>
                <w:numId w:val="35"/>
              </w:numPr>
              <w:rPr>
                <w:lang w:eastAsia="en-US"/>
              </w:rPr>
            </w:pPr>
            <w:r>
              <w:rPr>
                <w:lang w:eastAsia="en-US"/>
              </w:rPr>
              <w:t xml:space="preserve">Require the NDIS Quality and Safeguards Commission to monitor the number of applications for the appointment of substitute decision-makers initiated by NDIS service providers for NDIS </w:t>
            </w:r>
            <w:proofErr w:type="gramStart"/>
            <w:r>
              <w:rPr>
                <w:lang w:eastAsia="en-US"/>
              </w:rPr>
              <w:t>participants, and</w:t>
            </w:r>
            <w:proofErr w:type="gramEnd"/>
            <w:r>
              <w:rPr>
                <w:lang w:eastAsia="en-US"/>
              </w:rPr>
              <w:t xml:space="preserve"> introduce penalties for applications found to be unmeritorious.</w:t>
            </w:r>
          </w:p>
          <w:p w14:paraId="0D6CFF37" w14:textId="2E613B17" w:rsidR="009F0AC7" w:rsidRDefault="009F0AC7" w:rsidP="009F0AC7">
            <w:pPr>
              <w:pStyle w:val="ListParagraph"/>
              <w:numPr>
                <w:ilvl w:val="0"/>
                <w:numId w:val="35"/>
              </w:numPr>
              <w:rPr>
                <w:lang w:eastAsia="en-US"/>
              </w:rPr>
            </w:pPr>
            <w:r>
              <w:rPr>
                <w:lang w:eastAsia="en-US"/>
              </w:rPr>
              <w:t>Strengthen the remit and capacity</w:t>
            </w:r>
            <w:r w:rsidRPr="002C5628">
              <w:rPr>
                <w:lang w:eastAsia="en-US"/>
              </w:rPr>
              <w:t xml:space="preserve"> </w:t>
            </w:r>
            <w:r w:rsidRPr="00220E2C">
              <w:rPr>
                <w:lang w:eastAsia="en-US"/>
              </w:rPr>
              <w:t xml:space="preserve">of the NDIS Quality and Safeguards Commission to </w:t>
            </w:r>
            <w:r>
              <w:rPr>
                <w:lang w:eastAsia="en-US"/>
              </w:rPr>
              <w:t xml:space="preserve">conduct independent investigations and to </w:t>
            </w:r>
            <w:r w:rsidRPr="00220E2C">
              <w:rPr>
                <w:lang w:eastAsia="en-US"/>
              </w:rPr>
              <w:t>proactively monitor and regulate the delivery of disability supports under the NDIS.</w:t>
            </w:r>
          </w:p>
          <w:p w14:paraId="50E70338" w14:textId="77777777" w:rsidR="009F0AC7" w:rsidRDefault="009F0AC7" w:rsidP="009F0AC7">
            <w:pPr>
              <w:pStyle w:val="ListParagraph"/>
              <w:numPr>
                <w:ilvl w:val="0"/>
                <w:numId w:val="35"/>
              </w:numPr>
              <w:rPr>
                <w:lang w:eastAsia="en-US"/>
              </w:rPr>
            </w:pPr>
            <w:r>
              <w:rPr>
                <w:lang w:eastAsia="en-US"/>
              </w:rPr>
              <w:t>Ensure each state and territory retains its role as a provider of last resort in relation to Positive Behaviour Support Plans.</w:t>
            </w:r>
          </w:p>
          <w:p w14:paraId="49735C00" w14:textId="7C732073" w:rsidR="009F0AC7" w:rsidRDefault="009F0AC7" w:rsidP="009F0AC7">
            <w:pPr>
              <w:pStyle w:val="ListParagraph"/>
              <w:numPr>
                <w:ilvl w:val="0"/>
                <w:numId w:val="35"/>
              </w:numPr>
              <w:rPr>
                <w:lang w:eastAsia="en-US"/>
              </w:rPr>
            </w:pPr>
            <w:r>
              <w:rPr>
                <w:lang w:eastAsia="en-US"/>
              </w:rPr>
              <w:t>Prevent service providers from providing</w:t>
            </w:r>
            <w:r w:rsidR="00235806">
              <w:rPr>
                <w:lang w:eastAsia="en-US"/>
              </w:rPr>
              <w:t xml:space="preserve"> wrap around</w:t>
            </w:r>
            <w:r w:rsidR="006600D8">
              <w:rPr>
                <w:lang w:eastAsia="en-US"/>
              </w:rPr>
              <w:t xml:space="preserve"> supports</w:t>
            </w:r>
            <w:r w:rsidR="00A14B6F">
              <w:rPr>
                <w:lang w:eastAsia="en-US"/>
              </w:rPr>
              <w:t xml:space="preserve"> to individual NDIS participants</w:t>
            </w:r>
            <w:r w:rsidR="00F82FE7">
              <w:rPr>
                <w:lang w:eastAsia="en-US"/>
              </w:rPr>
              <w:t>, for example providing</w:t>
            </w:r>
            <w:r>
              <w:rPr>
                <w:lang w:eastAsia="en-US"/>
              </w:rPr>
              <w:t xml:space="preserve"> both support coordination and core supports. </w:t>
            </w:r>
          </w:p>
          <w:p w14:paraId="535EC5D3" w14:textId="62D73E45" w:rsidR="009F0AC7" w:rsidRDefault="00A13E78" w:rsidP="00A13E78">
            <w:pPr>
              <w:pStyle w:val="ListParagraph"/>
              <w:numPr>
                <w:ilvl w:val="0"/>
                <w:numId w:val="35"/>
              </w:numPr>
              <w:rPr>
                <w:lang w:eastAsia="en-US"/>
              </w:rPr>
            </w:pPr>
            <w:r w:rsidRPr="00A13E78">
              <w:rPr>
                <w:lang w:eastAsia="en-US"/>
              </w:rPr>
              <w:t xml:space="preserve">Ensure blanket consumer law protections to NDIS participants, including access to </w:t>
            </w:r>
            <w:r w:rsidR="00763C9F">
              <w:rPr>
                <w:lang w:eastAsia="en-US"/>
              </w:rPr>
              <w:t xml:space="preserve">specialised </w:t>
            </w:r>
            <w:r w:rsidRPr="00A13E78">
              <w:rPr>
                <w:lang w:eastAsia="en-US"/>
              </w:rPr>
              <w:t xml:space="preserve">legal advice, regardless of the contents of individual NDIS service agreements. </w:t>
            </w:r>
            <w:r w:rsidR="009F0AC7">
              <w:rPr>
                <w:lang w:eastAsia="en-US"/>
              </w:rPr>
              <w:t xml:space="preserve"> </w:t>
            </w:r>
          </w:p>
          <w:p w14:paraId="75D81FF8" w14:textId="3ECA02FF" w:rsidR="009F0AC7" w:rsidRDefault="009F0AC7" w:rsidP="009F0AC7">
            <w:pPr>
              <w:pStyle w:val="ListParagraph"/>
              <w:numPr>
                <w:ilvl w:val="0"/>
                <w:numId w:val="34"/>
              </w:numPr>
              <w:rPr>
                <w:lang w:eastAsia="en-US"/>
              </w:rPr>
            </w:pPr>
            <w:r w:rsidRPr="00220E2C">
              <w:rPr>
                <w:lang w:eastAsia="en-US"/>
              </w:rPr>
              <w:t>Implement an independent and sufficiently resourced N</w:t>
            </w:r>
            <w:r w:rsidR="008C0C60">
              <w:rPr>
                <w:lang w:eastAsia="en-US"/>
              </w:rPr>
              <w:t xml:space="preserve">ational </w:t>
            </w:r>
            <w:r w:rsidRPr="00220E2C">
              <w:rPr>
                <w:lang w:eastAsia="en-US"/>
              </w:rPr>
              <w:t>P</w:t>
            </w:r>
            <w:r w:rsidR="008C0C60">
              <w:rPr>
                <w:lang w:eastAsia="en-US"/>
              </w:rPr>
              <w:t xml:space="preserve">reventive </w:t>
            </w:r>
            <w:r w:rsidRPr="00220E2C">
              <w:rPr>
                <w:lang w:eastAsia="en-US"/>
              </w:rPr>
              <w:t>M</w:t>
            </w:r>
            <w:r w:rsidR="008C0C60">
              <w:rPr>
                <w:lang w:eastAsia="en-US"/>
              </w:rPr>
              <w:t>echanism</w:t>
            </w:r>
            <w:r w:rsidRPr="00220E2C">
              <w:rPr>
                <w:lang w:eastAsia="en-US"/>
              </w:rPr>
              <w:t xml:space="preserve"> that is disability</w:t>
            </w:r>
            <w:r>
              <w:rPr>
                <w:lang w:eastAsia="en-US"/>
              </w:rPr>
              <w:t>-</w:t>
            </w:r>
            <w:r w:rsidRPr="00220E2C">
              <w:rPr>
                <w:lang w:eastAsia="en-US"/>
              </w:rPr>
              <w:t xml:space="preserve">aware, and which successfully fulfils Australia’s obligations under </w:t>
            </w:r>
            <w:r w:rsidR="008C0C60">
              <w:rPr>
                <w:lang w:eastAsia="en-US"/>
              </w:rPr>
              <w:t xml:space="preserve">the Optional Protocol </w:t>
            </w:r>
            <w:r w:rsidR="00E10866">
              <w:rPr>
                <w:lang w:eastAsia="en-US"/>
              </w:rPr>
              <w:t xml:space="preserve">to the Convention </w:t>
            </w:r>
            <w:r w:rsidR="008C0C60">
              <w:rPr>
                <w:lang w:eastAsia="en-US"/>
              </w:rPr>
              <w:t>Against Torture</w:t>
            </w:r>
            <w:r>
              <w:rPr>
                <w:lang w:eastAsia="en-US"/>
              </w:rPr>
              <w:t>, including making provision for inspection and reporting about the conditions and treatment of people detained in all authorised mental health services, forensic mental health services, forensic disability services and residential aged care services</w:t>
            </w:r>
            <w:r w:rsidRPr="00220E2C">
              <w:rPr>
                <w:lang w:eastAsia="en-US"/>
              </w:rPr>
              <w:t>.</w:t>
            </w:r>
          </w:p>
          <w:p w14:paraId="7F4F51A5" w14:textId="7458744E" w:rsidR="009F0AC7" w:rsidRDefault="008860F9" w:rsidP="009F0AC7">
            <w:pPr>
              <w:pStyle w:val="ListParagraph"/>
              <w:numPr>
                <w:ilvl w:val="0"/>
                <w:numId w:val="34"/>
              </w:numPr>
              <w:rPr>
                <w:lang w:eastAsia="en-US"/>
              </w:rPr>
            </w:pPr>
            <w:r>
              <w:rPr>
                <w:lang w:eastAsia="en-US"/>
              </w:rPr>
              <w:t>Guarantee</w:t>
            </w:r>
            <w:r w:rsidR="009F0AC7" w:rsidRPr="00220E2C">
              <w:rPr>
                <w:lang w:eastAsia="en-US"/>
              </w:rPr>
              <w:t xml:space="preserve"> a well-resourced and sustainable independent disability advocacy sector that ensures people with disability can access </w:t>
            </w:r>
            <w:r w:rsidR="009F0AC7">
              <w:rPr>
                <w:lang w:eastAsia="en-US"/>
              </w:rPr>
              <w:t xml:space="preserve">face-to-face, </w:t>
            </w:r>
            <w:r w:rsidR="009F0AC7" w:rsidRPr="00220E2C">
              <w:rPr>
                <w:lang w:eastAsia="en-US"/>
              </w:rPr>
              <w:t>local</w:t>
            </w:r>
            <w:r w:rsidR="009F0AC7">
              <w:rPr>
                <w:lang w:eastAsia="en-US"/>
              </w:rPr>
              <w:t>,</w:t>
            </w:r>
            <w:r w:rsidR="009F0AC7" w:rsidRPr="00220E2C">
              <w:rPr>
                <w:lang w:eastAsia="en-US"/>
              </w:rPr>
              <w:t xml:space="preserve"> and trauma-informed </w:t>
            </w:r>
            <w:r w:rsidR="009F0AC7">
              <w:rPr>
                <w:lang w:eastAsia="en-US"/>
              </w:rPr>
              <w:t xml:space="preserve">disability </w:t>
            </w:r>
            <w:r w:rsidR="009F0AC7" w:rsidRPr="00220E2C">
              <w:rPr>
                <w:lang w:eastAsia="en-US"/>
              </w:rPr>
              <w:t>advocacy.</w:t>
            </w:r>
            <w:r w:rsidR="009F0AC7">
              <w:rPr>
                <w:lang w:eastAsia="en-US"/>
              </w:rPr>
              <w:t xml:space="preserve"> This requires a</w:t>
            </w:r>
            <w:r w:rsidR="0052505A">
              <w:rPr>
                <w:lang w:eastAsia="en-US"/>
              </w:rPr>
              <w:t>t a</w:t>
            </w:r>
            <w:r w:rsidR="009F0AC7">
              <w:rPr>
                <w:lang w:eastAsia="en-US"/>
              </w:rPr>
              <w:t xml:space="preserve"> minimum</w:t>
            </w:r>
            <w:r w:rsidR="0052505A">
              <w:rPr>
                <w:lang w:eastAsia="en-US"/>
              </w:rPr>
              <w:t>,</w:t>
            </w:r>
            <w:r w:rsidR="009F0AC7">
              <w:rPr>
                <w:lang w:eastAsia="en-US"/>
              </w:rPr>
              <w:t xml:space="preserve"> five-yearly funding cycles and a shared commitment from both Commonwealth and state and territory governments to fund disability advocacy into the future</w:t>
            </w:r>
            <w:r w:rsidR="00780DAB">
              <w:rPr>
                <w:lang w:eastAsia="en-US"/>
              </w:rPr>
              <w:t>,</w:t>
            </w:r>
            <w:r w:rsidR="009F0AC7">
              <w:rPr>
                <w:lang w:eastAsia="en-US"/>
              </w:rPr>
              <w:t xml:space="preserve"> notwithstanding the implementation of the NDIS.</w:t>
            </w:r>
          </w:p>
          <w:bookmarkEnd w:id="1"/>
          <w:p w14:paraId="031D97B6" w14:textId="77777777" w:rsidR="009F0AC7" w:rsidRDefault="009F0AC7" w:rsidP="009F0AC7"/>
          <w:p w14:paraId="2151D6EB" w14:textId="7D2AB232" w:rsidR="009F0AC7" w:rsidRPr="003D7B7E" w:rsidRDefault="009F0AC7" w:rsidP="009F0AC7">
            <w:pPr>
              <w:rPr>
                <w:b/>
                <w:bCs/>
              </w:rPr>
            </w:pPr>
            <w:r w:rsidRPr="003D7B7E">
              <w:rPr>
                <w:b/>
                <w:bCs/>
              </w:rPr>
              <w:lastRenderedPageBreak/>
              <w:t>6.</w:t>
            </w:r>
            <w:r w:rsidRPr="003D7B7E">
              <w:rPr>
                <w:b/>
                <w:bCs/>
              </w:rPr>
              <w:tab/>
              <w:t>Address intersectional disadvantage</w:t>
            </w:r>
          </w:p>
          <w:p w14:paraId="4500B913" w14:textId="315CAA1D" w:rsidR="002451D3" w:rsidRPr="002451D3" w:rsidRDefault="009F0AC7" w:rsidP="002451D3">
            <w:pPr>
              <w:pStyle w:val="ListParagraph"/>
              <w:numPr>
                <w:ilvl w:val="0"/>
                <w:numId w:val="45"/>
              </w:numPr>
              <w:rPr>
                <w:lang w:val="en-US"/>
              </w:rPr>
            </w:pPr>
            <w:r w:rsidRPr="00220E2C">
              <w:rPr>
                <w:lang w:eastAsia="en-US"/>
              </w:rPr>
              <w:t>Ensure sophisticated policy responses to disability issues that consider all elements of a person’s identity</w:t>
            </w:r>
            <w:r w:rsidR="00AC6544">
              <w:rPr>
                <w:lang w:eastAsia="en-US"/>
              </w:rPr>
              <w:t xml:space="preserve">. This </w:t>
            </w:r>
            <w:r w:rsidR="000506A5">
              <w:rPr>
                <w:lang w:eastAsia="en-US"/>
              </w:rPr>
              <w:t>means being responsive</w:t>
            </w:r>
            <w:r w:rsidR="004355CA" w:rsidRPr="002451D3">
              <w:rPr>
                <w:lang w:val="en-US"/>
              </w:rPr>
              <w:t xml:space="preserve"> to the additional barriers faced by First Nations Australians, people from </w:t>
            </w:r>
            <w:r w:rsidR="00A83426">
              <w:rPr>
                <w:rFonts w:cstheme="minorBidi"/>
              </w:rPr>
              <w:t xml:space="preserve">Culturally and Linguistically Diverse (CALD) </w:t>
            </w:r>
            <w:r w:rsidR="004355CA" w:rsidRPr="002451D3">
              <w:rPr>
                <w:lang w:val="en-US"/>
              </w:rPr>
              <w:t xml:space="preserve">communities, </w:t>
            </w:r>
            <w:r w:rsidR="001471B1">
              <w:rPr>
                <w:lang w:val="en-US"/>
              </w:rPr>
              <w:t xml:space="preserve">older </w:t>
            </w:r>
            <w:r w:rsidR="1A1A2057" w:rsidRPr="37DD8DC1">
              <w:rPr>
                <w:lang w:val="en-US"/>
              </w:rPr>
              <w:t>and younger</w:t>
            </w:r>
            <w:r w:rsidR="001471B1" w:rsidRPr="37DD8DC1">
              <w:rPr>
                <w:lang w:val="en-US"/>
              </w:rPr>
              <w:t xml:space="preserve"> </w:t>
            </w:r>
            <w:r w:rsidR="00147F0E">
              <w:rPr>
                <w:lang w:val="en-US"/>
              </w:rPr>
              <w:t>Australians,</w:t>
            </w:r>
            <w:r w:rsidR="001471B1">
              <w:rPr>
                <w:lang w:val="en-US"/>
              </w:rPr>
              <w:t xml:space="preserve"> </w:t>
            </w:r>
            <w:r w:rsidR="004355CA" w:rsidRPr="002451D3">
              <w:rPr>
                <w:lang w:val="en-US"/>
              </w:rPr>
              <w:t>and members of the LGBTIQA+ community.</w:t>
            </w:r>
          </w:p>
          <w:p w14:paraId="5BAEB8E2" w14:textId="24E5AD33" w:rsidR="009F0AC7" w:rsidRPr="00220E2C" w:rsidRDefault="009F0AC7" w:rsidP="002451D3">
            <w:pPr>
              <w:pStyle w:val="ListParagraph"/>
              <w:numPr>
                <w:ilvl w:val="0"/>
                <w:numId w:val="45"/>
              </w:numPr>
              <w:rPr>
                <w:lang w:eastAsia="en-US"/>
              </w:rPr>
            </w:pPr>
            <w:r>
              <w:rPr>
                <w:lang w:eastAsia="en-US"/>
              </w:rPr>
              <w:t xml:space="preserve">Consider introducing quotas or mandatory requirements </w:t>
            </w:r>
            <w:r w:rsidR="00000520">
              <w:rPr>
                <w:lang w:eastAsia="en-US"/>
              </w:rPr>
              <w:t>for</w:t>
            </w:r>
            <w:r w:rsidRPr="00220E2C">
              <w:rPr>
                <w:lang w:eastAsia="en-US"/>
              </w:rPr>
              <w:t xml:space="preserve"> people with lived experience </w:t>
            </w:r>
            <w:r w:rsidR="047DA81D" w:rsidRPr="1199655F">
              <w:rPr>
                <w:lang w:eastAsia="en-US"/>
              </w:rPr>
              <w:t xml:space="preserve">of </w:t>
            </w:r>
            <w:r w:rsidR="047DA81D" w:rsidRPr="698BD7A1">
              <w:rPr>
                <w:lang w:eastAsia="en-US"/>
              </w:rPr>
              <w:t>disability</w:t>
            </w:r>
            <w:r w:rsidRPr="1199655F">
              <w:rPr>
                <w:lang w:eastAsia="en-US"/>
              </w:rPr>
              <w:t xml:space="preserve"> </w:t>
            </w:r>
            <w:r w:rsidRPr="00220E2C">
              <w:rPr>
                <w:lang w:eastAsia="en-US"/>
              </w:rPr>
              <w:t xml:space="preserve">from diverse communities </w:t>
            </w:r>
            <w:r w:rsidR="00000520">
              <w:rPr>
                <w:lang w:eastAsia="en-US"/>
              </w:rPr>
              <w:t>to be</w:t>
            </w:r>
            <w:r>
              <w:rPr>
                <w:lang w:eastAsia="en-US"/>
              </w:rPr>
              <w:t xml:space="preserve"> involved </w:t>
            </w:r>
            <w:r w:rsidRPr="00220E2C">
              <w:rPr>
                <w:lang w:eastAsia="en-US"/>
              </w:rPr>
              <w:t xml:space="preserve">in </w:t>
            </w:r>
            <w:proofErr w:type="gramStart"/>
            <w:r w:rsidRPr="00220E2C">
              <w:rPr>
                <w:lang w:eastAsia="en-US"/>
              </w:rPr>
              <w:t>policy-making</w:t>
            </w:r>
            <w:proofErr w:type="gramEnd"/>
            <w:r w:rsidRPr="00220E2C">
              <w:rPr>
                <w:lang w:eastAsia="en-US"/>
              </w:rPr>
              <w:t xml:space="preserve"> </w:t>
            </w:r>
            <w:r>
              <w:rPr>
                <w:lang w:eastAsia="en-US"/>
              </w:rPr>
              <w:t>at all levels of government</w:t>
            </w:r>
            <w:r w:rsidRPr="00220E2C">
              <w:rPr>
                <w:lang w:eastAsia="en-US"/>
              </w:rPr>
              <w:t>.</w:t>
            </w:r>
          </w:p>
          <w:p w14:paraId="58F799D4" w14:textId="77777777" w:rsidR="009F0AC7" w:rsidRPr="00220E2C" w:rsidRDefault="009F0AC7" w:rsidP="009F0AC7"/>
          <w:p w14:paraId="2DD55127" w14:textId="00A3ACF8" w:rsidR="009F0AC7" w:rsidRPr="003D7B7E" w:rsidRDefault="009F0AC7" w:rsidP="009F0AC7">
            <w:pPr>
              <w:rPr>
                <w:b/>
                <w:bCs/>
              </w:rPr>
            </w:pPr>
            <w:r w:rsidRPr="003D7B7E">
              <w:rPr>
                <w:b/>
                <w:bCs/>
              </w:rPr>
              <w:t>7. Introduce a redress scheme</w:t>
            </w:r>
            <w:r w:rsidR="001C3FA9" w:rsidRPr="003D7B7E">
              <w:rPr>
                <w:b/>
                <w:bCs/>
              </w:rPr>
              <w:t xml:space="preserve"> </w:t>
            </w:r>
          </w:p>
          <w:p w14:paraId="7D074FD5" w14:textId="10F59C8D" w:rsidR="007A32DF" w:rsidRDefault="007A32DF" w:rsidP="007A32DF">
            <w:pPr>
              <w:pStyle w:val="ListParagraph"/>
              <w:ind w:left="709"/>
            </w:pPr>
            <w:r>
              <w:t xml:space="preserve">Following the </w:t>
            </w:r>
            <w:r w:rsidR="003C0756">
              <w:t xml:space="preserve">Disability </w:t>
            </w:r>
            <w:r>
              <w:t>Royal Commission, introduce a redress scheme that</w:t>
            </w:r>
            <w:r w:rsidR="006A7182">
              <w:t xml:space="preserve"> takes a human rights approach</w:t>
            </w:r>
            <w:r w:rsidR="00784919">
              <w:t xml:space="preserve"> that </w:t>
            </w:r>
            <w:r w:rsidR="000B3436">
              <w:t>provides</w:t>
            </w:r>
            <w:r w:rsidR="00784919">
              <w:t xml:space="preserve"> reparations</w:t>
            </w:r>
            <w:r w:rsidR="000B3436">
              <w:t xml:space="preserve"> alongside</w:t>
            </w:r>
            <w:r w:rsidR="00784919">
              <w:t xml:space="preserve"> </w:t>
            </w:r>
            <w:r w:rsidR="00454433">
              <w:t>court-based</w:t>
            </w:r>
            <w:r w:rsidR="00784919">
              <w:t xml:space="preserve"> </w:t>
            </w:r>
            <w:r w:rsidR="000B3436">
              <w:t xml:space="preserve">available </w:t>
            </w:r>
            <w:r w:rsidR="00784919">
              <w:t>remedies. Ensure it</w:t>
            </w:r>
            <w:r>
              <w:t>:</w:t>
            </w:r>
          </w:p>
          <w:p w14:paraId="6B9717A9" w14:textId="584F4303" w:rsidR="009F0AC7" w:rsidRDefault="009F0AC7" w:rsidP="008B7A34">
            <w:pPr>
              <w:pStyle w:val="ListParagraph"/>
              <w:numPr>
                <w:ilvl w:val="0"/>
                <w:numId w:val="38"/>
              </w:numPr>
              <w:ind w:left="1164" w:hanging="425"/>
            </w:pPr>
            <w:r>
              <w:rPr>
                <w:lang w:eastAsia="en-US"/>
              </w:rPr>
              <w:t>A</w:t>
            </w:r>
            <w:r w:rsidRPr="00220E2C">
              <w:rPr>
                <w:lang w:eastAsia="en-US"/>
              </w:rPr>
              <w:t>cknowledge</w:t>
            </w:r>
            <w:r w:rsidR="00784919">
              <w:rPr>
                <w:lang w:eastAsia="en-US"/>
              </w:rPr>
              <w:t>s</w:t>
            </w:r>
            <w:r w:rsidRPr="00220E2C">
              <w:rPr>
                <w:lang w:eastAsia="en-US"/>
              </w:rPr>
              <w:t xml:space="preserve"> the violence, abuse, neglect, and exploitation experienced by people with a disability in Australia; </w:t>
            </w:r>
          </w:p>
          <w:p w14:paraId="1E73AE13" w14:textId="73CA9CE2" w:rsidR="009F0AC7" w:rsidRDefault="009F0AC7" w:rsidP="008B7A34">
            <w:pPr>
              <w:pStyle w:val="ListParagraph"/>
              <w:numPr>
                <w:ilvl w:val="0"/>
                <w:numId w:val="38"/>
              </w:numPr>
              <w:ind w:left="1164" w:hanging="425"/>
            </w:pPr>
            <w:r>
              <w:rPr>
                <w:lang w:eastAsia="en-US"/>
              </w:rPr>
              <w:t>H</w:t>
            </w:r>
            <w:r w:rsidRPr="00220E2C">
              <w:rPr>
                <w:lang w:eastAsia="en-US"/>
              </w:rPr>
              <w:t>old</w:t>
            </w:r>
            <w:r w:rsidR="00784919">
              <w:rPr>
                <w:lang w:eastAsia="en-US"/>
              </w:rPr>
              <w:t>s</w:t>
            </w:r>
            <w:r w:rsidRPr="00220E2C">
              <w:rPr>
                <w:lang w:eastAsia="en-US"/>
              </w:rPr>
              <w:t xml:space="preserve"> institutions, companies, and individuals accountable for this abuse; an</w:t>
            </w:r>
            <w:r>
              <w:rPr>
                <w:lang w:eastAsia="en-US"/>
              </w:rPr>
              <w:t>d</w:t>
            </w:r>
          </w:p>
          <w:p w14:paraId="62973D1C" w14:textId="1A994079" w:rsidR="00C4170D" w:rsidRDefault="009F0AC7" w:rsidP="008B7A34">
            <w:pPr>
              <w:pStyle w:val="ListParagraph"/>
              <w:numPr>
                <w:ilvl w:val="0"/>
                <w:numId w:val="38"/>
              </w:numPr>
              <w:ind w:left="1164" w:hanging="425"/>
            </w:pPr>
            <w:r>
              <w:rPr>
                <w:lang w:eastAsia="en-US"/>
              </w:rPr>
              <w:t>H</w:t>
            </w:r>
            <w:r w:rsidRPr="00220E2C">
              <w:rPr>
                <w:lang w:eastAsia="en-US"/>
              </w:rPr>
              <w:t>elp</w:t>
            </w:r>
            <w:r w:rsidR="00072872">
              <w:rPr>
                <w:lang w:eastAsia="en-US"/>
              </w:rPr>
              <w:t>s</w:t>
            </w:r>
            <w:r w:rsidRPr="00220E2C">
              <w:rPr>
                <w:lang w:eastAsia="en-US"/>
              </w:rPr>
              <w:t xml:space="preserve"> people with a disability who have experienced abuse to gain access to counselling, a direct personal response, </w:t>
            </w:r>
            <w:r w:rsidR="00FB49CE">
              <w:rPr>
                <w:lang w:eastAsia="en-US"/>
              </w:rPr>
              <w:t>and</w:t>
            </w:r>
            <w:r w:rsidR="007D7D6D">
              <w:rPr>
                <w:lang w:eastAsia="en-US"/>
              </w:rPr>
              <w:t>/or</w:t>
            </w:r>
            <w:r w:rsidR="00FB49CE">
              <w:rPr>
                <w:lang w:eastAsia="en-US"/>
              </w:rPr>
              <w:t xml:space="preserve"> </w:t>
            </w:r>
            <w:r w:rsidRPr="00220E2C">
              <w:rPr>
                <w:lang w:eastAsia="en-US"/>
              </w:rPr>
              <w:t>a redress payment.</w:t>
            </w:r>
          </w:p>
        </w:tc>
      </w:tr>
    </w:tbl>
    <w:p w14:paraId="5B61E99C" w14:textId="77777777" w:rsidR="00741A9A" w:rsidRPr="00741A9A" w:rsidRDefault="00741A9A" w:rsidP="00741A9A">
      <w:pPr>
        <w:rPr>
          <w:lang w:eastAsia="en-US"/>
        </w:rPr>
      </w:pPr>
    </w:p>
    <w:p w14:paraId="6288195A" w14:textId="77777777" w:rsidR="003D7B7E" w:rsidRDefault="003D7B7E" w:rsidP="002A457B">
      <w:pPr>
        <w:pStyle w:val="Heading1"/>
        <w:spacing w:before="240"/>
      </w:pPr>
    </w:p>
    <w:p w14:paraId="514BB2D1" w14:textId="77777777" w:rsidR="003D7B7E" w:rsidRDefault="003D7B7E" w:rsidP="003D7B7E">
      <w:pPr>
        <w:rPr>
          <w:lang w:eastAsia="en-US"/>
        </w:rPr>
      </w:pPr>
    </w:p>
    <w:p w14:paraId="1BC9E9EA" w14:textId="77777777" w:rsidR="00B03752" w:rsidRDefault="00B03752" w:rsidP="003D7B7E">
      <w:pPr>
        <w:rPr>
          <w:lang w:eastAsia="en-US"/>
        </w:rPr>
      </w:pPr>
    </w:p>
    <w:p w14:paraId="4C358AAF" w14:textId="77777777" w:rsidR="00B03752" w:rsidRDefault="00B03752" w:rsidP="003D7B7E">
      <w:pPr>
        <w:rPr>
          <w:lang w:eastAsia="en-US"/>
        </w:rPr>
      </w:pPr>
    </w:p>
    <w:p w14:paraId="18C9ACA6" w14:textId="77777777" w:rsidR="00B03752" w:rsidRPr="003D7B7E" w:rsidRDefault="00B03752" w:rsidP="003D7B7E">
      <w:pPr>
        <w:rPr>
          <w:lang w:eastAsia="en-US"/>
        </w:rPr>
      </w:pPr>
    </w:p>
    <w:p w14:paraId="252AC20E" w14:textId="77777777" w:rsidR="003D7B7E" w:rsidRDefault="003D7B7E" w:rsidP="002A457B">
      <w:pPr>
        <w:pStyle w:val="Heading1"/>
        <w:spacing w:before="240"/>
      </w:pPr>
    </w:p>
    <w:p w14:paraId="142049E0" w14:textId="77777777" w:rsidR="003D7B7E" w:rsidRPr="003D7B7E" w:rsidRDefault="003D7B7E" w:rsidP="003D7B7E">
      <w:pPr>
        <w:rPr>
          <w:lang w:eastAsia="en-US"/>
        </w:rPr>
      </w:pPr>
    </w:p>
    <w:p w14:paraId="21251CF8" w14:textId="77777777" w:rsidR="003D7B7E" w:rsidRDefault="003D7B7E" w:rsidP="002A457B">
      <w:pPr>
        <w:pStyle w:val="Heading1"/>
        <w:spacing w:before="240"/>
      </w:pPr>
    </w:p>
    <w:p w14:paraId="3327B459" w14:textId="77777777" w:rsidR="003D7B7E" w:rsidRDefault="003D7B7E" w:rsidP="002A457B">
      <w:pPr>
        <w:pStyle w:val="Heading1"/>
        <w:spacing w:before="240"/>
      </w:pPr>
    </w:p>
    <w:p w14:paraId="1E3BD4BD" w14:textId="77777777" w:rsidR="003D7B7E" w:rsidRDefault="003D7B7E" w:rsidP="002A457B">
      <w:pPr>
        <w:pStyle w:val="Heading1"/>
        <w:spacing w:before="240"/>
      </w:pPr>
    </w:p>
    <w:p w14:paraId="5BF13511" w14:textId="77777777" w:rsidR="003D7B7E" w:rsidRDefault="003D7B7E" w:rsidP="002A457B">
      <w:pPr>
        <w:pStyle w:val="Heading1"/>
        <w:spacing w:before="240"/>
      </w:pPr>
    </w:p>
    <w:p w14:paraId="33340B40" w14:textId="77777777" w:rsidR="003D7B7E" w:rsidRDefault="003D7B7E" w:rsidP="002A457B">
      <w:pPr>
        <w:pStyle w:val="Heading1"/>
        <w:spacing w:before="240"/>
      </w:pPr>
    </w:p>
    <w:p w14:paraId="086FC226" w14:textId="77777777" w:rsidR="003D7B7E" w:rsidRDefault="003D7B7E" w:rsidP="003D7B7E">
      <w:pPr>
        <w:rPr>
          <w:lang w:eastAsia="en-US"/>
        </w:rPr>
      </w:pPr>
    </w:p>
    <w:p w14:paraId="61409B0F" w14:textId="4C762136" w:rsidR="008C19D8" w:rsidRPr="00E5774A" w:rsidRDefault="008C19D8" w:rsidP="002A457B">
      <w:pPr>
        <w:pStyle w:val="Heading1"/>
        <w:spacing w:before="240"/>
      </w:pPr>
      <w:r w:rsidRPr="00E5774A">
        <w:lastRenderedPageBreak/>
        <w:t>Introduction</w:t>
      </w:r>
    </w:p>
    <w:p w14:paraId="55FE63BA" w14:textId="3EE065A0" w:rsidR="00106AD0" w:rsidRDefault="00106AD0" w:rsidP="00106AD0">
      <w:r>
        <w:t>As a</w:t>
      </w:r>
      <w:r w:rsidR="00416BD1">
        <w:t>n</w:t>
      </w:r>
      <w:r>
        <w:t xml:space="preserve"> organisation dedicated to promoting and advancing the </w:t>
      </w:r>
      <w:r w:rsidR="00483D33">
        <w:t xml:space="preserve">human </w:t>
      </w:r>
      <w:r>
        <w:t xml:space="preserve">rights of the most vulnerable Queenslanders with disability, the realisation of an inclusive society lies at the very core of our work. Whilst progress has undeniably been made, with deinstitutionalisation and Australia’s ratification of the Convention on the Rights of Persons with Disabilities (CRPD) both constituting significant milestones, many social, attitudinal, and environmental barriers that exclude people with disability </w:t>
      </w:r>
      <w:r w:rsidR="00A4422C">
        <w:t>have endured</w:t>
      </w:r>
      <w:r>
        <w:t xml:space="preserve">. People with disability continue to suffer violence, abuse, </w:t>
      </w:r>
      <w:r w:rsidR="0087094A">
        <w:t>neglect,</w:t>
      </w:r>
      <w:r>
        <w:t xml:space="preserve"> </w:t>
      </w:r>
      <w:r w:rsidR="00E52152">
        <w:t xml:space="preserve">and exploitation </w:t>
      </w:r>
      <w:r w:rsidR="00947DDA">
        <w:t xml:space="preserve">and </w:t>
      </w:r>
      <w:r>
        <w:t>experience prejudice and discrimination because of negative</w:t>
      </w:r>
      <w:r w:rsidR="00E52152">
        <w:t xml:space="preserve"> community</w:t>
      </w:r>
      <w:r>
        <w:t xml:space="preserve"> attitudes</w:t>
      </w:r>
      <w:r w:rsidR="00947DDA">
        <w:t>.</w:t>
      </w:r>
    </w:p>
    <w:p w14:paraId="1B44A9D1" w14:textId="724FC8BA" w:rsidR="00106AD0" w:rsidRDefault="00106AD0" w:rsidP="00106AD0">
      <w:proofErr w:type="gramStart"/>
      <w:r>
        <w:t>During the course of</w:t>
      </w:r>
      <w:proofErr w:type="gramEnd"/>
      <w:r>
        <w:t xml:space="preserve"> the Royal Commission, QAI has provided extensive evidence of the ongoing mistreatment of people with disability in Australian society. QAI has made ten written submissions covering various topics, including education, guardianship, criminal justice, group homes, </w:t>
      </w:r>
      <w:r w:rsidR="00AF60BC">
        <w:t>R</w:t>
      </w:r>
      <w:r>
        <w:t xml:space="preserve">estrictive </w:t>
      </w:r>
      <w:r w:rsidR="00AF60BC">
        <w:t>P</w:t>
      </w:r>
      <w:r>
        <w:t>ractices, and our most recent submission on Places of Detention in Queensland. QAI has also given evidence at t</w:t>
      </w:r>
      <w:r w:rsidR="00A46A3F">
        <w:t>hree</w:t>
      </w:r>
      <w:r>
        <w:t xml:space="preserve"> public hearings: </w:t>
      </w:r>
      <w:r w:rsidR="003B0E47">
        <w:t xml:space="preserve">Public hearing 6 on </w:t>
      </w:r>
      <w:r w:rsidR="003B0E47" w:rsidRPr="00DD12C4">
        <w:rPr>
          <w:i/>
          <w:iCs/>
        </w:rPr>
        <w:t>Psychotropic medication, behaviour support and behaviours of concern</w:t>
      </w:r>
      <w:r w:rsidR="003B0E47">
        <w:t xml:space="preserve">, </w:t>
      </w:r>
      <w:proofErr w:type="gramStart"/>
      <w:r>
        <w:t>Public</w:t>
      </w:r>
      <w:proofErr w:type="gramEnd"/>
      <w:r>
        <w:t xml:space="preserve"> hearing 7 on </w:t>
      </w:r>
      <w:r w:rsidRPr="00DD12C4">
        <w:rPr>
          <w:i/>
          <w:iCs/>
        </w:rPr>
        <w:t>Education</w:t>
      </w:r>
      <w:r>
        <w:t xml:space="preserve">, and Public hearing 30 on </w:t>
      </w:r>
      <w:r w:rsidRPr="00DD12C4">
        <w:rPr>
          <w:i/>
          <w:iCs/>
        </w:rPr>
        <w:t>Guardianship, substituted and supported decision-making</w:t>
      </w:r>
      <w:r>
        <w:t>.</w:t>
      </w:r>
    </w:p>
    <w:p w14:paraId="34338933" w14:textId="3822D8F0" w:rsidR="00106AD0" w:rsidRDefault="00106AD0" w:rsidP="00106AD0">
      <w:r>
        <w:t xml:space="preserve">Our evidence includes recommendations for attitudinal, law and policy reform that, if implemented, </w:t>
      </w:r>
      <w:r w:rsidR="00741AC9">
        <w:t>w</w:t>
      </w:r>
      <w:r>
        <w:t xml:space="preserve">ould </w:t>
      </w:r>
      <w:proofErr w:type="gramStart"/>
      <w:r w:rsidR="006718B1">
        <w:t>prevent</w:t>
      </w:r>
      <w:proofErr w:type="gramEnd"/>
      <w:r w:rsidR="006718B1">
        <w:t xml:space="preserve"> and better protect</w:t>
      </w:r>
      <w:r w:rsidR="00F46066">
        <w:t xml:space="preserve"> </w:t>
      </w:r>
      <w:r>
        <w:t>people with disability</w:t>
      </w:r>
      <w:r w:rsidR="00CD3524">
        <w:t xml:space="preserve"> from experiencing violence, abuse, neglect, and exploitation</w:t>
      </w:r>
      <w:r w:rsidR="0094217D">
        <w:t>,</w:t>
      </w:r>
      <w:r>
        <w:t xml:space="preserve"> </w:t>
      </w:r>
      <w:r w:rsidR="00081DAD">
        <w:t>and empower</w:t>
      </w:r>
      <w:r w:rsidR="001E510E">
        <w:t xml:space="preserve"> people with disability</w:t>
      </w:r>
      <w:r w:rsidR="00081DAD">
        <w:t xml:space="preserve"> to live their best lives</w:t>
      </w:r>
      <w:r>
        <w:t xml:space="preserve">. When considered together, </w:t>
      </w:r>
      <w:r w:rsidR="00086FCC">
        <w:t>our</w:t>
      </w:r>
      <w:r>
        <w:t xml:space="preserve"> recommendations </w:t>
      </w:r>
      <w:r w:rsidR="00741AC9">
        <w:t>reflect</w:t>
      </w:r>
      <w:r>
        <w:t xml:space="preserve"> several </w:t>
      </w:r>
      <w:r w:rsidR="00F46066">
        <w:t>consistent</w:t>
      </w:r>
      <w:r>
        <w:t xml:space="preserve"> themes.</w:t>
      </w:r>
      <w:r w:rsidR="001A54DA">
        <w:t xml:space="preserve"> This submission</w:t>
      </w:r>
      <w:r>
        <w:t xml:space="preserve"> </w:t>
      </w:r>
      <w:r w:rsidR="00467361">
        <w:t>presents</w:t>
      </w:r>
      <w:r w:rsidR="00F46066">
        <w:t xml:space="preserve"> our key recommendations within </w:t>
      </w:r>
      <w:r w:rsidR="00E10D07">
        <w:t>the</w:t>
      </w:r>
      <w:r w:rsidR="002F0CD0">
        <w:t>se themes, which can be</w:t>
      </w:r>
      <w:r w:rsidR="00C65234">
        <w:t xml:space="preserve"> summarised as the</w:t>
      </w:r>
      <w:r w:rsidR="009B7E3A">
        <w:t xml:space="preserve"> following</w:t>
      </w:r>
      <w:r>
        <w:t>:</w:t>
      </w:r>
    </w:p>
    <w:p w14:paraId="38232DF0" w14:textId="4B4F6EC9" w:rsidR="00106AD0" w:rsidRPr="00C13DDF" w:rsidRDefault="00106AD0" w:rsidP="00106AD0">
      <w:pPr>
        <w:rPr>
          <w:b/>
          <w:bCs/>
        </w:rPr>
      </w:pPr>
      <w:r w:rsidRPr="00C13DDF">
        <w:rPr>
          <w:b/>
          <w:bCs/>
        </w:rPr>
        <w:t>1.</w:t>
      </w:r>
      <w:r w:rsidRPr="00C13DDF">
        <w:rPr>
          <w:b/>
          <w:bCs/>
        </w:rPr>
        <w:tab/>
        <w:t>End the segregation of people with disability</w:t>
      </w:r>
      <w:r w:rsidR="007103A9">
        <w:rPr>
          <w:b/>
          <w:bCs/>
        </w:rPr>
        <w:t>;</w:t>
      </w:r>
    </w:p>
    <w:p w14:paraId="38A623CF" w14:textId="4159FF6B" w:rsidR="00106AD0" w:rsidRPr="00C13DDF" w:rsidRDefault="00106AD0" w:rsidP="00106AD0">
      <w:pPr>
        <w:rPr>
          <w:b/>
          <w:bCs/>
        </w:rPr>
      </w:pPr>
      <w:r w:rsidRPr="00C13DDF">
        <w:rPr>
          <w:b/>
          <w:bCs/>
        </w:rPr>
        <w:t>2.</w:t>
      </w:r>
      <w:r w:rsidRPr="00C13DDF">
        <w:rPr>
          <w:b/>
          <w:bCs/>
        </w:rPr>
        <w:tab/>
        <w:t>Address prejudicial attitudes and a lack of understanding of the needs of people with disability</w:t>
      </w:r>
      <w:r w:rsidR="007103A9">
        <w:rPr>
          <w:b/>
          <w:bCs/>
        </w:rPr>
        <w:t>;</w:t>
      </w:r>
    </w:p>
    <w:p w14:paraId="58B88AF3" w14:textId="34A88304" w:rsidR="00106AD0" w:rsidRPr="00C13DDF" w:rsidRDefault="00106AD0" w:rsidP="00106AD0">
      <w:pPr>
        <w:rPr>
          <w:b/>
          <w:bCs/>
        </w:rPr>
      </w:pPr>
      <w:r w:rsidRPr="00C13DDF">
        <w:rPr>
          <w:b/>
          <w:bCs/>
        </w:rPr>
        <w:t>3.</w:t>
      </w:r>
      <w:r w:rsidRPr="00C13DDF">
        <w:rPr>
          <w:b/>
          <w:bCs/>
        </w:rPr>
        <w:tab/>
        <w:t>Involve people with disability in decision-making processes</w:t>
      </w:r>
      <w:r w:rsidR="007103A9">
        <w:rPr>
          <w:b/>
          <w:bCs/>
        </w:rPr>
        <w:t>;</w:t>
      </w:r>
    </w:p>
    <w:p w14:paraId="3AB76272" w14:textId="3FB6ED72" w:rsidR="00106AD0" w:rsidRPr="00C13DDF" w:rsidRDefault="00106AD0" w:rsidP="00106AD0">
      <w:pPr>
        <w:rPr>
          <w:b/>
          <w:bCs/>
        </w:rPr>
      </w:pPr>
      <w:r w:rsidRPr="00C13DDF">
        <w:rPr>
          <w:b/>
          <w:bCs/>
        </w:rPr>
        <w:t>4.</w:t>
      </w:r>
      <w:r w:rsidRPr="00C13DDF">
        <w:rPr>
          <w:b/>
          <w:bCs/>
        </w:rPr>
        <w:tab/>
        <w:t>Ensure access to essential supports</w:t>
      </w:r>
      <w:r w:rsidR="007103A9">
        <w:rPr>
          <w:b/>
          <w:bCs/>
        </w:rPr>
        <w:t>;</w:t>
      </w:r>
    </w:p>
    <w:p w14:paraId="284884E9" w14:textId="67C002B5" w:rsidR="00106AD0" w:rsidRPr="00C13DDF" w:rsidRDefault="00106AD0" w:rsidP="00106AD0">
      <w:pPr>
        <w:rPr>
          <w:b/>
          <w:bCs/>
        </w:rPr>
      </w:pPr>
      <w:r w:rsidRPr="00C13DDF">
        <w:rPr>
          <w:b/>
          <w:bCs/>
        </w:rPr>
        <w:t>5.</w:t>
      </w:r>
      <w:r w:rsidRPr="00C13DDF">
        <w:rPr>
          <w:b/>
          <w:bCs/>
        </w:rPr>
        <w:tab/>
        <w:t>Introduce stronger safeguards that will protect against abuse</w:t>
      </w:r>
      <w:r w:rsidR="007103A9">
        <w:rPr>
          <w:b/>
          <w:bCs/>
        </w:rPr>
        <w:t>;</w:t>
      </w:r>
    </w:p>
    <w:p w14:paraId="011F9BCA" w14:textId="346EACC2" w:rsidR="00106AD0" w:rsidRPr="00C13DDF" w:rsidRDefault="00106AD0" w:rsidP="00106AD0">
      <w:pPr>
        <w:rPr>
          <w:b/>
          <w:bCs/>
        </w:rPr>
      </w:pPr>
      <w:r w:rsidRPr="00C13DDF">
        <w:rPr>
          <w:b/>
          <w:bCs/>
        </w:rPr>
        <w:t>6.</w:t>
      </w:r>
      <w:r w:rsidRPr="00C13DDF">
        <w:rPr>
          <w:b/>
          <w:bCs/>
        </w:rPr>
        <w:tab/>
        <w:t>Address intersectional disadvantage</w:t>
      </w:r>
      <w:r w:rsidR="000A77FC" w:rsidRPr="00C13DDF">
        <w:rPr>
          <w:b/>
          <w:bCs/>
        </w:rPr>
        <w:t>; and</w:t>
      </w:r>
    </w:p>
    <w:p w14:paraId="3882C048" w14:textId="05483318" w:rsidR="00812889" w:rsidRPr="00C13DDF" w:rsidRDefault="00812889" w:rsidP="00106AD0">
      <w:pPr>
        <w:rPr>
          <w:b/>
          <w:bCs/>
        </w:rPr>
      </w:pPr>
      <w:r w:rsidRPr="00C13DDF">
        <w:rPr>
          <w:b/>
          <w:bCs/>
        </w:rPr>
        <w:t>7. Introduce a redress scheme</w:t>
      </w:r>
    </w:p>
    <w:p w14:paraId="06897D46" w14:textId="7549A5C1" w:rsidR="008C19D8" w:rsidRDefault="00106AD0" w:rsidP="00106AD0">
      <w:r>
        <w:t xml:space="preserve">It is hoped that these themes will </w:t>
      </w:r>
      <w:r w:rsidR="0009356B">
        <w:t>influence</w:t>
      </w:r>
      <w:r>
        <w:t xml:space="preserve"> the Disability Royal Commission’s final report to the Australian Government and will inform meaningful systemic change that substantially improves the lives of people with </w:t>
      </w:r>
      <w:proofErr w:type="gramStart"/>
      <w:r>
        <w:t>disability</w:t>
      </w:r>
      <w:r w:rsidR="00AE0EE1">
        <w:t>,</w:t>
      </w:r>
      <w:r>
        <w:t xml:space="preserve"> and</w:t>
      </w:r>
      <w:proofErr w:type="gramEnd"/>
      <w:r w:rsidR="00A333A6">
        <w:t xml:space="preserve"> promotes an inclusive society that supports people with disability to live independently </w:t>
      </w:r>
      <w:r w:rsidR="00AE7D15">
        <w:t xml:space="preserve">and free from violence, abuse, neglect, and exploitation. </w:t>
      </w:r>
      <w:r>
        <w:t xml:space="preserve"> </w:t>
      </w:r>
    </w:p>
    <w:p w14:paraId="35D60E19" w14:textId="77777777" w:rsidR="001D7815" w:rsidRPr="00EB03E4" w:rsidRDefault="001D7815" w:rsidP="00106AD0"/>
    <w:p w14:paraId="47EFE25C" w14:textId="2A3800DD" w:rsidR="008C19D8" w:rsidRDefault="00F744F7" w:rsidP="009912A9">
      <w:pPr>
        <w:pStyle w:val="Heading1"/>
        <w:spacing w:before="240"/>
      </w:pPr>
      <w:r>
        <w:rPr>
          <w:noProof/>
        </w:rPr>
        <w:lastRenderedPageBreak/>
        <w:drawing>
          <wp:anchor distT="0" distB="0" distL="114300" distR="114300" simplePos="0" relativeHeight="251658240" behindDoc="0" locked="0" layoutInCell="1" allowOverlap="1" wp14:anchorId="0B065B3B" wp14:editId="66376316">
            <wp:simplePos x="0" y="0"/>
            <wp:positionH relativeFrom="column">
              <wp:posOffset>153035</wp:posOffset>
            </wp:positionH>
            <wp:positionV relativeFrom="paragraph">
              <wp:posOffset>401130</wp:posOffset>
            </wp:positionV>
            <wp:extent cx="5497195" cy="2458085"/>
            <wp:effectExtent l="0" t="0" r="8255" b="0"/>
            <wp:wrapThrough wrapText="bothSides">
              <wp:wrapPolygon edited="0">
                <wp:start x="0" y="0"/>
                <wp:lineTo x="0" y="21427"/>
                <wp:lineTo x="21558" y="21427"/>
                <wp:lineTo x="21558"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5497195" cy="2458085"/>
                    </a:xfrm>
                    <a:prstGeom prst="rect">
                      <a:avLst/>
                    </a:prstGeom>
                  </pic:spPr>
                </pic:pic>
              </a:graphicData>
            </a:graphic>
          </wp:anchor>
        </w:drawing>
      </w:r>
      <w:r w:rsidR="005D1C0C">
        <w:t>1. End the segregation of people with disability</w:t>
      </w:r>
    </w:p>
    <w:p w14:paraId="39BD1E26" w14:textId="5C0796FB" w:rsidR="00F744F7" w:rsidRDefault="00F744F7" w:rsidP="00173357">
      <w:pPr>
        <w:rPr>
          <w:lang w:eastAsia="en-US"/>
        </w:rPr>
      </w:pPr>
    </w:p>
    <w:p w14:paraId="07ADDE0C" w14:textId="77777777" w:rsidR="00F744F7" w:rsidRDefault="00F744F7" w:rsidP="00173357">
      <w:pPr>
        <w:rPr>
          <w:lang w:eastAsia="en-US"/>
        </w:rPr>
      </w:pPr>
    </w:p>
    <w:p w14:paraId="1F94334F" w14:textId="77777777" w:rsidR="00F744F7" w:rsidRDefault="00F744F7" w:rsidP="00173357">
      <w:pPr>
        <w:rPr>
          <w:lang w:eastAsia="en-US"/>
        </w:rPr>
      </w:pPr>
    </w:p>
    <w:p w14:paraId="5C4B5CB0" w14:textId="77777777" w:rsidR="00F744F7" w:rsidRDefault="00F744F7" w:rsidP="00173357">
      <w:pPr>
        <w:rPr>
          <w:lang w:eastAsia="en-US"/>
        </w:rPr>
      </w:pPr>
    </w:p>
    <w:p w14:paraId="09BB0C2D" w14:textId="77777777" w:rsidR="00F744F7" w:rsidRDefault="00F744F7" w:rsidP="00173357">
      <w:pPr>
        <w:rPr>
          <w:lang w:eastAsia="en-US"/>
        </w:rPr>
      </w:pPr>
    </w:p>
    <w:p w14:paraId="42794AE6" w14:textId="77777777" w:rsidR="00F744F7" w:rsidRDefault="00F744F7" w:rsidP="00173357">
      <w:pPr>
        <w:rPr>
          <w:lang w:eastAsia="en-US"/>
        </w:rPr>
      </w:pPr>
    </w:p>
    <w:p w14:paraId="7149DCBA" w14:textId="77777777" w:rsidR="00F744F7" w:rsidRDefault="00F744F7" w:rsidP="00173357">
      <w:pPr>
        <w:rPr>
          <w:lang w:eastAsia="en-US"/>
        </w:rPr>
      </w:pPr>
    </w:p>
    <w:p w14:paraId="26D25056" w14:textId="77777777" w:rsidR="00F744F7" w:rsidRDefault="00F744F7" w:rsidP="00173357">
      <w:pPr>
        <w:rPr>
          <w:lang w:eastAsia="en-US"/>
        </w:rPr>
      </w:pPr>
    </w:p>
    <w:p w14:paraId="32C5B18A" w14:textId="77777777" w:rsidR="00F744F7" w:rsidRDefault="00F744F7" w:rsidP="00173357">
      <w:pPr>
        <w:rPr>
          <w:lang w:eastAsia="en-US"/>
        </w:rPr>
      </w:pPr>
    </w:p>
    <w:p w14:paraId="4DFF00C5" w14:textId="77777777" w:rsidR="00F744F7" w:rsidRDefault="00F744F7" w:rsidP="00173357">
      <w:pPr>
        <w:rPr>
          <w:lang w:eastAsia="en-US"/>
        </w:rPr>
      </w:pPr>
    </w:p>
    <w:p w14:paraId="103F9932" w14:textId="1CEFB1A0" w:rsidR="004E12C8" w:rsidRDefault="007E5C03" w:rsidP="001964DB">
      <w:pPr>
        <w:rPr>
          <w:lang w:eastAsia="en-US"/>
        </w:rPr>
      </w:pPr>
      <w:r>
        <w:rPr>
          <w:lang w:eastAsia="en-US"/>
        </w:rPr>
        <w:t>The above image</w:t>
      </w:r>
      <w:r w:rsidR="00AC7C02">
        <w:rPr>
          <w:rStyle w:val="FootnoteReference"/>
          <w:lang w:eastAsia="en-US"/>
        </w:rPr>
        <w:footnoteReference w:id="2"/>
      </w:r>
      <w:r>
        <w:rPr>
          <w:lang w:eastAsia="en-US"/>
        </w:rPr>
        <w:t xml:space="preserve"> depicts the </w:t>
      </w:r>
      <w:r w:rsidR="001E71CF">
        <w:rPr>
          <w:lang w:eastAsia="en-US"/>
        </w:rPr>
        <w:t>typical life path</w:t>
      </w:r>
      <w:r w:rsidR="002C174F">
        <w:rPr>
          <w:lang w:eastAsia="en-US"/>
        </w:rPr>
        <w:t xml:space="preserve"> of many people born with</w:t>
      </w:r>
      <w:r w:rsidR="00A55651">
        <w:rPr>
          <w:lang w:eastAsia="en-US"/>
        </w:rPr>
        <w:t xml:space="preserve"> a</w:t>
      </w:r>
      <w:r w:rsidR="002C174F">
        <w:rPr>
          <w:lang w:eastAsia="en-US"/>
        </w:rPr>
        <w:t xml:space="preserve"> disability in</w:t>
      </w:r>
      <w:r w:rsidR="00410851">
        <w:rPr>
          <w:lang w:eastAsia="en-US"/>
        </w:rPr>
        <w:t xml:space="preserve"> </w:t>
      </w:r>
      <w:r w:rsidR="00781EF1">
        <w:rPr>
          <w:lang w:eastAsia="en-US"/>
        </w:rPr>
        <w:t>Australia</w:t>
      </w:r>
      <w:r w:rsidR="00410851">
        <w:rPr>
          <w:lang w:eastAsia="en-US"/>
        </w:rPr>
        <w:t xml:space="preserve">. </w:t>
      </w:r>
      <w:r w:rsidR="001B4E5C">
        <w:rPr>
          <w:lang w:eastAsia="en-US"/>
        </w:rPr>
        <w:t>Practices of s</w:t>
      </w:r>
      <w:r w:rsidR="0046404D">
        <w:rPr>
          <w:lang w:eastAsia="en-US"/>
        </w:rPr>
        <w:t xml:space="preserve">egregation, and </w:t>
      </w:r>
      <w:r w:rsidR="00D717A9">
        <w:rPr>
          <w:lang w:eastAsia="en-US"/>
        </w:rPr>
        <w:t xml:space="preserve">the </w:t>
      </w:r>
      <w:r w:rsidR="003D1BC0">
        <w:rPr>
          <w:lang w:eastAsia="en-US"/>
        </w:rPr>
        <w:t>subsequent</w:t>
      </w:r>
      <w:r w:rsidR="0046404D">
        <w:rPr>
          <w:lang w:eastAsia="en-US"/>
        </w:rPr>
        <w:t xml:space="preserve"> devaluation of people with </w:t>
      </w:r>
      <w:r w:rsidR="00773162">
        <w:rPr>
          <w:lang w:eastAsia="en-US"/>
        </w:rPr>
        <w:t xml:space="preserve">a </w:t>
      </w:r>
      <w:r w:rsidR="0046404D">
        <w:rPr>
          <w:lang w:eastAsia="en-US"/>
        </w:rPr>
        <w:t>disability, begin at a very young age</w:t>
      </w:r>
      <w:r w:rsidR="00CD691C">
        <w:rPr>
          <w:lang w:eastAsia="en-US"/>
        </w:rPr>
        <w:t xml:space="preserve">. </w:t>
      </w:r>
      <w:r w:rsidR="00044EE0">
        <w:rPr>
          <w:lang w:eastAsia="en-US"/>
        </w:rPr>
        <w:t>They</w:t>
      </w:r>
      <w:r w:rsidR="00031143">
        <w:rPr>
          <w:lang w:eastAsia="en-US"/>
        </w:rPr>
        <w:t xml:space="preserve"> </w:t>
      </w:r>
      <w:r w:rsidR="00787A0F">
        <w:rPr>
          <w:lang w:eastAsia="en-US"/>
        </w:rPr>
        <w:t>place people with disability on</w:t>
      </w:r>
      <w:r w:rsidR="00555DC3">
        <w:rPr>
          <w:lang w:eastAsia="en-US"/>
        </w:rPr>
        <w:t>to</w:t>
      </w:r>
      <w:r w:rsidR="00787A0F">
        <w:rPr>
          <w:lang w:eastAsia="en-US"/>
        </w:rPr>
        <w:t xml:space="preserve"> a distinct life path</w:t>
      </w:r>
      <w:r w:rsidR="009460E4">
        <w:rPr>
          <w:lang w:eastAsia="en-US"/>
        </w:rPr>
        <w:t xml:space="preserve"> that</w:t>
      </w:r>
      <w:r w:rsidR="005A78BC">
        <w:rPr>
          <w:lang w:eastAsia="en-US"/>
        </w:rPr>
        <w:t xml:space="preserve"> </w:t>
      </w:r>
      <w:r w:rsidR="008B3A8F">
        <w:rPr>
          <w:lang w:eastAsia="en-US"/>
        </w:rPr>
        <w:t xml:space="preserve">has </w:t>
      </w:r>
      <w:r w:rsidR="005A78BC">
        <w:rPr>
          <w:lang w:eastAsia="en-US"/>
        </w:rPr>
        <w:t>reduce</w:t>
      </w:r>
      <w:r w:rsidR="008B3A8F">
        <w:rPr>
          <w:lang w:eastAsia="en-US"/>
        </w:rPr>
        <w:t>d</w:t>
      </w:r>
      <w:r w:rsidR="001C278C">
        <w:rPr>
          <w:lang w:eastAsia="en-US"/>
        </w:rPr>
        <w:t xml:space="preserve"> opportunit</w:t>
      </w:r>
      <w:r w:rsidR="008B3A8F">
        <w:rPr>
          <w:lang w:eastAsia="en-US"/>
        </w:rPr>
        <w:t>ies</w:t>
      </w:r>
      <w:r w:rsidR="005A78BC">
        <w:rPr>
          <w:lang w:eastAsia="en-US"/>
        </w:rPr>
        <w:t xml:space="preserve"> to be in valued roles</w:t>
      </w:r>
      <w:r w:rsidR="006D0EF9">
        <w:rPr>
          <w:lang w:eastAsia="en-US"/>
        </w:rPr>
        <w:t xml:space="preserve"> that lead to the </w:t>
      </w:r>
      <w:r w:rsidR="00136822">
        <w:rPr>
          <w:lang w:eastAsia="en-US"/>
        </w:rPr>
        <w:t>enjoy</w:t>
      </w:r>
      <w:r w:rsidR="006D0EF9">
        <w:rPr>
          <w:lang w:eastAsia="en-US"/>
        </w:rPr>
        <w:t>ment of</w:t>
      </w:r>
      <w:r w:rsidR="004E12C8">
        <w:rPr>
          <w:lang w:eastAsia="en-US"/>
        </w:rPr>
        <w:t xml:space="preserve"> </w:t>
      </w:r>
      <w:r w:rsidR="006D0EF9">
        <w:rPr>
          <w:lang w:eastAsia="en-US"/>
        </w:rPr>
        <w:t>‘</w:t>
      </w:r>
      <w:r w:rsidR="004E12C8">
        <w:rPr>
          <w:lang w:eastAsia="en-US"/>
        </w:rPr>
        <w:t>the good things of life</w:t>
      </w:r>
      <w:r w:rsidR="006D0EF9">
        <w:rPr>
          <w:lang w:eastAsia="en-US"/>
        </w:rPr>
        <w:t>’</w:t>
      </w:r>
      <w:r w:rsidR="004E12C8">
        <w:rPr>
          <w:lang w:eastAsia="en-US"/>
        </w:rPr>
        <w:t xml:space="preserve"> that people without disability take for granted</w:t>
      </w:r>
      <w:r w:rsidR="008B3A8F">
        <w:rPr>
          <w:lang w:eastAsia="en-US"/>
        </w:rPr>
        <w:t>. For example</w:t>
      </w:r>
      <w:r w:rsidR="004E12C8">
        <w:rPr>
          <w:lang w:eastAsia="en-US"/>
        </w:rPr>
        <w:t xml:space="preserve">, </w:t>
      </w:r>
      <w:r w:rsidR="007F75F8">
        <w:rPr>
          <w:lang w:eastAsia="en-US"/>
        </w:rPr>
        <w:t>the enjoyment of</w:t>
      </w:r>
      <w:r w:rsidR="004E12C8">
        <w:rPr>
          <w:lang w:eastAsia="en-US"/>
        </w:rPr>
        <w:t xml:space="preserve"> freely given relationships, </w:t>
      </w:r>
      <w:r w:rsidR="005E40DB">
        <w:rPr>
          <w:lang w:eastAsia="en-US"/>
        </w:rPr>
        <w:t xml:space="preserve">educational achievements, </w:t>
      </w:r>
      <w:r w:rsidR="007D4256">
        <w:rPr>
          <w:lang w:eastAsia="en-US"/>
        </w:rPr>
        <w:t>open employment,</w:t>
      </w:r>
      <w:r w:rsidR="000E2BC3">
        <w:rPr>
          <w:lang w:eastAsia="en-US"/>
        </w:rPr>
        <w:t xml:space="preserve"> and</w:t>
      </w:r>
      <w:r w:rsidR="00CD691C">
        <w:rPr>
          <w:lang w:eastAsia="en-US"/>
        </w:rPr>
        <w:t xml:space="preserve"> financial</w:t>
      </w:r>
      <w:r w:rsidR="004A1EA7">
        <w:rPr>
          <w:lang w:eastAsia="en-US"/>
        </w:rPr>
        <w:t xml:space="preserve"> </w:t>
      </w:r>
      <w:r w:rsidR="0042721B">
        <w:rPr>
          <w:lang w:eastAsia="en-US"/>
        </w:rPr>
        <w:t>independence</w:t>
      </w:r>
      <w:r w:rsidR="004A1EA7">
        <w:rPr>
          <w:lang w:eastAsia="en-US"/>
        </w:rPr>
        <w:t>.</w:t>
      </w:r>
      <w:r w:rsidR="007F75F8">
        <w:rPr>
          <w:lang w:eastAsia="en-US"/>
        </w:rPr>
        <w:t xml:space="preserve"> </w:t>
      </w:r>
      <w:r w:rsidR="00E94243">
        <w:rPr>
          <w:lang w:eastAsia="en-US"/>
        </w:rPr>
        <w:t>They</w:t>
      </w:r>
      <w:r w:rsidR="007F75F8">
        <w:rPr>
          <w:lang w:eastAsia="en-US"/>
        </w:rPr>
        <w:t xml:space="preserve"> also increase the</w:t>
      </w:r>
      <w:r w:rsidR="0042721B">
        <w:rPr>
          <w:lang w:eastAsia="en-US"/>
        </w:rPr>
        <w:t xml:space="preserve"> risk of violence, abuse, </w:t>
      </w:r>
      <w:r w:rsidR="00427305">
        <w:rPr>
          <w:lang w:eastAsia="en-US"/>
        </w:rPr>
        <w:t>neglect,</w:t>
      </w:r>
      <w:r w:rsidR="0042721B">
        <w:rPr>
          <w:lang w:eastAsia="en-US"/>
        </w:rPr>
        <w:t xml:space="preserve"> and exploitation</w:t>
      </w:r>
      <w:r w:rsidR="00427305">
        <w:rPr>
          <w:lang w:eastAsia="en-US"/>
        </w:rPr>
        <w:t>,</w:t>
      </w:r>
      <w:r w:rsidR="0042721B">
        <w:rPr>
          <w:lang w:eastAsia="en-US"/>
        </w:rPr>
        <w:t xml:space="preserve"> due to</w:t>
      </w:r>
      <w:r w:rsidR="00B4645F">
        <w:rPr>
          <w:lang w:eastAsia="en-US"/>
        </w:rPr>
        <w:t xml:space="preserve"> the absence of </w:t>
      </w:r>
      <w:r w:rsidR="00E70B7B">
        <w:rPr>
          <w:lang w:eastAsia="en-US"/>
        </w:rPr>
        <w:t>a</w:t>
      </w:r>
      <w:r w:rsidR="00B4645F">
        <w:rPr>
          <w:lang w:eastAsia="en-US"/>
        </w:rPr>
        <w:t xml:space="preserve"> ‘community gaze’ </w:t>
      </w:r>
      <w:r w:rsidR="00C03F45">
        <w:rPr>
          <w:lang w:eastAsia="en-US"/>
        </w:rPr>
        <w:t>from</w:t>
      </w:r>
      <w:r w:rsidR="005E6AD0">
        <w:rPr>
          <w:lang w:eastAsia="en-US"/>
        </w:rPr>
        <w:t xml:space="preserve"> networks of support </w:t>
      </w:r>
      <w:r w:rsidR="00E70B7B">
        <w:rPr>
          <w:lang w:eastAsia="en-US"/>
        </w:rPr>
        <w:t xml:space="preserve">that provide oversight and accountability </w:t>
      </w:r>
      <w:r w:rsidR="00FA582E">
        <w:rPr>
          <w:lang w:eastAsia="en-US"/>
        </w:rPr>
        <w:t>for</w:t>
      </w:r>
      <w:r w:rsidR="00E70B7B">
        <w:rPr>
          <w:lang w:eastAsia="en-US"/>
        </w:rPr>
        <w:t xml:space="preserve"> </w:t>
      </w:r>
      <w:r w:rsidR="00FA582E">
        <w:rPr>
          <w:lang w:eastAsia="en-US"/>
        </w:rPr>
        <w:t xml:space="preserve">harmful </w:t>
      </w:r>
      <w:r w:rsidR="00E70B7B">
        <w:rPr>
          <w:lang w:eastAsia="en-US"/>
        </w:rPr>
        <w:t>actions.</w:t>
      </w:r>
      <w:r w:rsidR="00FA582E">
        <w:rPr>
          <w:rStyle w:val="FootnoteReference"/>
          <w:lang w:eastAsia="en-US"/>
        </w:rPr>
        <w:footnoteReference w:id="3"/>
      </w:r>
      <w:r w:rsidR="001C6974">
        <w:rPr>
          <w:lang w:eastAsia="en-US"/>
        </w:rPr>
        <w:t xml:space="preserve"> </w:t>
      </w:r>
    </w:p>
    <w:p w14:paraId="1E555A39" w14:textId="4FB9EA5F" w:rsidR="00B955B6" w:rsidRDefault="00B955B6" w:rsidP="00B955B6">
      <w:pPr>
        <w:pStyle w:val="Heading2"/>
        <w:spacing w:before="240"/>
        <w:ind w:left="0"/>
        <w:rPr>
          <w:lang w:eastAsia="en-US"/>
        </w:rPr>
      </w:pPr>
      <w:r>
        <w:rPr>
          <w:lang w:eastAsia="en-US"/>
        </w:rPr>
        <w:t>In education</w:t>
      </w:r>
    </w:p>
    <w:p w14:paraId="3F6B2B48" w14:textId="7ECE66AF" w:rsidR="00B21256" w:rsidRDefault="003B3F54" w:rsidP="00490569">
      <w:pPr>
        <w:rPr>
          <w:lang w:eastAsia="en-US"/>
        </w:rPr>
      </w:pPr>
      <w:r>
        <w:rPr>
          <w:lang w:eastAsia="en-US"/>
        </w:rPr>
        <w:t>Se</w:t>
      </w:r>
      <w:r w:rsidR="004A1EA7">
        <w:rPr>
          <w:lang w:eastAsia="en-US"/>
        </w:rPr>
        <w:t xml:space="preserve">gregation </w:t>
      </w:r>
      <w:r w:rsidR="00B73FD6">
        <w:rPr>
          <w:lang w:eastAsia="en-US"/>
        </w:rPr>
        <w:t>starts</w:t>
      </w:r>
      <w:r w:rsidR="00A75D20">
        <w:rPr>
          <w:lang w:eastAsia="en-US"/>
        </w:rPr>
        <w:t xml:space="preserve"> </w:t>
      </w:r>
      <w:r w:rsidR="00490569">
        <w:rPr>
          <w:lang w:eastAsia="en-US"/>
        </w:rPr>
        <w:t>in the</w:t>
      </w:r>
      <w:r w:rsidR="00490569" w:rsidRPr="001964DB">
        <w:rPr>
          <w:lang w:eastAsia="en-US"/>
        </w:rPr>
        <w:t xml:space="preserve"> </w:t>
      </w:r>
      <w:r w:rsidR="00490569">
        <w:rPr>
          <w:lang w:eastAsia="en-US"/>
        </w:rPr>
        <w:t xml:space="preserve">Early Childhood Education and Care (ECEC) setting. </w:t>
      </w:r>
      <w:r w:rsidR="00DB7490">
        <w:rPr>
          <w:lang w:eastAsia="en-US"/>
        </w:rPr>
        <w:t>Barriers</w:t>
      </w:r>
      <w:r w:rsidR="00F4307B">
        <w:rPr>
          <w:lang w:eastAsia="en-US"/>
        </w:rPr>
        <w:t xml:space="preserve"> </w:t>
      </w:r>
      <w:r w:rsidR="0068521F">
        <w:rPr>
          <w:lang w:eastAsia="en-US"/>
        </w:rPr>
        <w:t xml:space="preserve">for </w:t>
      </w:r>
      <w:r w:rsidR="00490569">
        <w:rPr>
          <w:lang w:eastAsia="en-US"/>
        </w:rPr>
        <w:t>children with disabilit</w:t>
      </w:r>
      <w:r w:rsidR="0068521F">
        <w:rPr>
          <w:lang w:eastAsia="en-US"/>
        </w:rPr>
        <w:t>y</w:t>
      </w:r>
      <w:r w:rsidR="00490569">
        <w:rPr>
          <w:lang w:eastAsia="en-US"/>
        </w:rPr>
        <w:t xml:space="preserve"> </w:t>
      </w:r>
      <w:r w:rsidR="00F4307B">
        <w:rPr>
          <w:lang w:eastAsia="en-US"/>
        </w:rPr>
        <w:t>seeking to</w:t>
      </w:r>
      <w:r w:rsidR="00490569">
        <w:rPr>
          <w:lang w:eastAsia="en-US"/>
        </w:rPr>
        <w:t xml:space="preserve"> attend childcare services </w:t>
      </w:r>
      <w:r w:rsidR="0068521F">
        <w:rPr>
          <w:lang w:eastAsia="en-US"/>
        </w:rPr>
        <w:t>are</w:t>
      </w:r>
      <w:r w:rsidR="00490569">
        <w:rPr>
          <w:lang w:eastAsia="en-US"/>
        </w:rPr>
        <w:t xml:space="preserve"> frequently overlooked as childcare providers are not covered by the </w:t>
      </w:r>
      <w:r w:rsidR="00490569" w:rsidRPr="00A97CFA">
        <w:rPr>
          <w:i/>
          <w:iCs/>
          <w:lang w:eastAsia="en-US"/>
        </w:rPr>
        <w:t>Disability Standards for Education</w:t>
      </w:r>
      <w:r w:rsidR="00490569">
        <w:rPr>
          <w:lang w:eastAsia="en-US"/>
        </w:rPr>
        <w:t xml:space="preserve"> (DSE).</w:t>
      </w:r>
      <w:r w:rsidR="00490569">
        <w:rPr>
          <w:rStyle w:val="FootnoteReference"/>
          <w:lang w:eastAsia="en-US"/>
        </w:rPr>
        <w:footnoteReference w:id="4"/>
      </w:r>
      <w:r w:rsidR="00490569">
        <w:rPr>
          <w:lang w:eastAsia="en-US"/>
        </w:rPr>
        <w:t xml:space="preserve"> This means that requests for enrolments of children with disability into childcare centres can</w:t>
      </w:r>
      <w:r w:rsidR="00B765EE">
        <w:rPr>
          <w:lang w:eastAsia="en-US"/>
        </w:rPr>
        <w:t xml:space="preserve"> be</w:t>
      </w:r>
      <w:r w:rsidR="00490569">
        <w:rPr>
          <w:lang w:eastAsia="en-US"/>
        </w:rPr>
        <w:t>, and regularly are, denied without any consultation or proper consideration</w:t>
      </w:r>
      <w:r w:rsidR="00D5643B">
        <w:rPr>
          <w:lang w:eastAsia="en-US"/>
        </w:rPr>
        <w:t>, denying children with disability the</w:t>
      </w:r>
      <w:r w:rsidR="000C07EF">
        <w:rPr>
          <w:lang w:eastAsia="en-US"/>
        </w:rPr>
        <w:t xml:space="preserve"> </w:t>
      </w:r>
      <w:r w:rsidR="00D5643B">
        <w:rPr>
          <w:lang w:eastAsia="en-US"/>
        </w:rPr>
        <w:t>benefits of socialisation and school readiness</w:t>
      </w:r>
      <w:r w:rsidR="000C07EF">
        <w:rPr>
          <w:lang w:eastAsia="en-US"/>
        </w:rPr>
        <w:t xml:space="preserve"> that childcare attendance can brin</w:t>
      </w:r>
      <w:r w:rsidR="000C07EF" w:rsidRPr="00DA796E">
        <w:rPr>
          <w:lang w:eastAsia="en-US"/>
        </w:rPr>
        <w:t>g</w:t>
      </w:r>
      <w:r w:rsidR="00942E5D">
        <w:rPr>
          <w:lang w:eastAsia="en-US"/>
        </w:rPr>
        <w:t>, leaving</w:t>
      </w:r>
      <w:r w:rsidR="00745082">
        <w:rPr>
          <w:lang w:eastAsia="en-US"/>
        </w:rPr>
        <w:t xml:space="preserve"> them already ‘behind’</w:t>
      </w:r>
      <w:r w:rsidR="008424CB">
        <w:rPr>
          <w:lang w:eastAsia="en-US"/>
        </w:rPr>
        <w:t xml:space="preserve"> when they commence formal education.</w:t>
      </w:r>
    </w:p>
    <w:p w14:paraId="067359A8" w14:textId="7C90A06A" w:rsidR="00931915" w:rsidRDefault="00931915" w:rsidP="00931915">
      <w:pPr>
        <w:rPr>
          <w:lang w:eastAsia="en-US"/>
        </w:rPr>
      </w:pPr>
      <w:r>
        <w:rPr>
          <w:lang w:eastAsia="en-US"/>
        </w:rPr>
        <w:t xml:space="preserve">Segregation continues to occur in mainstream education settings. The right to an inclusive education under Article 24 of the CRPD requires States Parties to ensure persons with disabilities are not excluded from the general education system </w:t>
      </w:r>
      <w:proofErr w:type="gramStart"/>
      <w:r>
        <w:rPr>
          <w:lang w:eastAsia="en-US"/>
        </w:rPr>
        <w:t>on the basis of</w:t>
      </w:r>
      <w:proofErr w:type="gramEnd"/>
      <w:r>
        <w:rPr>
          <w:lang w:eastAsia="en-US"/>
        </w:rPr>
        <w:t xml:space="preserve"> disability,</w:t>
      </w:r>
      <w:r w:rsidR="00164121">
        <w:rPr>
          <w:rStyle w:val="FootnoteReference"/>
          <w:lang w:eastAsia="en-US"/>
        </w:rPr>
        <w:footnoteReference w:id="5"/>
      </w:r>
      <w:r>
        <w:rPr>
          <w:lang w:eastAsia="en-US"/>
        </w:rPr>
        <w:t xml:space="preserve"> yet the vision of inclusive education articulated </w:t>
      </w:r>
      <w:r w:rsidR="001C6974">
        <w:rPr>
          <w:lang w:eastAsia="en-US"/>
        </w:rPr>
        <w:t xml:space="preserve">by the Committee to the CRPD </w:t>
      </w:r>
      <w:r>
        <w:rPr>
          <w:lang w:eastAsia="en-US"/>
        </w:rPr>
        <w:t>in General Comment 4 is not the reality for many students with disability in Queensland. QAI’s Young People’s Program continues to bear witness to the exclusion of students with disability from mainstream education settings through practices such as gatekeeping by Principals, the disproportionate use of school disciplinary absences</w:t>
      </w:r>
      <w:r>
        <w:rPr>
          <w:rStyle w:val="FootnoteReference"/>
          <w:lang w:eastAsia="en-US"/>
        </w:rPr>
        <w:footnoteReference w:id="6"/>
      </w:r>
      <w:r>
        <w:rPr>
          <w:lang w:eastAsia="en-US"/>
        </w:rPr>
        <w:t xml:space="preserve">, </w:t>
      </w:r>
      <w:r w:rsidR="00BA38BA">
        <w:rPr>
          <w:lang w:eastAsia="en-US"/>
        </w:rPr>
        <w:t>refusal to provide</w:t>
      </w:r>
      <w:r w:rsidR="004E7ACA">
        <w:rPr>
          <w:lang w:eastAsia="en-US"/>
        </w:rPr>
        <w:t xml:space="preserve"> reasonable adjustments</w:t>
      </w:r>
      <w:r w:rsidR="00D4149A">
        <w:rPr>
          <w:lang w:eastAsia="en-US"/>
        </w:rPr>
        <w:t>,</w:t>
      </w:r>
      <w:r w:rsidR="004E7ACA">
        <w:rPr>
          <w:lang w:eastAsia="en-US"/>
        </w:rPr>
        <w:t xml:space="preserve"> </w:t>
      </w:r>
      <w:r>
        <w:rPr>
          <w:lang w:eastAsia="en-US"/>
        </w:rPr>
        <w:t>and the use of unregulated Restrictive Practices</w:t>
      </w:r>
      <w:r w:rsidR="00990768">
        <w:rPr>
          <w:lang w:eastAsia="en-US"/>
        </w:rPr>
        <w:t xml:space="preserve">, </w:t>
      </w:r>
      <w:r w:rsidR="00FF5E71">
        <w:rPr>
          <w:lang w:eastAsia="en-US"/>
        </w:rPr>
        <w:t xml:space="preserve">all of which </w:t>
      </w:r>
      <w:r w:rsidR="00D50E6B">
        <w:rPr>
          <w:lang w:eastAsia="en-US"/>
        </w:rPr>
        <w:t xml:space="preserve">either </w:t>
      </w:r>
      <w:r w:rsidR="00C87B57">
        <w:rPr>
          <w:lang w:eastAsia="en-US"/>
        </w:rPr>
        <w:t>directly</w:t>
      </w:r>
      <w:r w:rsidR="00D50E6B">
        <w:rPr>
          <w:lang w:eastAsia="en-US"/>
        </w:rPr>
        <w:t xml:space="preserve"> remove students from the classroom or</w:t>
      </w:r>
      <w:r w:rsidR="00C87B57">
        <w:rPr>
          <w:lang w:eastAsia="en-US"/>
        </w:rPr>
        <w:t xml:space="preserve"> indirectly </w:t>
      </w:r>
      <w:r w:rsidR="000A5C3E">
        <w:rPr>
          <w:lang w:eastAsia="en-US"/>
        </w:rPr>
        <w:t>drive</w:t>
      </w:r>
      <w:r w:rsidR="009B2974">
        <w:rPr>
          <w:lang w:eastAsia="en-US"/>
        </w:rPr>
        <w:t xml:space="preserve"> </w:t>
      </w:r>
      <w:r w:rsidR="00104C0E">
        <w:rPr>
          <w:lang w:eastAsia="en-US"/>
        </w:rPr>
        <w:t xml:space="preserve">them </w:t>
      </w:r>
      <w:r w:rsidR="00825EE7">
        <w:rPr>
          <w:lang w:eastAsia="en-US"/>
        </w:rPr>
        <w:t xml:space="preserve">into </w:t>
      </w:r>
      <w:r w:rsidR="0045533E">
        <w:rPr>
          <w:lang w:eastAsia="en-US"/>
        </w:rPr>
        <w:t xml:space="preserve">part-time education, </w:t>
      </w:r>
      <w:r w:rsidR="00825EE7">
        <w:rPr>
          <w:lang w:eastAsia="en-US"/>
        </w:rPr>
        <w:t>home schooling</w:t>
      </w:r>
      <w:r w:rsidR="00887744">
        <w:rPr>
          <w:lang w:eastAsia="en-US"/>
        </w:rPr>
        <w:t xml:space="preserve"> or</w:t>
      </w:r>
      <w:r w:rsidR="000B6C0E">
        <w:rPr>
          <w:lang w:eastAsia="en-US"/>
        </w:rPr>
        <w:t xml:space="preserve"> enrolling in</w:t>
      </w:r>
      <w:r w:rsidR="00825EE7">
        <w:rPr>
          <w:lang w:eastAsia="en-US"/>
        </w:rPr>
        <w:t xml:space="preserve"> special school</w:t>
      </w:r>
      <w:r w:rsidR="000B6C0E">
        <w:rPr>
          <w:lang w:eastAsia="en-US"/>
        </w:rPr>
        <w:t>s.</w:t>
      </w:r>
      <w:r w:rsidR="00373847">
        <w:rPr>
          <w:rStyle w:val="FootnoteReference"/>
          <w:lang w:eastAsia="en-US"/>
        </w:rPr>
        <w:footnoteReference w:id="7"/>
      </w:r>
      <w:r w:rsidR="00104C0E">
        <w:rPr>
          <w:lang w:eastAsia="en-US"/>
        </w:rPr>
        <w:t xml:space="preserve"> </w:t>
      </w:r>
    </w:p>
    <w:p w14:paraId="20CE6C7C" w14:textId="3DFA864E" w:rsidR="009F681C" w:rsidRDefault="004559F2" w:rsidP="00153B57">
      <w:pPr>
        <w:rPr>
          <w:lang w:eastAsia="en-US"/>
        </w:rPr>
      </w:pPr>
      <w:r>
        <w:rPr>
          <w:lang w:eastAsia="en-US"/>
        </w:rPr>
        <w:t>The Centre for</w:t>
      </w:r>
      <w:r w:rsidRPr="000720E4">
        <w:rPr>
          <w:lang w:eastAsia="en-US"/>
        </w:rPr>
        <w:t xml:space="preserve"> </w:t>
      </w:r>
      <w:r>
        <w:rPr>
          <w:lang w:eastAsia="en-US"/>
        </w:rPr>
        <w:t>Inclusive Education (C4IE) states that “</w:t>
      </w:r>
      <w:r w:rsidRPr="00AE5AD3">
        <w:rPr>
          <w:i/>
          <w:iCs/>
          <w:lang w:eastAsia="en-US"/>
        </w:rPr>
        <w:t>the foundation of an inclusive society is an inclusive education system</w:t>
      </w:r>
      <w:r w:rsidR="004B1872">
        <w:rPr>
          <w:i/>
          <w:iCs/>
          <w:lang w:eastAsia="en-US"/>
        </w:rPr>
        <w:t>,</w:t>
      </w:r>
      <w:r>
        <w:rPr>
          <w:i/>
          <w:iCs/>
          <w:lang w:eastAsia="en-US"/>
        </w:rPr>
        <w:t>”</w:t>
      </w:r>
      <w:r w:rsidRPr="00E11875">
        <w:rPr>
          <w:rStyle w:val="FootnoteReference"/>
          <w:lang w:eastAsia="en-US"/>
        </w:rPr>
        <w:t xml:space="preserve"> </w:t>
      </w:r>
      <w:r>
        <w:rPr>
          <w:rStyle w:val="FootnoteReference"/>
          <w:lang w:eastAsia="en-US"/>
        </w:rPr>
        <w:footnoteReference w:id="8"/>
      </w:r>
      <w:r>
        <w:rPr>
          <w:lang w:eastAsia="en-US"/>
        </w:rPr>
        <w:t xml:space="preserve"> </w:t>
      </w:r>
      <w:r w:rsidR="000951BB">
        <w:rPr>
          <w:lang w:eastAsia="en-US"/>
        </w:rPr>
        <w:t>y</w:t>
      </w:r>
      <w:r>
        <w:rPr>
          <w:lang w:eastAsia="en-US"/>
        </w:rPr>
        <w:t>et discriminatory practices persist without adequate accountability</w:t>
      </w:r>
      <w:r w:rsidR="007D1D53">
        <w:rPr>
          <w:lang w:eastAsia="en-US"/>
        </w:rPr>
        <w:t xml:space="preserve"> and </w:t>
      </w:r>
      <w:r w:rsidR="009F681C">
        <w:rPr>
          <w:lang w:eastAsia="en-US"/>
        </w:rPr>
        <w:t xml:space="preserve">cause significant harm in the process. </w:t>
      </w:r>
      <w:r w:rsidR="001746D1">
        <w:rPr>
          <w:lang w:eastAsia="en-US"/>
        </w:rPr>
        <w:t>Research consistently shows that education settings that segregate students with disability perpetuate negative stereotypes</w:t>
      </w:r>
      <w:r w:rsidR="00F12D6F">
        <w:rPr>
          <w:rStyle w:val="FootnoteReference"/>
          <w:lang w:eastAsia="en-US"/>
        </w:rPr>
        <w:footnoteReference w:id="9"/>
      </w:r>
      <w:r w:rsidR="001746D1">
        <w:rPr>
          <w:lang w:eastAsia="en-US"/>
        </w:rPr>
        <w:t xml:space="preserve">, lead to poorer educational outcomes for students with disability, condition students with disability for a lifetime of exclusion and leave </w:t>
      </w:r>
      <w:r w:rsidR="00617F53">
        <w:rPr>
          <w:lang w:eastAsia="en-US"/>
        </w:rPr>
        <w:t>them</w:t>
      </w:r>
      <w:r w:rsidR="001746D1">
        <w:rPr>
          <w:lang w:eastAsia="en-US"/>
        </w:rPr>
        <w:t xml:space="preserve"> ill-equipped for adult life. Students with disability are denied the opportunity to interact with peers who live without disability, learn skills from them, form friendships, and achieve the sense of belonging that is the very essence of inclusio</w:t>
      </w:r>
      <w:r w:rsidR="001746D1" w:rsidRPr="001A10E9">
        <w:rPr>
          <w:lang w:eastAsia="en-US"/>
        </w:rPr>
        <w:t>n</w:t>
      </w:r>
      <w:r w:rsidR="001746D1">
        <w:rPr>
          <w:lang w:eastAsia="en-US"/>
        </w:rPr>
        <w:t>. Segregated educational settings also deny students without disability the many benefits that learning in a diverse environment alongside peers with disability can bring</w:t>
      </w:r>
      <w:r w:rsidR="009F681C">
        <w:rPr>
          <w:lang w:eastAsia="en-US"/>
        </w:rPr>
        <w:t>.</w:t>
      </w:r>
      <w:r w:rsidR="00E44A72">
        <w:rPr>
          <w:rStyle w:val="FootnoteReference"/>
          <w:lang w:eastAsia="en-US"/>
        </w:rPr>
        <w:footnoteReference w:id="10"/>
      </w:r>
    </w:p>
    <w:p w14:paraId="7AF7D9DB" w14:textId="05DA0B62" w:rsidR="00B828F6" w:rsidRDefault="00FF69E7" w:rsidP="001964DB">
      <w:pPr>
        <w:rPr>
          <w:lang w:eastAsia="en-US"/>
        </w:rPr>
      </w:pPr>
      <w:r>
        <w:rPr>
          <w:lang w:eastAsia="en-US"/>
        </w:rPr>
        <w:t xml:space="preserve">Despite </w:t>
      </w:r>
      <w:r w:rsidR="009752B4">
        <w:rPr>
          <w:lang w:eastAsia="en-US"/>
        </w:rPr>
        <w:t>advice to the contrary</w:t>
      </w:r>
      <w:r w:rsidR="006F25C3">
        <w:rPr>
          <w:lang w:eastAsia="en-US"/>
        </w:rPr>
        <w:t>, s</w:t>
      </w:r>
      <w:r w:rsidR="000C1B50">
        <w:rPr>
          <w:lang w:eastAsia="en-US"/>
        </w:rPr>
        <w:t>uccessive</w:t>
      </w:r>
      <w:r w:rsidR="0045039B">
        <w:rPr>
          <w:lang w:eastAsia="en-US"/>
        </w:rPr>
        <w:t xml:space="preserve"> </w:t>
      </w:r>
      <w:r w:rsidR="00490569">
        <w:rPr>
          <w:lang w:eastAsia="en-US"/>
        </w:rPr>
        <w:t>governments</w:t>
      </w:r>
      <w:r w:rsidR="00C96939">
        <w:rPr>
          <w:lang w:eastAsia="en-US"/>
        </w:rPr>
        <w:t xml:space="preserve"> </w:t>
      </w:r>
      <w:r w:rsidR="00A3481D">
        <w:rPr>
          <w:lang w:eastAsia="en-US"/>
        </w:rPr>
        <w:t>c</w:t>
      </w:r>
      <w:r w:rsidR="00490569">
        <w:rPr>
          <w:lang w:eastAsia="en-US"/>
        </w:rPr>
        <w:t>ontinue to invest in special school</w:t>
      </w:r>
      <w:r w:rsidR="00444A7E">
        <w:rPr>
          <w:lang w:eastAsia="en-US"/>
        </w:rPr>
        <w:t xml:space="preserve"> </w:t>
      </w:r>
      <w:r w:rsidR="00490569">
        <w:rPr>
          <w:lang w:eastAsia="en-US"/>
        </w:rPr>
        <w:t>s</w:t>
      </w:r>
      <w:r w:rsidR="00444A7E">
        <w:rPr>
          <w:lang w:eastAsia="en-US"/>
        </w:rPr>
        <w:t>ettings</w:t>
      </w:r>
      <w:r w:rsidR="009F0D48">
        <w:rPr>
          <w:lang w:eastAsia="en-US"/>
        </w:rPr>
        <w:t xml:space="preserve">. </w:t>
      </w:r>
      <w:r w:rsidR="00EB59BA">
        <w:rPr>
          <w:lang w:eastAsia="en-US"/>
        </w:rPr>
        <w:t>Indeed,</w:t>
      </w:r>
      <w:r w:rsidR="00E56EAA">
        <w:rPr>
          <w:lang w:eastAsia="en-US"/>
        </w:rPr>
        <w:t xml:space="preserve"> t</w:t>
      </w:r>
      <w:r w:rsidR="00490569">
        <w:rPr>
          <w:lang w:eastAsia="en-US"/>
        </w:rPr>
        <w:t>he</w:t>
      </w:r>
      <w:r w:rsidR="00A024FE">
        <w:rPr>
          <w:lang w:eastAsia="en-US"/>
        </w:rPr>
        <w:t xml:space="preserve"> </w:t>
      </w:r>
      <w:r w:rsidR="00490569">
        <w:rPr>
          <w:lang w:eastAsia="en-US"/>
        </w:rPr>
        <w:t>behaviour of</w:t>
      </w:r>
      <w:r w:rsidR="000C4EC2">
        <w:rPr>
          <w:lang w:eastAsia="en-US"/>
        </w:rPr>
        <w:t xml:space="preserve"> </w:t>
      </w:r>
      <w:r w:rsidR="009F0D48">
        <w:rPr>
          <w:lang w:eastAsia="en-US"/>
        </w:rPr>
        <w:t>some</w:t>
      </w:r>
      <w:r w:rsidR="00490569">
        <w:rPr>
          <w:lang w:eastAsia="en-US"/>
        </w:rPr>
        <w:t xml:space="preserve"> educational institutions leaves</w:t>
      </w:r>
      <w:r w:rsidR="009F0D48">
        <w:rPr>
          <w:lang w:eastAsia="en-US"/>
        </w:rPr>
        <w:t xml:space="preserve"> many</w:t>
      </w:r>
      <w:r w:rsidR="00490569">
        <w:rPr>
          <w:lang w:eastAsia="en-US"/>
        </w:rPr>
        <w:t xml:space="preserve"> families with no other option than to enrol </w:t>
      </w:r>
      <w:r w:rsidR="00B879BD">
        <w:rPr>
          <w:lang w:eastAsia="en-US"/>
        </w:rPr>
        <w:t xml:space="preserve">their child with a disability </w:t>
      </w:r>
      <w:r w:rsidR="00490569">
        <w:rPr>
          <w:lang w:eastAsia="en-US"/>
        </w:rPr>
        <w:t>in</w:t>
      </w:r>
      <w:r w:rsidR="00B879BD">
        <w:rPr>
          <w:lang w:eastAsia="en-US"/>
        </w:rPr>
        <w:t>to</w:t>
      </w:r>
      <w:r w:rsidR="00490569">
        <w:rPr>
          <w:lang w:eastAsia="en-US"/>
        </w:rPr>
        <w:t xml:space="preserve"> a </w:t>
      </w:r>
      <w:r w:rsidR="00B879BD">
        <w:rPr>
          <w:lang w:eastAsia="en-US"/>
        </w:rPr>
        <w:t>‘</w:t>
      </w:r>
      <w:r w:rsidR="00490569">
        <w:rPr>
          <w:lang w:eastAsia="en-US"/>
        </w:rPr>
        <w:t>special school</w:t>
      </w:r>
      <w:r w:rsidR="00B879BD">
        <w:rPr>
          <w:lang w:eastAsia="en-US"/>
        </w:rPr>
        <w:t>’</w:t>
      </w:r>
      <w:r w:rsidR="00927756">
        <w:rPr>
          <w:lang w:eastAsia="en-US"/>
        </w:rPr>
        <w:t>, an action that is</w:t>
      </w:r>
      <w:r w:rsidR="001E553B">
        <w:rPr>
          <w:lang w:eastAsia="en-US"/>
        </w:rPr>
        <w:t xml:space="preserve"> labelled the right of the parent</w:t>
      </w:r>
      <w:r w:rsidR="00927756">
        <w:rPr>
          <w:lang w:eastAsia="en-US"/>
        </w:rPr>
        <w:t xml:space="preserve"> </w:t>
      </w:r>
      <w:r w:rsidR="00467B72">
        <w:rPr>
          <w:lang w:eastAsia="en-US"/>
        </w:rPr>
        <w:t>and interpreted as</w:t>
      </w:r>
      <w:r w:rsidR="004707AD">
        <w:rPr>
          <w:lang w:eastAsia="en-US"/>
        </w:rPr>
        <w:t xml:space="preserve"> justification for the ongoing existence</w:t>
      </w:r>
      <w:r w:rsidR="00BB4615">
        <w:rPr>
          <w:lang w:eastAsia="en-US"/>
        </w:rPr>
        <w:t xml:space="preserve"> </w:t>
      </w:r>
      <w:r w:rsidR="00467B72">
        <w:rPr>
          <w:lang w:eastAsia="en-US"/>
        </w:rPr>
        <w:t xml:space="preserve">of special schools. </w:t>
      </w:r>
      <w:r w:rsidR="00EB59BA">
        <w:rPr>
          <w:lang w:eastAsia="en-US"/>
        </w:rPr>
        <w:t>However,</w:t>
      </w:r>
      <w:r w:rsidR="004564DD">
        <w:rPr>
          <w:lang w:eastAsia="en-US"/>
        </w:rPr>
        <w:t xml:space="preserve"> </w:t>
      </w:r>
      <w:r w:rsidR="00EB59BA">
        <w:rPr>
          <w:lang w:eastAsia="en-US"/>
        </w:rPr>
        <w:t>c</w:t>
      </w:r>
      <w:r w:rsidR="00EB59BA" w:rsidRPr="00B828F6">
        <w:rPr>
          <w:lang w:eastAsia="en-US"/>
        </w:rPr>
        <w:t>omparative research looking at placements in the United</w:t>
      </w:r>
      <w:r w:rsidR="00EB59BA">
        <w:rPr>
          <w:lang w:eastAsia="en-US"/>
        </w:rPr>
        <w:t xml:space="preserve"> </w:t>
      </w:r>
      <w:r w:rsidR="00EB59BA" w:rsidRPr="00B828F6">
        <w:rPr>
          <w:lang w:eastAsia="en-US"/>
        </w:rPr>
        <w:t>States and Australia</w:t>
      </w:r>
      <w:r w:rsidR="00EB59BA">
        <w:rPr>
          <w:rStyle w:val="FootnoteReference"/>
          <w:lang w:eastAsia="en-US"/>
        </w:rPr>
        <w:footnoteReference w:id="11"/>
      </w:r>
      <w:r w:rsidR="00EB59BA" w:rsidRPr="00B828F6">
        <w:rPr>
          <w:lang w:eastAsia="en-US"/>
        </w:rPr>
        <w:t xml:space="preserve"> showed that when mandates were clearly embedded within legislation that the default placement for students should be a regular education setting</w:t>
      </w:r>
      <w:r w:rsidR="00AA2C3F">
        <w:rPr>
          <w:lang w:eastAsia="en-US"/>
        </w:rPr>
        <w:t>,</w:t>
      </w:r>
      <w:r w:rsidR="00EB59BA" w:rsidRPr="00B828F6">
        <w:rPr>
          <w:lang w:eastAsia="en-US"/>
        </w:rPr>
        <w:t xml:space="preserve"> and the system was responsible for ensuring access to support within that setting as a first port of call, there was a dramatic change in placements and </w:t>
      </w:r>
      <w:r w:rsidR="00EF15D6">
        <w:rPr>
          <w:lang w:eastAsia="en-US"/>
        </w:rPr>
        <w:t>enrolments</w:t>
      </w:r>
      <w:r w:rsidR="00EB59BA" w:rsidRPr="00B828F6">
        <w:rPr>
          <w:lang w:eastAsia="en-US"/>
        </w:rPr>
        <w:t xml:space="preserve"> within segregated classrooms/schools dropped substantially. It can therefore be inferred from this that if mainstream educational settings were genuinely inclusive and students with a disability were guaranteed access to necessary reasonable adjustments to support their learning, </w:t>
      </w:r>
      <w:r w:rsidR="00620562">
        <w:rPr>
          <w:lang w:eastAsia="en-US"/>
        </w:rPr>
        <w:t>‘special school’</w:t>
      </w:r>
      <w:r w:rsidR="00620562" w:rsidRPr="00B828F6">
        <w:rPr>
          <w:lang w:eastAsia="en-US"/>
        </w:rPr>
        <w:t xml:space="preserve"> </w:t>
      </w:r>
      <w:r w:rsidR="00EB59BA" w:rsidRPr="00B828F6">
        <w:rPr>
          <w:lang w:eastAsia="en-US"/>
        </w:rPr>
        <w:t>enrolments would decrease</w:t>
      </w:r>
      <w:r w:rsidR="00E2531F">
        <w:rPr>
          <w:lang w:eastAsia="en-US"/>
        </w:rPr>
        <w:t>.</w:t>
      </w:r>
    </w:p>
    <w:p w14:paraId="068BB236" w14:textId="0086ED6B" w:rsidR="00B955B6" w:rsidRDefault="00B955B6" w:rsidP="00B955B6">
      <w:pPr>
        <w:pStyle w:val="Heading2"/>
        <w:spacing w:before="240"/>
        <w:ind w:left="0"/>
        <w:rPr>
          <w:lang w:eastAsia="en-US"/>
        </w:rPr>
      </w:pPr>
      <w:r>
        <w:rPr>
          <w:lang w:eastAsia="en-US"/>
        </w:rPr>
        <w:t>In employment</w:t>
      </w:r>
    </w:p>
    <w:p w14:paraId="5EFAB300" w14:textId="74A04F45" w:rsidR="004A1EA7" w:rsidRDefault="00E37D1E" w:rsidP="001964DB">
      <w:pPr>
        <w:rPr>
          <w:lang w:eastAsia="en-US"/>
        </w:rPr>
      </w:pPr>
      <w:r w:rsidRPr="00E37D1E">
        <w:rPr>
          <w:lang w:eastAsia="en-US"/>
        </w:rPr>
        <w:t xml:space="preserve">The </w:t>
      </w:r>
      <w:r w:rsidR="00281E52">
        <w:rPr>
          <w:lang w:eastAsia="en-US"/>
        </w:rPr>
        <w:t>segre</w:t>
      </w:r>
      <w:r w:rsidR="009F46BA">
        <w:rPr>
          <w:lang w:eastAsia="en-US"/>
        </w:rPr>
        <w:t xml:space="preserve">gation </w:t>
      </w:r>
      <w:r w:rsidRPr="00E37D1E">
        <w:rPr>
          <w:lang w:eastAsia="en-US"/>
        </w:rPr>
        <w:t xml:space="preserve">of people with disability </w:t>
      </w:r>
      <w:r w:rsidR="009F46BA">
        <w:rPr>
          <w:lang w:eastAsia="en-US"/>
        </w:rPr>
        <w:t xml:space="preserve">is also starkly apparent </w:t>
      </w:r>
      <w:r w:rsidR="00115C70">
        <w:rPr>
          <w:lang w:eastAsia="en-US"/>
        </w:rPr>
        <w:t>with</w:t>
      </w:r>
      <w:r w:rsidR="009F46BA">
        <w:rPr>
          <w:lang w:eastAsia="en-US"/>
        </w:rPr>
        <w:t>in the labour market</w:t>
      </w:r>
      <w:r w:rsidRPr="00E37D1E">
        <w:rPr>
          <w:lang w:eastAsia="en-US"/>
        </w:rPr>
        <w:t xml:space="preserve">. Specifically, Australian Disability Enterprises (ADEs) and productivity-based wage assessment tools constitute considerable barriers to the full inclusion and participation of people with disability in the open workforce. These archaic institutional approaches perpetuate low expectations of and for people with disability and ignore their capacity to positively contribute to the workplace. While ADEs may have had benevolent origins, </w:t>
      </w:r>
      <w:proofErr w:type="gramStart"/>
      <w:r w:rsidRPr="00E37D1E">
        <w:rPr>
          <w:lang w:eastAsia="en-US"/>
        </w:rPr>
        <w:t>in reality ADEs</w:t>
      </w:r>
      <w:proofErr w:type="gramEnd"/>
      <w:r w:rsidRPr="00E37D1E">
        <w:rPr>
          <w:lang w:eastAsia="en-US"/>
        </w:rPr>
        <w:t xml:space="preserve"> function as day centres for people with disability in areas where there are limited other supports or services. Theoretically, ADEs </w:t>
      </w:r>
      <w:r w:rsidR="00734F49">
        <w:rPr>
          <w:lang w:eastAsia="en-US"/>
        </w:rPr>
        <w:t xml:space="preserve">are </w:t>
      </w:r>
      <w:r w:rsidR="005F333C">
        <w:rPr>
          <w:lang w:eastAsia="en-US"/>
        </w:rPr>
        <w:t>meant to</w:t>
      </w:r>
      <w:r w:rsidRPr="00E37D1E">
        <w:rPr>
          <w:lang w:eastAsia="en-US"/>
        </w:rPr>
        <w:t xml:space="preserve"> operate as training centres that move employees with disability into open employment. However, this theory is not </w:t>
      </w:r>
      <w:proofErr w:type="gramStart"/>
      <w:r w:rsidRPr="00E37D1E">
        <w:rPr>
          <w:lang w:eastAsia="en-US"/>
        </w:rPr>
        <w:t>reflected in reality</w:t>
      </w:r>
      <w:r w:rsidR="006B50AA">
        <w:rPr>
          <w:lang w:eastAsia="en-US"/>
        </w:rPr>
        <w:t>, and</w:t>
      </w:r>
      <w:proofErr w:type="gramEnd"/>
      <w:r w:rsidR="006B50AA">
        <w:rPr>
          <w:lang w:eastAsia="en-US"/>
        </w:rPr>
        <w:t xml:space="preserve"> there </w:t>
      </w:r>
      <w:r w:rsidR="008218CF">
        <w:rPr>
          <w:lang w:eastAsia="en-US"/>
        </w:rPr>
        <w:t>are few</w:t>
      </w:r>
      <w:r w:rsidR="006B50AA">
        <w:rPr>
          <w:lang w:eastAsia="en-US"/>
        </w:rPr>
        <w:t xml:space="preserve"> incentives for </w:t>
      </w:r>
      <w:r w:rsidR="008218CF">
        <w:rPr>
          <w:lang w:eastAsia="en-US"/>
        </w:rPr>
        <w:t>ADEs to progress their employees into open employment</w:t>
      </w:r>
      <w:r w:rsidRPr="00E37D1E">
        <w:rPr>
          <w:lang w:eastAsia="en-US"/>
        </w:rPr>
        <w:t>.</w:t>
      </w:r>
      <w:r w:rsidR="00153BA4">
        <w:rPr>
          <w:rStyle w:val="FootnoteReference"/>
          <w:lang w:eastAsia="en-US"/>
        </w:rPr>
        <w:footnoteReference w:id="12"/>
      </w:r>
      <w:r w:rsidRPr="00E37D1E">
        <w:rPr>
          <w:lang w:eastAsia="en-US"/>
        </w:rPr>
        <w:t xml:space="preserve"> In some instances, ADEs are highly productive and compete on the open market against other businesses yet continue to </w:t>
      </w:r>
      <w:r w:rsidR="00A9785A">
        <w:rPr>
          <w:lang w:eastAsia="en-US"/>
        </w:rPr>
        <w:t xml:space="preserve">exploit and </w:t>
      </w:r>
      <w:r w:rsidRPr="00E37D1E">
        <w:rPr>
          <w:lang w:eastAsia="en-US"/>
        </w:rPr>
        <w:t>pay inadequate wages to their employees with disabilities. Rather than incentivising people with disability into the workforce, ADEs and the supported wage system demean the contribution of</w:t>
      </w:r>
      <w:r w:rsidR="004311C5" w:rsidRPr="004311C5">
        <w:t xml:space="preserve"> </w:t>
      </w:r>
      <w:r w:rsidR="004311C5" w:rsidRPr="004311C5">
        <w:rPr>
          <w:lang w:eastAsia="en-US"/>
        </w:rPr>
        <w:t>employees with disability through grossly insufficient remuneration and the confinement of workers to a small and undervalued sector of the labour market.</w:t>
      </w:r>
    </w:p>
    <w:p w14:paraId="0625069B" w14:textId="2DF44AEA" w:rsidR="00B955B6" w:rsidRDefault="00B955B6" w:rsidP="00B955B6">
      <w:pPr>
        <w:pStyle w:val="Heading2"/>
        <w:spacing w:before="240"/>
        <w:ind w:left="0"/>
        <w:rPr>
          <w:lang w:eastAsia="en-US"/>
        </w:rPr>
      </w:pPr>
      <w:r>
        <w:rPr>
          <w:lang w:eastAsia="en-US"/>
        </w:rPr>
        <w:t>In housing</w:t>
      </w:r>
    </w:p>
    <w:p w14:paraId="5622D795" w14:textId="2F86B43A" w:rsidR="002F7EB5" w:rsidRDefault="00A75FDF" w:rsidP="00EA4698">
      <w:pPr>
        <w:rPr>
          <w:lang w:eastAsia="en-US"/>
        </w:rPr>
      </w:pPr>
      <w:r w:rsidRPr="00A75FDF">
        <w:rPr>
          <w:lang w:eastAsia="en-US"/>
        </w:rPr>
        <w:t xml:space="preserve">Despite formal policies of deinstitutionalisation, many people with disability </w:t>
      </w:r>
      <w:r w:rsidR="00610B7E">
        <w:rPr>
          <w:lang w:eastAsia="en-US"/>
        </w:rPr>
        <w:t xml:space="preserve">also </w:t>
      </w:r>
      <w:r w:rsidRPr="00A75FDF">
        <w:rPr>
          <w:lang w:eastAsia="en-US"/>
        </w:rPr>
        <w:t>continue to live in segregated settings and remain excluded from mainstream housing.</w:t>
      </w:r>
      <w:r w:rsidR="00F00FD9">
        <w:rPr>
          <w:rStyle w:val="FootnoteReference"/>
          <w:lang w:eastAsia="en-US"/>
        </w:rPr>
        <w:footnoteReference w:id="13"/>
      </w:r>
      <w:r w:rsidRPr="00A75FDF">
        <w:rPr>
          <w:lang w:eastAsia="en-US"/>
        </w:rPr>
        <w:t xml:space="preserve"> </w:t>
      </w:r>
      <w:r w:rsidR="00967AC9">
        <w:rPr>
          <w:lang w:eastAsia="en-US"/>
        </w:rPr>
        <w:t xml:space="preserve">Barriers such as </w:t>
      </w:r>
      <w:r w:rsidR="009F4093">
        <w:rPr>
          <w:lang w:eastAsia="en-US"/>
        </w:rPr>
        <w:t>long waiting lists for public housing, unaffordable private rentals and inaccessible buildings</w:t>
      </w:r>
      <w:r w:rsidR="00AF3CB5">
        <w:rPr>
          <w:lang w:eastAsia="en-US"/>
        </w:rPr>
        <w:t xml:space="preserve"> </w:t>
      </w:r>
      <w:r w:rsidR="00E45C84">
        <w:rPr>
          <w:lang w:eastAsia="en-US"/>
        </w:rPr>
        <w:t xml:space="preserve">directly </w:t>
      </w:r>
      <w:r w:rsidR="00950912">
        <w:rPr>
          <w:lang w:eastAsia="en-US"/>
        </w:rPr>
        <w:t>contribute to this segregatio</w:t>
      </w:r>
      <w:r w:rsidR="00950912" w:rsidRPr="006F514F">
        <w:rPr>
          <w:lang w:eastAsia="en-US"/>
        </w:rPr>
        <w:t>n</w:t>
      </w:r>
      <w:r w:rsidR="00950912">
        <w:rPr>
          <w:lang w:eastAsia="en-US"/>
        </w:rPr>
        <w:t>.</w:t>
      </w:r>
      <w:r w:rsidR="009F4093">
        <w:rPr>
          <w:lang w:eastAsia="en-US"/>
        </w:rPr>
        <w:t xml:space="preserve"> </w:t>
      </w:r>
      <w:r w:rsidR="008E5055">
        <w:rPr>
          <w:lang w:eastAsia="en-US"/>
        </w:rPr>
        <w:t>C</w:t>
      </w:r>
      <w:r w:rsidR="00D5773A" w:rsidRPr="00A75FDF">
        <w:rPr>
          <w:lang w:eastAsia="en-US"/>
        </w:rPr>
        <w:t xml:space="preserve">ongregated housing </w:t>
      </w:r>
      <w:r w:rsidR="008E5055">
        <w:rPr>
          <w:lang w:eastAsia="en-US"/>
        </w:rPr>
        <w:t>i</w:t>
      </w:r>
      <w:r w:rsidR="00D5773A" w:rsidRPr="00A75FDF">
        <w:rPr>
          <w:lang w:eastAsia="en-US"/>
        </w:rPr>
        <w:t>s any place where a person is forced to share their care with another person where this is not the decision of the person.</w:t>
      </w:r>
      <w:r w:rsidR="00D5773A">
        <w:rPr>
          <w:lang w:eastAsia="en-US"/>
        </w:rPr>
        <w:t xml:space="preserve"> </w:t>
      </w:r>
      <w:r w:rsidRPr="00A75FDF">
        <w:rPr>
          <w:lang w:eastAsia="en-US"/>
        </w:rPr>
        <w:t xml:space="preserve">Group homes </w:t>
      </w:r>
      <w:r w:rsidR="00D5773A">
        <w:rPr>
          <w:lang w:eastAsia="en-US"/>
        </w:rPr>
        <w:t>i</w:t>
      </w:r>
      <w:r w:rsidRPr="00A75FDF">
        <w:rPr>
          <w:lang w:eastAsia="en-US"/>
        </w:rPr>
        <w:t xml:space="preserve">nclude large residential facilities, boarding houses, hostels, long-stay health facilities, small group homes or Supported Independent Living (SIL) arrangements under the </w:t>
      </w:r>
      <w:r w:rsidR="002155AC">
        <w:rPr>
          <w:lang w:eastAsia="en-US"/>
        </w:rPr>
        <w:t>National Disability Insurance Scheme (</w:t>
      </w:r>
      <w:r w:rsidRPr="00A75FDF">
        <w:rPr>
          <w:lang w:eastAsia="en-US"/>
        </w:rPr>
        <w:t>NDIS</w:t>
      </w:r>
      <w:r w:rsidR="002155AC">
        <w:rPr>
          <w:lang w:eastAsia="en-US"/>
        </w:rPr>
        <w:t>)</w:t>
      </w:r>
      <w:r w:rsidRPr="00A75FDF">
        <w:rPr>
          <w:lang w:eastAsia="en-US"/>
        </w:rPr>
        <w:t xml:space="preserve">. People with disability living in these settings are required to share much of their lives, including living space, communal bathrooms, communal living areas and/or their personal supports. </w:t>
      </w:r>
      <w:r w:rsidR="00ED1EF3">
        <w:rPr>
          <w:lang w:eastAsia="en-US"/>
        </w:rPr>
        <w:t>Despite new terminology</w:t>
      </w:r>
      <w:r w:rsidR="00813FC1">
        <w:rPr>
          <w:lang w:eastAsia="en-US"/>
        </w:rPr>
        <w:t xml:space="preserve"> used by the NDIS</w:t>
      </w:r>
      <w:r w:rsidR="00DB43D9">
        <w:rPr>
          <w:lang w:eastAsia="en-US"/>
        </w:rPr>
        <w:t>, su</w:t>
      </w:r>
      <w:r w:rsidR="00ED1EF3">
        <w:rPr>
          <w:lang w:eastAsia="en-US"/>
        </w:rPr>
        <w:t xml:space="preserve">ch as </w:t>
      </w:r>
      <w:r w:rsidR="00EA4698" w:rsidRPr="00B275C5">
        <w:rPr>
          <w:lang w:eastAsia="en-US"/>
        </w:rPr>
        <w:t>‘Supported Independent Living’ and ‘Specialist Disability Accommodation’</w:t>
      </w:r>
      <w:r w:rsidR="00EA4698">
        <w:rPr>
          <w:lang w:eastAsia="en-US"/>
        </w:rPr>
        <w:t>, fresh labelling</w:t>
      </w:r>
      <w:r w:rsidR="00EA4698" w:rsidRPr="00B275C5">
        <w:rPr>
          <w:lang w:eastAsia="en-US"/>
        </w:rPr>
        <w:t xml:space="preserve"> has not heralded a new approach to shared living arrangements, in which practices of abuse, exploitation and neglect, in addition to the denial of choice and control, have perpetuated.</w:t>
      </w:r>
      <w:r w:rsidR="001224C8">
        <w:rPr>
          <w:lang w:eastAsia="en-US"/>
        </w:rPr>
        <w:t xml:space="preserve"> The lack of choice and control over </w:t>
      </w:r>
      <w:r w:rsidR="00917284">
        <w:rPr>
          <w:lang w:eastAsia="en-US"/>
        </w:rPr>
        <w:t>day-to-day</w:t>
      </w:r>
      <w:r w:rsidR="001224C8">
        <w:rPr>
          <w:lang w:eastAsia="en-US"/>
        </w:rPr>
        <w:t xml:space="preserve"> activities, together with the power</w:t>
      </w:r>
      <w:r w:rsidR="00AB7626">
        <w:rPr>
          <w:lang w:eastAsia="en-US"/>
        </w:rPr>
        <w:t xml:space="preserve"> imbalance between accommodation providers and residents, </w:t>
      </w:r>
      <w:r w:rsidR="0017316C">
        <w:rPr>
          <w:lang w:eastAsia="en-US"/>
        </w:rPr>
        <w:t>increases the risk of violence and exploitation</w:t>
      </w:r>
      <w:r w:rsidR="00E51C92">
        <w:rPr>
          <w:rStyle w:val="FootnoteReference"/>
          <w:lang w:eastAsia="en-US"/>
        </w:rPr>
        <w:footnoteReference w:id="14"/>
      </w:r>
      <w:r w:rsidR="0017316C">
        <w:rPr>
          <w:lang w:eastAsia="en-US"/>
        </w:rPr>
        <w:t xml:space="preserve">. </w:t>
      </w:r>
      <w:r w:rsidR="00903EE5">
        <w:rPr>
          <w:lang w:eastAsia="en-US"/>
        </w:rPr>
        <w:t>Moreover</w:t>
      </w:r>
      <w:r w:rsidR="0099410A">
        <w:rPr>
          <w:lang w:eastAsia="en-US"/>
        </w:rPr>
        <w:t>,</w:t>
      </w:r>
      <w:r w:rsidR="0017316C">
        <w:rPr>
          <w:lang w:eastAsia="en-US"/>
        </w:rPr>
        <w:t xml:space="preserve"> despite</w:t>
      </w:r>
      <w:r w:rsidR="002F7EB5">
        <w:rPr>
          <w:lang w:eastAsia="en-US"/>
        </w:rPr>
        <w:t xml:space="preserve"> legislation requiring services to be designed in such a way </w:t>
      </w:r>
      <w:r w:rsidR="00A82587">
        <w:rPr>
          <w:lang w:eastAsia="en-US"/>
        </w:rPr>
        <w:t>as to ensure no single service provider exercises control over all or most aspects of the life of the person with disability,</w:t>
      </w:r>
      <w:r w:rsidR="0099410A">
        <w:rPr>
          <w:rStyle w:val="FootnoteReference"/>
          <w:lang w:eastAsia="en-US"/>
        </w:rPr>
        <w:footnoteReference w:id="15"/>
      </w:r>
      <w:r w:rsidR="00A82587">
        <w:rPr>
          <w:lang w:eastAsia="en-US"/>
        </w:rPr>
        <w:t xml:space="preserve"> this is not the reality</w:t>
      </w:r>
      <w:r w:rsidR="0099410A">
        <w:rPr>
          <w:lang w:eastAsia="en-US"/>
        </w:rPr>
        <w:t xml:space="preserve"> in the current NDIS market</w:t>
      </w:r>
      <w:r w:rsidR="00E51C92">
        <w:rPr>
          <w:lang w:eastAsia="en-US"/>
        </w:rPr>
        <w:t xml:space="preserve"> where NDIS service providers are free to provide in-home core supports as well as support coordination </w:t>
      </w:r>
      <w:r w:rsidR="00F26728">
        <w:rPr>
          <w:lang w:eastAsia="en-US"/>
        </w:rPr>
        <w:t xml:space="preserve">and accommodation </w:t>
      </w:r>
      <w:r w:rsidR="00E51C92">
        <w:rPr>
          <w:lang w:eastAsia="en-US"/>
        </w:rPr>
        <w:t>to the same individual participant</w:t>
      </w:r>
      <w:r w:rsidR="0099410A">
        <w:rPr>
          <w:lang w:eastAsia="en-US"/>
        </w:rPr>
        <w:t>.</w:t>
      </w:r>
      <w:r w:rsidR="00866C92">
        <w:rPr>
          <w:lang w:eastAsia="en-US"/>
        </w:rPr>
        <w:t xml:space="preserve"> </w:t>
      </w:r>
    </w:p>
    <w:p w14:paraId="4E8DE0A4" w14:textId="0476AE67" w:rsidR="004E1513" w:rsidRPr="004F1C4A" w:rsidRDefault="00CC7938" w:rsidP="00173357">
      <w:pPr>
        <w:rPr>
          <w:rFonts w:ascii="Calibri" w:hAnsi="Calibri" w:cs="Calibri"/>
        </w:rPr>
      </w:pPr>
      <w:r>
        <w:rPr>
          <w:lang w:eastAsia="en-US"/>
        </w:rPr>
        <w:t>In summary, p</w:t>
      </w:r>
      <w:r w:rsidR="007353D1">
        <w:t>eople with disability continue to suffer violence, abuse, and neglect in settings where they are physically removed from the wider community</w:t>
      </w:r>
      <w:r w:rsidR="007353D1" w:rsidRPr="007353D1">
        <w:t xml:space="preserve"> </w:t>
      </w:r>
      <w:r w:rsidR="007353D1">
        <w:t>and experience prejudice and discrimination because of negative attitudes fostered by policies of segregation.</w:t>
      </w:r>
      <w:r w:rsidR="00FB07B3">
        <w:t xml:space="preserve"> </w:t>
      </w:r>
      <w:r w:rsidR="00182EC5" w:rsidRPr="00DE7A58">
        <w:rPr>
          <w:lang w:eastAsia="en-US"/>
        </w:rPr>
        <w:t xml:space="preserve">People who are isolated </w:t>
      </w:r>
      <w:r w:rsidR="00BD058F">
        <w:rPr>
          <w:lang w:eastAsia="en-US"/>
        </w:rPr>
        <w:t xml:space="preserve">from the broader community </w:t>
      </w:r>
      <w:r w:rsidR="00182EC5" w:rsidRPr="00DE7A58">
        <w:rPr>
          <w:lang w:eastAsia="en-US"/>
        </w:rPr>
        <w:t>are subject to less protective oversight ‘from the gaze of citizens’ and are therefore more vulnerable to abuse.</w:t>
      </w:r>
      <w:r w:rsidR="00182EC5">
        <w:rPr>
          <w:rStyle w:val="FootnoteReference"/>
          <w:lang w:eastAsia="en-US"/>
        </w:rPr>
        <w:footnoteReference w:id="16"/>
      </w:r>
      <w:r w:rsidR="00182EC5" w:rsidRPr="00DE7A58">
        <w:rPr>
          <w:lang w:eastAsia="en-US"/>
        </w:rPr>
        <w:t xml:space="preserve"> </w:t>
      </w:r>
      <w:r w:rsidR="000F0924">
        <w:t xml:space="preserve">The </w:t>
      </w:r>
      <w:r w:rsidR="00655B02">
        <w:rPr>
          <w:lang w:eastAsia="en-US"/>
        </w:rPr>
        <w:t>belief</w:t>
      </w:r>
      <w:r w:rsidR="0048563B" w:rsidRPr="004E1513">
        <w:rPr>
          <w:lang w:eastAsia="en-US"/>
        </w:rPr>
        <w:t xml:space="preserve"> that people with disability belong in s</w:t>
      </w:r>
      <w:r w:rsidR="00655B02">
        <w:rPr>
          <w:lang w:eastAsia="en-US"/>
        </w:rPr>
        <w:t>egregated settings</w:t>
      </w:r>
      <w:r w:rsidR="00A70E79">
        <w:rPr>
          <w:lang w:eastAsia="en-US"/>
        </w:rPr>
        <w:t>,</w:t>
      </w:r>
      <w:r w:rsidR="00A70E79" w:rsidRPr="004E1513">
        <w:rPr>
          <w:lang w:eastAsia="en-US"/>
        </w:rPr>
        <w:t xml:space="preserve"> the </w:t>
      </w:r>
      <w:r w:rsidR="000159B3">
        <w:rPr>
          <w:lang w:eastAsia="en-US"/>
        </w:rPr>
        <w:t>‘</w:t>
      </w:r>
      <w:r w:rsidR="00A70E79" w:rsidRPr="004E1513">
        <w:rPr>
          <w:lang w:eastAsia="en-US"/>
        </w:rPr>
        <w:t>us and them</w:t>
      </w:r>
      <w:r w:rsidR="000159B3">
        <w:rPr>
          <w:lang w:eastAsia="en-US"/>
        </w:rPr>
        <w:t>’</w:t>
      </w:r>
      <w:r w:rsidR="00A70E79" w:rsidRPr="004E1513">
        <w:rPr>
          <w:lang w:eastAsia="en-US"/>
        </w:rPr>
        <w:t xml:space="preserve"> m</w:t>
      </w:r>
      <w:r w:rsidR="00A70E79">
        <w:rPr>
          <w:lang w:eastAsia="en-US"/>
        </w:rPr>
        <w:t>entality</w:t>
      </w:r>
      <w:r w:rsidR="007C2F50">
        <w:rPr>
          <w:lang w:eastAsia="en-US"/>
        </w:rPr>
        <w:t xml:space="preserve">, continues to </w:t>
      </w:r>
      <w:r w:rsidR="00C44AE0">
        <w:rPr>
          <w:lang w:eastAsia="en-US"/>
        </w:rPr>
        <w:t>drive policy making despite</w:t>
      </w:r>
      <w:r w:rsidR="0048563B" w:rsidRPr="004E1513">
        <w:rPr>
          <w:lang w:eastAsia="en-US"/>
        </w:rPr>
        <w:t xml:space="preserve"> it</w:t>
      </w:r>
      <w:r w:rsidR="003A1E3B">
        <w:rPr>
          <w:lang w:eastAsia="en-US"/>
        </w:rPr>
        <w:t>s</w:t>
      </w:r>
      <w:r w:rsidR="0048563B" w:rsidRPr="004E1513">
        <w:rPr>
          <w:lang w:eastAsia="en-US"/>
        </w:rPr>
        <w:t xml:space="preserve"> incongruen</w:t>
      </w:r>
      <w:r w:rsidR="003A1E3B">
        <w:rPr>
          <w:lang w:eastAsia="en-US"/>
        </w:rPr>
        <w:t>ce</w:t>
      </w:r>
      <w:r w:rsidR="0048563B" w:rsidRPr="004E1513">
        <w:rPr>
          <w:lang w:eastAsia="en-US"/>
        </w:rPr>
        <w:t xml:space="preserve"> with </w:t>
      </w:r>
      <w:r w:rsidR="0048563B">
        <w:rPr>
          <w:lang w:eastAsia="en-US"/>
        </w:rPr>
        <w:t>Australia’s obligations under the CRPD.</w:t>
      </w:r>
      <w:r w:rsidR="00DE7A58" w:rsidRPr="00DE7A58">
        <w:rPr>
          <w:lang w:eastAsia="en-US"/>
        </w:rPr>
        <w:t xml:space="preserve"> </w:t>
      </w:r>
      <w:r w:rsidR="00D644C2">
        <w:rPr>
          <w:lang w:eastAsia="en-US"/>
        </w:rPr>
        <w:t>These attitudes are</w:t>
      </w:r>
      <w:r w:rsidR="004F1C4A">
        <w:rPr>
          <w:rFonts w:ascii="Calibri" w:hAnsi="Calibri" w:cs="Calibri"/>
        </w:rPr>
        <w:t xml:space="preserve"> deeply ingrained and </w:t>
      </w:r>
      <w:r w:rsidR="00E875B5">
        <w:rPr>
          <w:rFonts w:ascii="Calibri" w:hAnsi="Calibri" w:cs="Calibri"/>
        </w:rPr>
        <w:t xml:space="preserve">will be </w:t>
      </w:r>
      <w:r w:rsidR="004F1C4A">
        <w:rPr>
          <w:rFonts w:ascii="Calibri" w:hAnsi="Calibri" w:cs="Calibri"/>
        </w:rPr>
        <w:t>difficult to challenge</w:t>
      </w:r>
      <w:r w:rsidR="006F5369">
        <w:rPr>
          <w:rFonts w:ascii="Calibri" w:hAnsi="Calibri" w:cs="Calibri"/>
        </w:rPr>
        <w:t>, req</w:t>
      </w:r>
      <w:r w:rsidR="004F1C4A">
        <w:rPr>
          <w:rFonts w:ascii="Calibri" w:hAnsi="Calibri" w:cs="Calibri"/>
        </w:rPr>
        <w:t>uir</w:t>
      </w:r>
      <w:r w:rsidR="006F5369">
        <w:rPr>
          <w:rFonts w:ascii="Calibri" w:hAnsi="Calibri" w:cs="Calibri"/>
        </w:rPr>
        <w:t>ing</w:t>
      </w:r>
      <w:r w:rsidR="004F1C4A">
        <w:rPr>
          <w:rFonts w:ascii="Calibri" w:hAnsi="Calibri" w:cs="Calibri"/>
        </w:rPr>
        <w:t xml:space="preserve"> a clear vision about what a good, ordinary life looks like for people with </w:t>
      </w:r>
      <w:r w:rsidR="00E875B5">
        <w:rPr>
          <w:rFonts w:ascii="Calibri" w:hAnsi="Calibri" w:cs="Calibri"/>
        </w:rPr>
        <w:t xml:space="preserve">a </w:t>
      </w:r>
      <w:r w:rsidR="004F1C4A">
        <w:rPr>
          <w:rFonts w:ascii="Calibri" w:hAnsi="Calibri" w:cs="Calibri"/>
        </w:rPr>
        <w:t xml:space="preserve">disability and an unwavering commitment to achieving it even in the face of </w:t>
      </w:r>
      <w:r w:rsidR="0099547E">
        <w:rPr>
          <w:rFonts w:ascii="Calibri" w:hAnsi="Calibri" w:cs="Calibri"/>
        </w:rPr>
        <w:t xml:space="preserve">strong </w:t>
      </w:r>
      <w:r w:rsidR="004F1C4A">
        <w:rPr>
          <w:rFonts w:ascii="Calibri" w:hAnsi="Calibri" w:cs="Calibri"/>
        </w:rPr>
        <w:t xml:space="preserve">opposition. </w:t>
      </w:r>
      <w:r w:rsidR="00FB07B3" w:rsidRPr="00FB07B3">
        <w:t xml:space="preserve">Australia will never be </w:t>
      </w:r>
      <w:r w:rsidR="00DF766D">
        <w:t xml:space="preserve">a </w:t>
      </w:r>
      <w:r w:rsidR="00FB07B3" w:rsidRPr="00FB07B3">
        <w:t xml:space="preserve">truly inclusive </w:t>
      </w:r>
      <w:r w:rsidR="00DF766D">
        <w:t>society while</w:t>
      </w:r>
      <w:r w:rsidR="00FB07B3" w:rsidRPr="00FB07B3">
        <w:t xml:space="preserve"> it continues to </w:t>
      </w:r>
      <w:r w:rsidR="00C45CE9">
        <w:t>segregate</w:t>
      </w:r>
      <w:r w:rsidR="00C45CE9" w:rsidRPr="00FB07B3">
        <w:t xml:space="preserve"> </w:t>
      </w:r>
      <w:r w:rsidR="00FB07B3" w:rsidRPr="00FB07B3">
        <w:t xml:space="preserve">people with disability </w:t>
      </w:r>
      <w:r w:rsidR="00C45CE9">
        <w:t xml:space="preserve">across </w:t>
      </w:r>
      <w:r w:rsidR="0009349D">
        <w:t xml:space="preserve">all aspects of their lives </w:t>
      </w:r>
      <w:r w:rsidR="00FB07B3" w:rsidRPr="00FB07B3">
        <w:t>from non-disabled members of the community</w:t>
      </w:r>
      <w:r w:rsidR="005F1295">
        <w:t xml:space="preserve">. </w:t>
      </w:r>
      <w:proofErr w:type="gramStart"/>
      <w:r w:rsidR="00131E5E">
        <w:t>As</w:t>
      </w:r>
      <w:r w:rsidR="00BA48FF">
        <w:t xml:space="preserve"> long as</w:t>
      </w:r>
      <w:proofErr w:type="gramEnd"/>
      <w:r w:rsidR="00BA48FF">
        <w:t xml:space="preserve"> </w:t>
      </w:r>
      <w:r w:rsidR="005E621E">
        <w:t xml:space="preserve">the </w:t>
      </w:r>
      <w:r w:rsidR="005F1295">
        <w:t>segregation</w:t>
      </w:r>
      <w:r w:rsidR="00BA48FF">
        <w:t xml:space="preserve"> </w:t>
      </w:r>
      <w:r w:rsidR="005E621E">
        <w:t>of people with disability</w:t>
      </w:r>
      <w:r w:rsidR="00BA48FF">
        <w:t xml:space="preserve"> continues to occur, so</w:t>
      </w:r>
      <w:r w:rsidR="005F1295">
        <w:t xml:space="preserve"> too</w:t>
      </w:r>
      <w:r w:rsidR="00BA48FF">
        <w:t xml:space="preserve"> will </w:t>
      </w:r>
      <w:r w:rsidR="00066BFB">
        <w:t xml:space="preserve">the incidence </w:t>
      </w:r>
      <w:r w:rsidR="00C86695">
        <w:t xml:space="preserve">of </w:t>
      </w:r>
      <w:r w:rsidR="004D6A77">
        <w:t xml:space="preserve">violence, </w:t>
      </w:r>
      <w:r w:rsidR="00C86695">
        <w:t xml:space="preserve">abuse, </w:t>
      </w:r>
      <w:r w:rsidR="004D6A77">
        <w:t>neglect,</w:t>
      </w:r>
      <w:r w:rsidR="00C86695">
        <w:t xml:space="preserve"> and exploitation.</w:t>
      </w:r>
    </w:p>
    <w:p w14:paraId="4E211706" w14:textId="310AB093" w:rsidR="007F4271" w:rsidRPr="006B1CE4" w:rsidRDefault="007F4271" w:rsidP="000A289D">
      <w:pPr>
        <w:pStyle w:val="Heading1"/>
        <w:spacing w:before="240"/>
        <w:rPr>
          <w:sz w:val="28"/>
          <w:szCs w:val="24"/>
        </w:rPr>
      </w:pPr>
      <w:r w:rsidRPr="006B1CE4">
        <w:rPr>
          <w:sz w:val="28"/>
          <w:szCs w:val="24"/>
        </w:rPr>
        <w:t>Recommendations</w:t>
      </w:r>
    </w:p>
    <w:p w14:paraId="2F2862EF" w14:textId="77777777" w:rsidR="005C64E4" w:rsidRDefault="007F4271" w:rsidP="005C64E4">
      <w:pPr>
        <w:rPr>
          <w:b/>
          <w:bCs/>
          <w:lang w:eastAsia="en-US"/>
        </w:rPr>
      </w:pPr>
      <w:r>
        <w:rPr>
          <w:b/>
          <w:bCs/>
          <w:lang w:eastAsia="en-US"/>
        </w:rPr>
        <w:t xml:space="preserve">1. </w:t>
      </w:r>
      <w:r w:rsidRPr="00FE4273">
        <w:rPr>
          <w:b/>
          <w:bCs/>
          <w:lang w:eastAsia="en-US"/>
        </w:rPr>
        <w:t>End the segregation of people with disability</w:t>
      </w:r>
    </w:p>
    <w:p w14:paraId="77E24D8A" w14:textId="590B6604" w:rsidR="0067583F" w:rsidRPr="0067583F" w:rsidRDefault="0067583F" w:rsidP="0067583F">
      <w:pPr>
        <w:pStyle w:val="ListParagraph"/>
        <w:numPr>
          <w:ilvl w:val="0"/>
          <w:numId w:val="41"/>
        </w:numPr>
        <w:tabs>
          <w:tab w:val="clear" w:pos="288"/>
          <w:tab w:val="left" w:pos="455"/>
        </w:tabs>
        <w:rPr>
          <w:b/>
          <w:bCs/>
          <w:lang w:eastAsia="en-US"/>
        </w:rPr>
      </w:pPr>
      <w:r w:rsidRPr="0067583F">
        <w:rPr>
          <w:b/>
          <w:bCs/>
          <w:lang w:eastAsia="en-US"/>
        </w:rPr>
        <w:t xml:space="preserve">Fully implement the </w:t>
      </w:r>
      <w:r w:rsidR="00F2431D">
        <w:rPr>
          <w:b/>
          <w:bCs/>
          <w:lang w:eastAsia="en-US"/>
        </w:rPr>
        <w:t>“</w:t>
      </w:r>
      <w:r w:rsidRPr="0067583F">
        <w:rPr>
          <w:b/>
          <w:bCs/>
          <w:lang w:eastAsia="en-US"/>
        </w:rPr>
        <w:t>Guidelines on deinstitutionalization, including in emergencies</w:t>
      </w:r>
      <w:r w:rsidR="00F2431D">
        <w:rPr>
          <w:b/>
          <w:bCs/>
          <w:lang w:eastAsia="en-US"/>
        </w:rPr>
        <w:t>”</w:t>
      </w:r>
      <w:r w:rsidRPr="0067583F">
        <w:rPr>
          <w:b/>
          <w:bCs/>
          <w:lang w:eastAsia="en-US"/>
        </w:rPr>
        <w:t xml:space="preserve"> from the Committee on the Rights of Persons with Disabilities.</w:t>
      </w:r>
      <w:r>
        <w:rPr>
          <w:rStyle w:val="FootnoteReference"/>
          <w:b/>
          <w:bCs/>
          <w:lang w:eastAsia="en-US"/>
        </w:rPr>
        <w:footnoteReference w:id="17"/>
      </w:r>
    </w:p>
    <w:p w14:paraId="6F75A10B" w14:textId="39132969" w:rsidR="005C64E4" w:rsidRPr="005C64E4" w:rsidRDefault="005C64E4" w:rsidP="005C64E4">
      <w:pPr>
        <w:pStyle w:val="ListParagraph"/>
        <w:numPr>
          <w:ilvl w:val="0"/>
          <w:numId w:val="41"/>
        </w:numPr>
        <w:rPr>
          <w:b/>
          <w:bCs/>
          <w:lang w:eastAsia="en-US"/>
        </w:rPr>
      </w:pPr>
      <w:r w:rsidRPr="005C64E4">
        <w:rPr>
          <w:b/>
          <w:bCs/>
          <w:lang w:eastAsia="en-US"/>
        </w:rPr>
        <w:t>Ensure a fully inclusive education system through implementation of the Australian Coalition for Inclusive Education (ACIE)’s Roadmap “Driving change: A roadmap for achieving inclusive education in Australia”</w:t>
      </w:r>
      <w:r w:rsidRPr="005C64E4">
        <w:rPr>
          <w:rStyle w:val="FootnoteReference"/>
          <w:b/>
          <w:bCs/>
          <w:lang w:eastAsia="en-US"/>
        </w:rPr>
        <w:footnoteReference w:id="18"/>
      </w:r>
      <w:r w:rsidRPr="005C64E4">
        <w:rPr>
          <w:b/>
          <w:bCs/>
          <w:lang w:eastAsia="en-US"/>
        </w:rPr>
        <w:t xml:space="preserve"> including the phasing out of segregated education.</w:t>
      </w:r>
    </w:p>
    <w:p w14:paraId="0EB00887" w14:textId="438065DC" w:rsidR="005C64E4" w:rsidRPr="005C64E4" w:rsidRDefault="005C64E4" w:rsidP="005C64E4">
      <w:pPr>
        <w:pStyle w:val="ListParagraph"/>
        <w:numPr>
          <w:ilvl w:val="0"/>
          <w:numId w:val="41"/>
        </w:numPr>
        <w:tabs>
          <w:tab w:val="clear" w:pos="288"/>
          <w:tab w:val="left" w:pos="455"/>
        </w:tabs>
        <w:rPr>
          <w:b/>
          <w:bCs/>
          <w:lang w:eastAsia="en-US"/>
        </w:rPr>
      </w:pPr>
      <w:r w:rsidRPr="005C64E4">
        <w:rPr>
          <w:b/>
          <w:bCs/>
          <w:lang w:eastAsia="en-US"/>
        </w:rPr>
        <w:t xml:space="preserve">Develop a plan to </w:t>
      </w:r>
      <w:r w:rsidRPr="008F7137">
        <w:rPr>
          <w:b/>
          <w:bCs/>
          <w:lang w:eastAsia="en-US"/>
        </w:rPr>
        <w:t xml:space="preserve">eradicate </w:t>
      </w:r>
      <w:r w:rsidRPr="005C64E4">
        <w:rPr>
          <w:b/>
          <w:bCs/>
          <w:lang w:eastAsia="en-US"/>
        </w:rPr>
        <w:t>Australian Disability Enterprises (ADEs) and productivity-based wage assessment tools, following broad stakeholder engagement that includes people with disability and their representative organisations.</w:t>
      </w:r>
    </w:p>
    <w:p w14:paraId="504175B6" w14:textId="77777777" w:rsidR="005C64E4" w:rsidRPr="005C64E4" w:rsidRDefault="005C64E4" w:rsidP="005C64E4">
      <w:pPr>
        <w:pStyle w:val="ListParagraph"/>
        <w:numPr>
          <w:ilvl w:val="0"/>
          <w:numId w:val="41"/>
        </w:numPr>
        <w:tabs>
          <w:tab w:val="clear" w:pos="288"/>
          <w:tab w:val="left" w:pos="455"/>
        </w:tabs>
        <w:rPr>
          <w:b/>
          <w:bCs/>
          <w:lang w:eastAsia="en-US"/>
        </w:rPr>
      </w:pPr>
      <w:r w:rsidRPr="005C64E4">
        <w:rPr>
          <w:b/>
          <w:bCs/>
          <w:lang w:eastAsia="en-US"/>
        </w:rPr>
        <w:t xml:space="preserve">Address discriminatory practices by employers that prevent people with disability accessing the workforce. For example, develop Disability Employment Standards as a form of subordinate legislation under the </w:t>
      </w:r>
      <w:r w:rsidRPr="005C64E4">
        <w:rPr>
          <w:b/>
          <w:bCs/>
          <w:i/>
          <w:iCs/>
          <w:lang w:eastAsia="en-US"/>
        </w:rPr>
        <w:t>Disability Discrimination Act 1992</w:t>
      </w:r>
      <w:r w:rsidRPr="005C64E4">
        <w:rPr>
          <w:b/>
          <w:bCs/>
          <w:lang w:eastAsia="en-US"/>
        </w:rPr>
        <w:t xml:space="preserve"> (Cth).</w:t>
      </w:r>
    </w:p>
    <w:p w14:paraId="7A4DA54C" w14:textId="77777777" w:rsidR="005C64E4" w:rsidRPr="005C64E4" w:rsidRDefault="005C64E4" w:rsidP="005C64E4">
      <w:pPr>
        <w:pStyle w:val="ListParagraph"/>
        <w:numPr>
          <w:ilvl w:val="0"/>
          <w:numId w:val="41"/>
        </w:numPr>
        <w:tabs>
          <w:tab w:val="clear" w:pos="288"/>
          <w:tab w:val="left" w:pos="455"/>
        </w:tabs>
        <w:rPr>
          <w:b/>
          <w:bCs/>
          <w:lang w:eastAsia="en-US"/>
        </w:rPr>
      </w:pPr>
      <w:r w:rsidRPr="005C64E4">
        <w:rPr>
          <w:b/>
          <w:bCs/>
          <w:lang w:eastAsia="en-US"/>
        </w:rPr>
        <w:t>Remove barriers that deny people with disability the right to live in a home of their own, in a location of their choice and with whom they wish to reside. For example, long waiting lists for public housing, unaffordable private rentals, and inaccessible buildings.</w:t>
      </w:r>
    </w:p>
    <w:p w14:paraId="0FCB612E" w14:textId="2AC8C694" w:rsidR="005C64E4" w:rsidRPr="005C64E4" w:rsidRDefault="005C64E4" w:rsidP="005C64E4">
      <w:pPr>
        <w:pStyle w:val="ListParagraph"/>
        <w:numPr>
          <w:ilvl w:val="0"/>
          <w:numId w:val="41"/>
        </w:numPr>
        <w:tabs>
          <w:tab w:val="clear" w:pos="288"/>
          <w:tab w:val="left" w:pos="455"/>
        </w:tabs>
        <w:rPr>
          <w:b/>
          <w:bCs/>
          <w:lang w:eastAsia="en-US"/>
        </w:rPr>
      </w:pPr>
      <w:r w:rsidRPr="005C64E4">
        <w:rPr>
          <w:b/>
          <w:bCs/>
          <w:lang w:eastAsia="en-US"/>
        </w:rPr>
        <w:t>Increase funding for, and access to, individualised living options that facilitate people with disability living where they want to live, with who</w:t>
      </w:r>
      <w:r w:rsidR="00BC764C">
        <w:rPr>
          <w:b/>
          <w:bCs/>
          <w:lang w:eastAsia="en-US"/>
        </w:rPr>
        <w:t>m they choose</w:t>
      </w:r>
      <w:r w:rsidRPr="005C64E4">
        <w:rPr>
          <w:b/>
          <w:bCs/>
          <w:lang w:eastAsia="en-US"/>
        </w:rPr>
        <w:t xml:space="preserve"> and with the support that they need to live independently in the community.</w:t>
      </w:r>
    </w:p>
    <w:p w14:paraId="108A0942" w14:textId="75DE0123" w:rsidR="004D6DF6" w:rsidRPr="009A7A9B" w:rsidRDefault="004D6DF6" w:rsidP="00242835">
      <w:pPr>
        <w:rPr>
          <w:b/>
          <w:bCs/>
          <w:lang w:eastAsia="en-US"/>
        </w:rPr>
      </w:pPr>
    </w:p>
    <w:p w14:paraId="1DA3C86F" w14:textId="777E7496" w:rsidR="008C19D8" w:rsidRPr="00E5774A" w:rsidRDefault="005D1C0C" w:rsidP="009912A9">
      <w:pPr>
        <w:pStyle w:val="Heading1"/>
        <w:spacing w:before="240"/>
      </w:pPr>
      <w:r>
        <w:t>2. Address prejudicial attitudes and a lack of understanding of the needs of people with disability</w:t>
      </w:r>
    </w:p>
    <w:p w14:paraId="34183408" w14:textId="293E6C19" w:rsidR="005F77BF" w:rsidRDefault="00114326" w:rsidP="00164CCC">
      <w:pPr>
        <w:pStyle w:val="NoSpacing"/>
        <w:spacing w:before="240" w:after="240"/>
      </w:pPr>
      <w:r w:rsidRPr="00F50B5B">
        <w:t xml:space="preserve">Research </w:t>
      </w:r>
      <w:r w:rsidR="00BE0673">
        <w:t>show</w:t>
      </w:r>
      <w:r w:rsidR="003C3FCE">
        <w:t>s</w:t>
      </w:r>
      <w:r w:rsidRPr="00F50B5B">
        <w:t xml:space="preserve"> that a lack of familiarity with people with disability</w:t>
      </w:r>
      <w:r w:rsidR="003C19DE">
        <w:t>, for example due to policies of segregation,</w:t>
      </w:r>
      <w:r w:rsidRPr="00F50B5B">
        <w:t xml:space="preserve"> </w:t>
      </w:r>
      <w:r w:rsidR="00705870">
        <w:t>results in</w:t>
      </w:r>
      <w:r w:rsidR="00705870" w:rsidRPr="00F50B5B">
        <w:t xml:space="preserve"> </w:t>
      </w:r>
      <w:r w:rsidRPr="00F50B5B">
        <w:t xml:space="preserve">prejudicial attitudes </w:t>
      </w:r>
      <w:r w:rsidR="00605CE2">
        <w:t>about</w:t>
      </w:r>
      <w:r w:rsidRPr="00F50B5B">
        <w:t xml:space="preserve"> the skills and abilities</w:t>
      </w:r>
      <w:r w:rsidR="00455595">
        <w:t xml:space="preserve"> of people with disability</w:t>
      </w:r>
      <w:r w:rsidRPr="00F50B5B">
        <w:t>.</w:t>
      </w:r>
      <w:r>
        <w:rPr>
          <w:rStyle w:val="FootnoteReference"/>
        </w:rPr>
        <w:footnoteReference w:id="19"/>
      </w:r>
      <w:r w:rsidR="000939F6">
        <w:t xml:space="preserve"> </w:t>
      </w:r>
      <w:r w:rsidR="00644293">
        <w:t>Prejudicial attitudes</w:t>
      </w:r>
      <w:r w:rsidR="000939F6">
        <w:t xml:space="preserve"> </w:t>
      </w:r>
      <w:r w:rsidR="00455595">
        <w:t xml:space="preserve">then </w:t>
      </w:r>
      <w:r w:rsidR="004A1F94">
        <w:t>influence</w:t>
      </w:r>
      <w:r w:rsidR="000939F6">
        <w:t xml:space="preserve"> h</w:t>
      </w:r>
      <w:r w:rsidR="00644293">
        <w:t>ow people with disability are treated</w:t>
      </w:r>
      <w:r w:rsidR="009A78EF">
        <w:t xml:space="preserve"> and </w:t>
      </w:r>
      <w:r w:rsidR="00D013C8">
        <w:t xml:space="preserve">can </w:t>
      </w:r>
      <w:r w:rsidR="00DD7153">
        <w:t xml:space="preserve">lead to the </w:t>
      </w:r>
      <w:r w:rsidR="00B553FB">
        <w:t xml:space="preserve">violence, abuse, </w:t>
      </w:r>
      <w:r w:rsidR="00D72FF0">
        <w:t>neglect,</w:t>
      </w:r>
      <w:r w:rsidR="00B553FB">
        <w:t xml:space="preserve"> and exploitation </w:t>
      </w:r>
      <w:r w:rsidR="00DD7153">
        <w:t>of people with disabilit</w:t>
      </w:r>
      <w:r w:rsidR="00DD7153" w:rsidRPr="00A32892">
        <w:t>y</w:t>
      </w:r>
      <w:r w:rsidR="00DD7153">
        <w:t>.</w:t>
      </w:r>
      <w:r w:rsidR="00A32892">
        <w:rPr>
          <w:rStyle w:val="FootnoteReference"/>
        </w:rPr>
        <w:footnoteReference w:id="20"/>
      </w:r>
      <w:r w:rsidR="00644293">
        <w:t xml:space="preserve"> </w:t>
      </w:r>
    </w:p>
    <w:p w14:paraId="5FEB4B95" w14:textId="33E11F6F" w:rsidR="00A84B0B" w:rsidRDefault="006766A4" w:rsidP="00164CCC">
      <w:pPr>
        <w:pStyle w:val="NoSpacing"/>
        <w:spacing w:after="240"/>
      </w:pPr>
      <w:r>
        <w:t xml:space="preserve">Social Role Valorisation (SRV) </w:t>
      </w:r>
      <w:r w:rsidR="00C760BA">
        <w:t>i</w:t>
      </w:r>
      <w:r w:rsidR="00B21921">
        <w:t>s a</w:t>
      </w:r>
      <w:r w:rsidR="003A3EA0">
        <w:t xml:space="preserve"> </w:t>
      </w:r>
      <w:r w:rsidR="00C513D6">
        <w:t xml:space="preserve">theoretical </w:t>
      </w:r>
      <w:r w:rsidR="003A3EA0">
        <w:t xml:space="preserve">framework that </w:t>
      </w:r>
      <w:r w:rsidR="000211AA">
        <w:t>provides an</w:t>
      </w:r>
      <w:r w:rsidR="00161897">
        <w:t xml:space="preserve"> </w:t>
      </w:r>
      <w:r w:rsidR="000211AA">
        <w:t>explanation for</w:t>
      </w:r>
      <w:r w:rsidR="000F284D">
        <w:t xml:space="preserve"> the </w:t>
      </w:r>
      <w:r w:rsidR="00561E7A">
        <w:t>origin</w:t>
      </w:r>
      <w:r w:rsidR="00123D81">
        <w:t>s</w:t>
      </w:r>
      <w:r w:rsidR="00D07AC6">
        <w:t xml:space="preserve"> and </w:t>
      </w:r>
      <w:r w:rsidR="000F284D">
        <w:t xml:space="preserve">consequences of </w:t>
      </w:r>
      <w:r w:rsidR="002661E3">
        <w:t xml:space="preserve">harmful </w:t>
      </w:r>
      <w:r w:rsidR="000F284D">
        <w:t xml:space="preserve">prejudicial attitudes. </w:t>
      </w:r>
      <w:r w:rsidR="00DD7153" w:rsidRPr="0093522D">
        <w:t xml:space="preserve">According to SRV, people with disability are denied access to a ‘good, ordinary life’ (a life full of richness and meaning) because they hold a devalued status. </w:t>
      </w:r>
      <w:r w:rsidR="000951C9">
        <w:t>That is</w:t>
      </w:r>
      <w:r w:rsidR="00DD7153" w:rsidRPr="0093522D">
        <w:t xml:space="preserve">, they have characteristics linked to their impairment that are not typically valued by the wider community, </w:t>
      </w:r>
      <w:r w:rsidR="00484B66">
        <w:t>for example they might</w:t>
      </w:r>
      <w:r w:rsidR="00DD7153" w:rsidRPr="0093522D">
        <w:t xml:space="preserve"> be dependent on others or look </w:t>
      </w:r>
      <w:proofErr w:type="gramStart"/>
      <w:r w:rsidR="00DD7153" w:rsidRPr="0093522D">
        <w:t>different, and</w:t>
      </w:r>
      <w:proofErr w:type="gramEnd"/>
      <w:r w:rsidR="00DD7153" w:rsidRPr="0093522D">
        <w:t xml:space="preserve"> are consequently perceived negatively. These negative perceptions influence how people with disability are treated, with stereotypes leading to their rejection and segregation from the wider community. These perceptions are then reinforced through language and imagery and by people with disability internalising the messages around them and adopting the roles they are given.</w:t>
      </w:r>
      <w:r w:rsidR="009D16AD">
        <w:rPr>
          <w:rStyle w:val="FootnoteReference"/>
        </w:rPr>
        <w:footnoteReference w:id="21"/>
      </w:r>
      <w:r w:rsidR="00DD7153" w:rsidRPr="0093522D">
        <w:t xml:space="preserve"> This can occur even within disability service settings, where people may be grouped together, branded, have reduced autonomy or </w:t>
      </w:r>
      <w:r w:rsidR="007158AB">
        <w:t xml:space="preserve">are </w:t>
      </w:r>
      <w:r w:rsidR="00DD7153" w:rsidRPr="0093522D">
        <w:t>forced to engage in activities that contribute to</w:t>
      </w:r>
      <w:r w:rsidR="007158AB">
        <w:t>,</w:t>
      </w:r>
      <w:r w:rsidR="00DD7153" w:rsidRPr="0093522D">
        <w:t xml:space="preserve"> rather than </w:t>
      </w:r>
      <w:r w:rsidR="007158AB">
        <w:t>counteract,</w:t>
      </w:r>
      <w:r w:rsidR="00DD7153" w:rsidRPr="0093522D">
        <w:t xml:space="preserve"> their devalued status.</w:t>
      </w:r>
      <w:r w:rsidR="0034356A">
        <w:rPr>
          <w:rStyle w:val="FootnoteReference"/>
        </w:rPr>
        <w:footnoteReference w:id="22"/>
      </w:r>
      <w:r w:rsidR="00DD7153" w:rsidRPr="0093522D">
        <w:t xml:space="preserve"> These harmful experiences, referred to as ‘wounds’, are more likely to occur to people with a devalued status and will have greater impact on people with a devalued status</w:t>
      </w:r>
      <w:r w:rsidR="004A7561">
        <w:t xml:space="preserve"> because of</w:t>
      </w:r>
      <w:r w:rsidR="00DD7153" w:rsidRPr="0093522D">
        <w:t xml:space="preserve"> their pre-existing vulnerability and likely absence of protective factors that </w:t>
      </w:r>
      <w:r w:rsidR="004A7561">
        <w:t xml:space="preserve">can </w:t>
      </w:r>
      <w:r w:rsidR="00DD7153" w:rsidRPr="0093522D">
        <w:t xml:space="preserve">mitigate against the impact of negative life experiences. </w:t>
      </w:r>
    </w:p>
    <w:p w14:paraId="52B23AB1" w14:textId="1E176A36" w:rsidR="00DD7153" w:rsidRDefault="00DD7153" w:rsidP="00164CCC">
      <w:pPr>
        <w:pStyle w:val="NoSpacing"/>
        <w:spacing w:after="240"/>
      </w:pPr>
      <w:r w:rsidRPr="0093522D">
        <w:t>SRV proposes that to support the acquisition of a ‘good, ordinary’ life for people with disability, and to change the negative perceptions that influence how they are treated, people with disability must be supported to acquire socially valued roles</w:t>
      </w:r>
      <w:r w:rsidR="00CF361C">
        <w:t>,</w:t>
      </w:r>
      <w:r w:rsidR="0043597C">
        <w:t xml:space="preserve"> such as employee, student, </w:t>
      </w:r>
      <w:r w:rsidR="00BA2660">
        <w:t xml:space="preserve">guitarist, </w:t>
      </w:r>
      <w:r w:rsidR="00C438E8">
        <w:t>soccer player</w:t>
      </w:r>
      <w:r w:rsidR="00993366">
        <w:t xml:space="preserve"> etc</w:t>
      </w:r>
      <w:r w:rsidR="00CF361C">
        <w:t xml:space="preserve">. They must also be supported to </w:t>
      </w:r>
      <w:r w:rsidR="00A62C51">
        <w:t>embody</w:t>
      </w:r>
      <w:r w:rsidR="0043597C">
        <w:t xml:space="preserve"> </w:t>
      </w:r>
      <w:r w:rsidRPr="0093522D">
        <w:t xml:space="preserve">the identity, expectations, </w:t>
      </w:r>
      <w:r w:rsidR="00141408" w:rsidRPr="0093522D">
        <w:t>status,</w:t>
      </w:r>
      <w:r w:rsidRPr="0093522D">
        <w:t xml:space="preserve"> and respect </w:t>
      </w:r>
      <w:r w:rsidR="00B534F8">
        <w:t>held by</w:t>
      </w:r>
      <w:r w:rsidRPr="0093522D">
        <w:t xml:space="preserve"> </w:t>
      </w:r>
      <w:r w:rsidR="00C765A3">
        <w:t xml:space="preserve">people with a valued status in </w:t>
      </w:r>
      <w:r w:rsidR="00F026C6">
        <w:t>those</w:t>
      </w:r>
      <w:r w:rsidRPr="0093522D">
        <w:t xml:space="preserve"> role</w:t>
      </w:r>
      <w:r w:rsidR="00F026C6">
        <w:t xml:space="preserve">s, </w:t>
      </w:r>
      <w:r w:rsidRPr="0093522D">
        <w:t>using ‘culturally valued means</w:t>
      </w:r>
      <w:r w:rsidR="00F026C6">
        <w:t>.</w:t>
      </w:r>
      <w:r w:rsidRPr="0093522D">
        <w:t>’ This is achieved by enhancing the competency and imagery of the person and through conscious adherence to certain ‘role communicators</w:t>
      </w:r>
      <w:r w:rsidR="00692629">
        <w:t>.</w:t>
      </w:r>
      <w:r w:rsidRPr="0093522D">
        <w:t>’</w:t>
      </w:r>
      <w:r w:rsidR="00692629">
        <w:rPr>
          <w:rStyle w:val="FootnoteReference"/>
        </w:rPr>
        <w:footnoteReference w:id="23"/>
      </w:r>
      <w:r w:rsidRPr="0093522D">
        <w:t xml:space="preserve"> </w:t>
      </w:r>
      <w:r w:rsidR="00955CFE">
        <w:t xml:space="preserve">For example, </w:t>
      </w:r>
      <w:r w:rsidR="007B1336">
        <w:t>if a person</w:t>
      </w:r>
      <w:r w:rsidR="00502F07">
        <w:t xml:space="preserve"> with disability</w:t>
      </w:r>
      <w:r w:rsidR="007B1336">
        <w:t xml:space="preserve"> wishes to learn the guitar, </w:t>
      </w:r>
      <w:r w:rsidR="00F712AB">
        <w:t>ensur</w:t>
      </w:r>
      <w:r w:rsidR="004A4C67">
        <w:t>e they learn from a guitar teacher</w:t>
      </w:r>
      <w:r w:rsidR="00502B7E">
        <w:t xml:space="preserve"> </w:t>
      </w:r>
      <w:r w:rsidR="00602DF3">
        <w:t xml:space="preserve">rather than a support worker. Or if a person </w:t>
      </w:r>
      <w:r w:rsidR="000A6230">
        <w:t xml:space="preserve">with disability </w:t>
      </w:r>
      <w:r w:rsidR="00796504">
        <w:t>wants</w:t>
      </w:r>
      <w:r w:rsidR="00660629">
        <w:t xml:space="preserve"> to be part of a </w:t>
      </w:r>
      <w:r w:rsidR="008510D3">
        <w:t>soccer team,</w:t>
      </w:r>
      <w:r w:rsidR="00660629">
        <w:t xml:space="preserve"> ensure they wear the relevant uniform</w:t>
      </w:r>
      <w:r w:rsidR="00F35608">
        <w:t>.</w:t>
      </w:r>
      <w:r w:rsidR="00932F0B">
        <w:t xml:space="preserve"> </w:t>
      </w:r>
      <w:r w:rsidRPr="0093522D">
        <w:t>This will then lead to greater societal participation</w:t>
      </w:r>
      <w:r w:rsidR="00B979DC">
        <w:t>,</w:t>
      </w:r>
      <w:r w:rsidRPr="0093522D">
        <w:t xml:space="preserve"> </w:t>
      </w:r>
      <w:r w:rsidR="004D6185">
        <w:t xml:space="preserve">the </w:t>
      </w:r>
      <w:r w:rsidRPr="0093522D">
        <w:t xml:space="preserve">acquisition of </w:t>
      </w:r>
      <w:r w:rsidR="00AA6CF8">
        <w:t>freely given and valued</w:t>
      </w:r>
      <w:r w:rsidRPr="0093522D">
        <w:t xml:space="preserve"> relationships</w:t>
      </w:r>
      <w:r w:rsidR="005C11F3">
        <w:t>,</w:t>
      </w:r>
      <w:r w:rsidRPr="0093522D">
        <w:t xml:space="preserve"> and</w:t>
      </w:r>
      <w:r w:rsidR="00B979DC">
        <w:t xml:space="preserve"> a sense of belonging that</w:t>
      </w:r>
      <w:r w:rsidRPr="0093522D">
        <w:t xml:space="preserve"> </w:t>
      </w:r>
      <w:r w:rsidR="00F14B55">
        <w:t>is more than just</w:t>
      </w:r>
      <w:r w:rsidR="00CB06F3">
        <w:t xml:space="preserve"> a</w:t>
      </w:r>
      <w:r w:rsidR="00F14B55">
        <w:t xml:space="preserve"> presen</w:t>
      </w:r>
      <w:r w:rsidR="001975E8">
        <w:t>ce</w:t>
      </w:r>
      <w:r w:rsidR="00F14B55">
        <w:t xml:space="preserve"> in the community</w:t>
      </w:r>
      <w:r w:rsidRPr="0093522D">
        <w:t>.</w:t>
      </w:r>
    </w:p>
    <w:p w14:paraId="67AD7589" w14:textId="0071E7E7" w:rsidR="009F32FF" w:rsidRDefault="009F32FF" w:rsidP="009F32FF">
      <w:pPr>
        <w:pStyle w:val="Heading2"/>
        <w:ind w:left="0"/>
      </w:pPr>
      <w:r>
        <w:t>In health settings</w:t>
      </w:r>
    </w:p>
    <w:p w14:paraId="570BF585" w14:textId="59E54C76" w:rsidR="009B113A" w:rsidRDefault="009764E1" w:rsidP="00164CCC">
      <w:pPr>
        <w:pStyle w:val="NoSpacing"/>
        <w:spacing w:after="240"/>
      </w:pPr>
      <w:r>
        <w:t>Prejudicial attitudes and a</w:t>
      </w:r>
      <w:r w:rsidR="00113233">
        <w:t xml:space="preserve"> lack of understanding of the needs of people with disability </w:t>
      </w:r>
      <w:r w:rsidR="008B31D7">
        <w:t>are</w:t>
      </w:r>
      <w:r w:rsidR="00B87AF5">
        <w:t xml:space="preserve"> apparent in almost every </w:t>
      </w:r>
      <w:r w:rsidR="002341CF">
        <w:t xml:space="preserve">sector </w:t>
      </w:r>
      <w:r w:rsidR="00B87AF5">
        <w:t xml:space="preserve">of society. </w:t>
      </w:r>
      <w:r w:rsidR="00BF153C">
        <w:t xml:space="preserve">In the health </w:t>
      </w:r>
      <w:r w:rsidR="002341CF">
        <w:t>sector</w:t>
      </w:r>
      <w:r w:rsidR="00BF153C">
        <w:t>,</w:t>
      </w:r>
      <w:r w:rsidR="00B87AF5">
        <w:t xml:space="preserve"> many healthcare professionals</w:t>
      </w:r>
      <w:r w:rsidR="00001243">
        <w:t xml:space="preserve"> continue to </w:t>
      </w:r>
      <w:r w:rsidR="00446814">
        <w:t>hold paternalistic and degrading attitudes toward</w:t>
      </w:r>
      <w:r w:rsidR="00467BF5">
        <w:t xml:space="preserve">s people with disability, </w:t>
      </w:r>
      <w:r w:rsidR="00001243">
        <w:t>view</w:t>
      </w:r>
      <w:r w:rsidR="00467BF5">
        <w:t>ing them</w:t>
      </w:r>
      <w:r w:rsidR="00001243">
        <w:t xml:space="preserve"> as deviating from ‘bodily, cognitive and mental norms that require care, treatment and protection’.</w:t>
      </w:r>
      <w:r w:rsidR="004B3765">
        <w:rPr>
          <w:rStyle w:val="FootnoteReference"/>
        </w:rPr>
        <w:footnoteReference w:id="24"/>
      </w:r>
      <w:r w:rsidR="00001243">
        <w:t xml:space="preserve"> Whilst optimising health and wellbeing is important, practices that problematise ‘differences’ that need to be ‘cured’ remain prevalent and </w:t>
      </w:r>
      <w:r w:rsidR="00623A0C">
        <w:t xml:space="preserve">are </w:t>
      </w:r>
      <w:r w:rsidR="00CB6A92">
        <w:t>especially</w:t>
      </w:r>
      <w:r w:rsidR="00623A0C">
        <w:t xml:space="preserve"> harmful</w:t>
      </w:r>
      <w:r w:rsidR="00875C6F">
        <w:t xml:space="preserve"> </w:t>
      </w:r>
      <w:r w:rsidR="00E056AD">
        <w:t>in situations where the person is not</w:t>
      </w:r>
      <w:r w:rsidR="00001243">
        <w:t xml:space="preserve"> included in </w:t>
      </w:r>
      <w:r w:rsidR="003F0BAB">
        <w:t xml:space="preserve">their healthcare </w:t>
      </w:r>
      <w:r w:rsidR="00001243">
        <w:t xml:space="preserve">decision-making. For example, forced sterilisation </w:t>
      </w:r>
      <w:r w:rsidR="00A32699">
        <w:t xml:space="preserve">and </w:t>
      </w:r>
      <w:r w:rsidR="00001243">
        <w:t xml:space="preserve">the use of chemical restraint </w:t>
      </w:r>
      <w:r w:rsidR="00AC2BC3">
        <w:t>occur</w:t>
      </w:r>
      <w:r w:rsidR="00001243">
        <w:t xml:space="preserve"> without informed consent </w:t>
      </w:r>
      <w:r w:rsidR="00C56081">
        <w:t xml:space="preserve">and </w:t>
      </w:r>
      <w:r w:rsidR="00CA537A">
        <w:t>can be</w:t>
      </w:r>
      <w:r w:rsidR="00C56081">
        <w:t xml:space="preserve"> experienced as violence by the person with </w:t>
      </w:r>
      <w:r w:rsidR="00C56081" w:rsidRPr="00CA537A">
        <w:t>disability</w:t>
      </w:r>
      <w:r w:rsidR="00E64567">
        <w:t xml:space="preserve">. There is also a lack of knowledge and understanding of disability </w:t>
      </w:r>
      <w:r w:rsidR="00BB4921">
        <w:t xml:space="preserve">and the </w:t>
      </w:r>
      <w:proofErr w:type="gramStart"/>
      <w:r w:rsidR="00BB4921">
        <w:t>particular health</w:t>
      </w:r>
      <w:proofErr w:type="gramEnd"/>
      <w:r w:rsidR="00BB4921">
        <w:t xml:space="preserve"> conditions that </w:t>
      </w:r>
      <w:r w:rsidR="00522263">
        <w:t>people with disability often experience</w:t>
      </w:r>
      <w:r w:rsidR="00602099">
        <w:t>,</w:t>
      </w:r>
      <w:r w:rsidR="003948D8">
        <w:t xml:space="preserve"> contribut</w:t>
      </w:r>
      <w:r w:rsidR="00CB461A">
        <w:t>ing</w:t>
      </w:r>
      <w:r w:rsidR="003948D8">
        <w:t xml:space="preserve"> to poor </w:t>
      </w:r>
      <w:r w:rsidR="00602099">
        <w:t xml:space="preserve">treatment and </w:t>
      </w:r>
      <w:r w:rsidR="003948D8">
        <w:t>health outcomes</w:t>
      </w:r>
      <w:r w:rsidR="00602099">
        <w:t>.</w:t>
      </w:r>
      <w:r w:rsidR="007E29F9">
        <w:t xml:space="preserve"> Disability awareness training</w:t>
      </w:r>
      <w:r w:rsidR="000F024E">
        <w:t xml:space="preserve"> </w:t>
      </w:r>
      <w:r w:rsidR="00542572">
        <w:t xml:space="preserve">that includes hearing stories from people with lived experience </w:t>
      </w:r>
      <w:r w:rsidR="000F024E">
        <w:t xml:space="preserve">is therefore </w:t>
      </w:r>
      <w:r w:rsidR="0085788A">
        <w:t xml:space="preserve">a vital part of the curriculum for all health </w:t>
      </w:r>
      <w:r w:rsidR="00154515">
        <w:t xml:space="preserve">professionals </w:t>
      </w:r>
      <w:r w:rsidR="00242955">
        <w:t>that must become mandatory.</w:t>
      </w:r>
    </w:p>
    <w:p w14:paraId="4D70C7AA" w14:textId="7013EC01" w:rsidR="009F32FF" w:rsidRDefault="00221C31" w:rsidP="00962CE4">
      <w:pPr>
        <w:pStyle w:val="Heading2"/>
        <w:spacing w:before="240"/>
        <w:ind w:left="0"/>
      </w:pPr>
      <w:r>
        <w:t>Using</w:t>
      </w:r>
      <w:r w:rsidR="009F32FF">
        <w:t xml:space="preserve"> Restrictive Practices </w:t>
      </w:r>
    </w:p>
    <w:p w14:paraId="6AC13261" w14:textId="0DEDAB0C" w:rsidR="00340C6E" w:rsidRDefault="00245E02" w:rsidP="00164CCC">
      <w:pPr>
        <w:pStyle w:val="NoSpacing"/>
        <w:spacing w:after="240"/>
      </w:pPr>
      <w:r>
        <w:t xml:space="preserve">The </w:t>
      </w:r>
      <w:r w:rsidR="00C83C3E">
        <w:t>use of Restrictive Practices</w:t>
      </w:r>
      <w:r w:rsidR="00E81856">
        <w:t xml:space="preserve"> </w:t>
      </w:r>
      <w:r w:rsidR="00A626D7">
        <w:t>is another area</w:t>
      </w:r>
      <w:r w:rsidR="00E81856">
        <w:t xml:space="preserve"> where prejudicial attitudes are pervasive,</w:t>
      </w:r>
      <w:r w:rsidR="00D652A8">
        <w:t xml:space="preserve"> and</w:t>
      </w:r>
      <w:r w:rsidR="00E81856">
        <w:t xml:space="preserve"> with devastating consequences</w:t>
      </w:r>
      <w:r w:rsidR="00A626D7">
        <w:t>.</w:t>
      </w:r>
      <w:r w:rsidR="00DE2ED5">
        <w:t xml:space="preserve"> </w:t>
      </w:r>
      <w:r w:rsidR="00E725CC">
        <w:t>Restrictive Practices are used as a form of behaviour control</w:t>
      </w:r>
      <w:r w:rsidR="00863A64">
        <w:t xml:space="preserve"> for</w:t>
      </w:r>
      <w:r w:rsidR="00E725CC">
        <w:t xml:space="preserve"> individuals exhibit</w:t>
      </w:r>
      <w:r w:rsidR="00863A64">
        <w:t>ing</w:t>
      </w:r>
      <w:r w:rsidR="00E725CC">
        <w:t xml:space="preserve"> ‘behaviours of concern’</w:t>
      </w:r>
      <w:r w:rsidR="00960E11">
        <w:t xml:space="preserve"> that allegedly pose a safety threat to themselves or others</w:t>
      </w:r>
      <w:r w:rsidR="00E725CC">
        <w:t xml:space="preserve">. </w:t>
      </w:r>
      <w:r w:rsidR="00EE75B5" w:rsidRPr="00EE75B5">
        <w:t>Despite assertions that Restrictive Practices are a necessary response t</w:t>
      </w:r>
      <w:r w:rsidR="00CF44AF">
        <w:t xml:space="preserve">o </w:t>
      </w:r>
      <w:r w:rsidR="00EE75B5" w:rsidRPr="00EE75B5">
        <w:t xml:space="preserve">avert imminent danger, it is QAI’s experience that </w:t>
      </w:r>
      <w:r w:rsidR="0013671C">
        <w:t xml:space="preserve">the use of </w:t>
      </w:r>
      <w:r w:rsidR="00EE75B5" w:rsidRPr="00EE75B5">
        <w:t xml:space="preserve">Restrictive Practices </w:t>
      </w:r>
      <w:r w:rsidR="001D28C3" w:rsidRPr="00EE75B5">
        <w:t>is</w:t>
      </w:r>
      <w:r w:rsidR="00EE75B5" w:rsidRPr="00EE75B5">
        <w:t xml:space="preserve"> often the result of a</w:t>
      </w:r>
      <w:r w:rsidR="00CF44AF">
        <w:t xml:space="preserve"> </w:t>
      </w:r>
      <w:r w:rsidR="00EE75B5" w:rsidRPr="00EE75B5">
        <w:t>myriad of factors, many of which do not stem from the individual concerned</w:t>
      </w:r>
      <w:r w:rsidR="008D6A30">
        <w:t>. For example,</w:t>
      </w:r>
      <w:r w:rsidR="00361669">
        <w:t xml:space="preserve"> the</w:t>
      </w:r>
      <w:r w:rsidR="008D6A30">
        <w:t xml:space="preserve"> </w:t>
      </w:r>
      <w:r w:rsidR="00EE75B5" w:rsidRPr="00EE75B5">
        <w:t xml:space="preserve">prejudicial attitudes </w:t>
      </w:r>
      <w:r w:rsidR="008D6A30">
        <w:t>of disability support workers</w:t>
      </w:r>
      <w:r w:rsidR="00A95454">
        <w:t xml:space="preserve"> towards people with disability</w:t>
      </w:r>
      <w:r w:rsidR="002110FE">
        <w:t>.</w:t>
      </w:r>
      <w:r w:rsidR="00382D9B">
        <w:rPr>
          <w:rStyle w:val="FootnoteReference"/>
        </w:rPr>
        <w:footnoteReference w:id="25"/>
      </w:r>
      <w:r w:rsidR="00EE75B5" w:rsidRPr="00EE75B5">
        <w:t xml:space="preserve"> </w:t>
      </w:r>
    </w:p>
    <w:p w14:paraId="079476B8" w14:textId="7D4984A6" w:rsidR="00E67203" w:rsidRDefault="00EE75B5" w:rsidP="00164CCC">
      <w:pPr>
        <w:pStyle w:val="NoSpacing"/>
        <w:spacing w:after="240"/>
      </w:pPr>
      <w:r w:rsidRPr="00EE75B5">
        <w:t>Many people with disability experience a lifetime of devaluation from birth, through</w:t>
      </w:r>
      <w:r w:rsidR="002D58B9">
        <w:t>out</w:t>
      </w:r>
      <w:r w:rsidR="00E22951">
        <w:t xml:space="preserve"> </w:t>
      </w:r>
      <w:r w:rsidRPr="00EE75B5">
        <w:t>their school years and beyond. The imprint left upon people by the multiple layers of</w:t>
      </w:r>
      <w:r w:rsidR="00E22951">
        <w:t xml:space="preserve"> </w:t>
      </w:r>
      <w:r w:rsidRPr="00EE75B5">
        <w:t xml:space="preserve">discrimination, exclusion and rejection is often a terrible burden of loneliness, </w:t>
      </w:r>
      <w:r w:rsidR="006152C2" w:rsidRPr="00EE75B5">
        <w:t>pain,</w:t>
      </w:r>
      <w:r w:rsidRPr="00EE75B5">
        <w:t xml:space="preserve"> or anger.</w:t>
      </w:r>
      <w:r w:rsidR="006152C2">
        <w:t xml:space="preserve"> </w:t>
      </w:r>
      <w:r w:rsidRPr="00EE75B5">
        <w:t>When any, and at times the only, interaction they have with another person is in the form of a</w:t>
      </w:r>
      <w:r w:rsidR="00E22951">
        <w:t xml:space="preserve"> </w:t>
      </w:r>
      <w:r w:rsidRPr="00EE75B5">
        <w:t xml:space="preserve">direction or instruction, a </w:t>
      </w:r>
      <w:r w:rsidR="00724F7F">
        <w:t>“</w:t>
      </w:r>
      <w:r w:rsidRPr="00EE75B5">
        <w:t>do this, don’t do that</w:t>
      </w:r>
      <w:r w:rsidR="00724F7F">
        <w:t>”</w:t>
      </w:r>
      <w:r w:rsidRPr="00EE75B5">
        <w:t xml:space="preserve"> chorus echoed throughout the years, it is not</w:t>
      </w:r>
      <w:r w:rsidR="00E22951">
        <w:t xml:space="preserve"> </w:t>
      </w:r>
      <w:r w:rsidRPr="00EE75B5">
        <w:t>unexpected, having regard to normal human behaviour, that some people will retreat into</w:t>
      </w:r>
      <w:r w:rsidR="009914AC">
        <w:t xml:space="preserve"> </w:t>
      </w:r>
      <w:r w:rsidRPr="00EE75B5">
        <w:t xml:space="preserve">themselves while others will attempt to exert some will and determination. </w:t>
      </w:r>
      <w:r w:rsidR="00EF0DBA">
        <w:t>Research has shown that even a person who uses verbal communication may rely upon the manifestation of unique</w:t>
      </w:r>
      <w:r w:rsidR="001650B8">
        <w:t>ly personal</w:t>
      </w:r>
      <w:r w:rsidR="00EF0DBA">
        <w:t xml:space="preserve"> behaviours as their reflex communication strategy when </w:t>
      </w:r>
      <w:r w:rsidR="005048C0">
        <w:t xml:space="preserve">experiencing </w:t>
      </w:r>
      <w:r w:rsidR="00EF0DBA">
        <w:t xml:space="preserve">duress, anger, </w:t>
      </w:r>
      <w:r w:rsidR="00B21C21">
        <w:t>fear,</w:t>
      </w:r>
      <w:r w:rsidR="00EF0DBA">
        <w:t xml:space="preserve"> or emotional upheav</w:t>
      </w:r>
      <w:r w:rsidR="00EF0DBA" w:rsidRPr="00371393">
        <w:t>al</w:t>
      </w:r>
      <w:r w:rsidR="00EF0DBA">
        <w:t>.</w:t>
      </w:r>
      <w:r w:rsidR="00371393">
        <w:rPr>
          <w:rStyle w:val="FootnoteReference"/>
        </w:rPr>
        <w:footnoteReference w:id="26"/>
      </w:r>
      <w:r w:rsidR="00EF0DBA">
        <w:t xml:space="preserve"> </w:t>
      </w:r>
      <w:r w:rsidRPr="00EE75B5">
        <w:t>The person, their</w:t>
      </w:r>
      <w:r w:rsidR="009914AC">
        <w:t xml:space="preserve"> </w:t>
      </w:r>
      <w:r w:rsidR="004C21EB" w:rsidRPr="00EE75B5">
        <w:t>behaviour,</w:t>
      </w:r>
      <w:r w:rsidRPr="00EE75B5">
        <w:t xml:space="preserve"> and the message they are trying to communicate is </w:t>
      </w:r>
      <w:r w:rsidR="00576169">
        <w:t xml:space="preserve">therefore </w:t>
      </w:r>
      <w:r w:rsidRPr="00EE75B5">
        <w:t>misunderstood</w:t>
      </w:r>
      <w:r w:rsidR="00576169">
        <w:t xml:space="preserve">, </w:t>
      </w:r>
      <w:r w:rsidR="0077471E">
        <w:t>judged,</w:t>
      </w:r>
      <w:r w:rsidRPr="00EE75B5">
        <w:t xml:space="preserve"> and lost in the</w:t>
      </w:r>
      <w:r w:rsidR="009914AC">
        <w:t xml:space="preserve"> </w:t>
      </w:r>
      <w:r w:rsidRPr="00EE75B5">
        <w:t>situation. Instead, they acquire a reputation as</w:t>
      </w:r>
      <w:r w:rsidR="009914AC">
        <w:t xml:space="preserve"> </w:t>
      </w:r>
      <w:r w:rsidR="00700312">
        <w:t>being</w:t>
      </w:r>
      <w:r w:rsidR="009914AC">
        <w:t xml:space="preserve"> </w:t>
      </w:r>
      <w:r w:rsidRPr="00EE75B5">
        <w:t xml:space="preserve">‘challenging’ </w:t>
      </w:r>
      <w:r w:rsidR="00EE14A9">
        <w:t xml:space="preserve">that </w:t>
      </w:r>
      <w:r w:rsidR="003A3987">
        <w:t>can be</w:t>
      </w:r>
      <w:r w:rsidR="00EE14A9">
        <w:t xml:space="preserve"> difficult to shed</w:t>
      </w:r>
      <w:r w:rsidRPr="00EE75B5">
        <w:t>. Those in positions of power seek to exert their dominance over the</w:t>
      </w:r>
      <w:r w:rsidR="009914AC">
        <w:t xml:space="preserve"> </w:t>
      </w:r>
      <w:r w:rsidR="00B3421D">
        <w:t>person</w:t>
      </w:r>
      <w:r w:rsidRPr="00EE75B5">
        <w:t xml:space="preserve"> by restricting their liberties, ironically often leading to self-fulfilling prophecies</w:t>
      </w:r>
      <w:r w:rsidR="009D4141">
        <w:t xml:space="preserve"> where</w:t>
      </w:r>
      <w:r w:rsidR="009914AC">
        <w:t xml:space="preserve"> </w:t>
      </w:r>
      <w:r w:rsidRPr="00EE75B5">
        <w:t xml:space="preserve">the suppression of the </w:t>
      </w:r>
      <w:r w:rsidR="009D4141">
        <w:t>person</w:t>
      </w:r>
      <w:r w:rsidRPr="00EE75B5">
        <w:t xml:space="preserve">’s rights has the effect of exacerbating their </w:t>
      </w:r>
      <w:r w:rsidRPr="00880A70">
        <w:t>disempowerment,</w:t>
      </w:r>
      <w:r w:rsidR="00EC3311" w:rsidRPr="00880A70">
        <w:t xml:space="preserve"> </w:t>
      </w:r>
      <w:r w:rsidRPr="00880A70">
        <w:t xml:space="preserve">inflaming the perceived behaviour of </w:t>
      </w:r>
      <w:r w:rsidR="0010230C" w:rsidRPr="00880A70">
        <w:t>concern,</w:t>
      </w:r>
      <w:r w:rsidRPr="00880A70">
        <w:t xml:space="preserve"> and thereby legitimising the ongoing use of the</w:t>
      </w:r>
      <w:r w:rsidR="00EC3311" w:rsidRPr="00880A70">
        <w:t xml:space="preserve"> </w:t>
      </w:r>
      <w:r w:rsidRPr="00880A70">
        <w:t>Restrictive Practice</w:t>
      </w:r>
      <w:r w:rsidRPr="00EE75B5">
        <w:t xml:space="preserve">. </w:t>
      </w:r>
    </w:p>
    <w:p w14:paraId="5BEBBE25" w14:textId="23A0A480" w:rsidR="000D7B38" w:rsidRDefault="00151B55" w:rsidP="00164CCC">
      <w:pPr>
        <w:pStyle w:val="NoSpacing"/>
        <w:spacing w:after="240"/>
      </w:pPr>
      <w:r>
        <w:t xml:space="preserve">Behaviour is a social construct. What </w:t>
      </w:r>
      <w:proofErr w:type="gramStart"/>
      <w:r w:rsidR="001A48FE">
        <w:t xml:space="preserve">is </w:t>
      </w:r>
      <w:r>
        <w:t>consider</w:t>
      </w:r>
      <w:r w:rsidR="001A48FE">
        <w:t>ed</w:t>
      </w:r>
      <w:r>
        <w:t xml:space="preserve"> to be</w:t>
      </w:r>
      <w:proofErr w:type="gramEnd"/>
      <w:r>
        <w:t xml:space="preserve"> challenging behaviour will differ from one person to the next and will depend upon their understanding of the </w:t>
      </w:r>
      <w:r w:rsidR="003A5A43">
        <w:t>o</w:t>
      </w:r>
      <w:r w:rsidR="00C671F2">
        <w:t xml:space="preserve">ther </w:t>
      </w:r>
      <w:r>
        <w:t xml:space="preserve">person and their support needs. </w:t>
      </w:r>
      <w:r w:rsidR="00303D44">
        <w:t>T</w:t>
      </w:r>
      <w:r w:rsidR="00255972">
        <w:t>he</w:t>
      </w:r>
      <w:r w:rsidR="00DC36A8">
        <w:t xml:space="preserve"> person behind the behaviour </w:t>
      </w:r>
      <w:r w:rsidR="001A517C">
        <w:t>must</w:t>
      </w:r>
      <w:r w:rsidR="002616A1">
        <w:t xml:space="preserve"> also</w:t>
      </w:r>
      <w:r w:rsidR="001A517C">
        <w:t xml:space="preserve"> be understood. To what </w:t>
      </w:r>
      <w:r w:rsidR="00DC36A8">
        <w:t xml:space="preserve">extent </w:t>
      </w:r>
      <w:r w:rsidR="001A517C">
        <w:t>are</w:t>
      </w:r>
      <w:r w:rsidR="00DC36A8">
        <w:t xml:space="preserve"> they being disempowered by their service provider</w:t>
      </w:r>
      <w:r w:rsidR="00E509F2">
        <w:t>?</w:t>
      </w:r>
      <w:r w:rsidR="00DC36A8">
        <w:t xml:space="preserve"> </w:t>
      </w:r>
      <w:r w:rsidR="00620E7B">
        <w:t xml:space="preserve">What is the relationship </w:t>
      </w:r>
      <w:r w:rsidR="00F9141D">
        <w:t xml:space="preserve">like? </w:t>
      </w:r>
      <w:r w:rsidR="0073165C">
        <w:t>Michael Kendrick’s work on exploring the ethics of ‘right relationships’ for people with disability identifies an ethical framework for interpersonal and impersonal relationships that can act as a safeguard</w:t>
      </w:r>
      <w:r w:rsidR="0073165C">
        <w:rPr>
          <w:rStyle w:val="FootnoteReference"/>
        </w:rPr>
        <w:footnoteReference w:id="27"/>
      </w:r>
      <w:r w:rsidR="0073165C">
        <w:t xml:space="preserve"> and can provide a blueprint for increasing community understanding of the needs of people with disability.</w:t>
      </w:r>
    </w:p>
    <w:p w14:paraId="292A1714" w14:textId="388D7447" w:rsidR="0084133A" w:rsidRDefault="0084133A" w:rsidP="000E25A5">
      <w:pPr>
        <w:pStyle w:val="NoSpacing"/>
        <w:spacing w:after="240"/>
      </w:pPr>
      <w:r>
        <w:t xml:space="preserve">When the approach is changed, </w:t>
      </w:r>
      <w:r w:rsidR="00682D6A">
        <w:t>through</w:t>
      </w:r>
      <w:r>
        <w:t xml:space="preserve"> empowerment and ensuring a person with disability is </w:t>
      </w:r>
      <w:r w:rsidRPr="009C1C70">
        <w:t xml:space="preserve">scaffolded by support from </w:t>
      </w:r>
      <w:r w:rsidR="001B511E">
        <w:t>ethical</w:t>
      </w:r>
      <w:r w:rsidR="003333E0">
        <w:t xml:space="preserve"> </w:t>
      </w:r>
      <w:r w:rsidR="005F5A51">
        <w:t xml:space="preserve">partnerships with service providers, </w:t>
      </w:r>
      <w:r w:rsidRPr="009C1C70">
        <w:t>the perspective on that person can change</w:t>
      </w:r>
      <w:r>
        <w:t xml:space="preserve"> </w:t>
      </w:r>
      <w:r w:rsidRPr="009C1C70">
        <w:t>from negative to positive. When</w:t>
      </w:r>
      <w:r>
        <w:t xml:space="preserve"> expectations are changed, our approaches, behaviours and responses also change. </w:t>
      </w:r>
      <w:r w:rsidR="00FD3499">
        <w:t>A</w:t>
      </w:r>
      <w:r w:rsidRPr="00CE7FBF">
        <w:t>ctions that ‘deplete the humanness of individuals with a disability’ increase the likelihood of violence</w:t>
      </w:r>
      <w:r w:rsidR="00FD3499">
        <w:t>,</w:t>
      </w:r>
      <w:r>
        <w:rPr>
          <w:rStyle w:val="FootnoteReference"/>
        </w:rPr>
        <w:footnoteReference w:id="28"/>
      </w:r>
      <w:r w:rsidR="00FD3499">
        <w:t xml:space="preserve"> whereas people</w:t>
      </w:r>
      <w:r>
        <w:t xml:space="preserve"> </w:t>
      </w:r>
      <w:r w:rsidR="00FD3499">
        <w:t>who are perceived positi</w:t>
      </w:r>
      <w:r w:rsidR="00FD3499" w:rsidRPr="00CE7FBF">
        <w:t xml:space="preserve">vely and treated equally are less likely to be vulnerable to </w:t>
      </w:r>
      <w:r w:rsidR="000E25A5">
        <w:t xml:space="preserve">abuse and </w:t>
      </w:r>
      <w:r w:rsidR="00FD3499" w:rsidRPr="00CE7FBF">
        <w:t>exploitation</w:t>
      </w:r>
      <w:r w:rsidR="000E25A5">
        <w:t>.</w:t>
      </w:r>
    </w:p>
    <w:p w14:paraId="377E9552" w14:textId="114D53A9" w:rsidR="00EC7156" w:rsidRDefault="00653F3D" w:rsidP="00EC7156">
      <w:pPr>
        <w:pStyle w:val="Heading2"/>
        <w:spacing w:before="240"/>
        <w:ind w:left="0"/>
      </w:pPr>
      <w:r>
        <w:t>Use</w:t>
      </w:r>
      <w:r w:rsidR="00EC7156">
        <w:t xml:space="preserve"> targeted measures</w:t>
      </w:r>
    </w:p>
    <w:p w14:paraId="0161CE7A" w14:textId="6A868776" w:rsidR="00200897" w:rsidRDefault="00200897" w:rsidP="007B3B69">
      <w:pPr>
        <w:pStyle w:val="NoSpacing"/>
        <w:spacing w:before="240"/>
      </w:pPr>
      <w:r>
        <w:t>Targeted measures designed to change</w:t>
      </w:r>
      <w:r w:rsidR="000E25A5">
        <w:t xml:space="preserve"> community</w:t>
      </w:r>
      <w:r>
        <w:t xml:space="preserve"> attitudes towards people with disability are required. Current measures that are successfully helping to shift attitudes </w:t>
      </w:r>
      <w:r w:rsidR="004365B1">
        <w:t>should</w:t>
      </w:r>
      <w:r>
        <w:t xml:space="preserve"> be built upon and expanded, such as the inclusive practices of the ABC who make concerted efforts to cover news items that relate to people with disability. Media outlets have a responsibility to be mindful of the messages they send through their use of imagery and news items. Sherwin argues that messages depicting people with disability in socially valued roles should be presented, along with imagery that promotes the capacity, competence, and contribution of people with disability in order to counter unhelpful stereotypes.</w:t>
      </w:r>
      <w:r w:rsidR="00A75850">
        <w:rPr>
          <w:rStyle w:val="FootnoteReference"/>
        </w:rPr>
        <w:footnoteReference w:id="29"/>
      </w:r>
      <w:r>
        <w:t xml:space="preserve"> To change the mindset of citizens, we must build ‘interpersonal identification and compassion’ between people with and without disability, and this will occur when people with disability acquire</w:t>
      </w:r>
      <w:r w:rsidR="002B4615">
        <w:t>,</w:t>
      </w:r>
      <w:r>
        <w:t xml:space="preserve"> and are seen in</w:t>
      </w:r>
      <w:r w:rsidR="002B4615">
        <w:t>,</w:t>
      </w:r>
      <w:r>
        <w:t xml:space="preserve"> socially valued roles.</w:t>
      </w:r>
      <w:r w:rsidR="00A75850">
        <w:rPr>
          <w:rStyle w:val="FootnoteReference"/>
        </w:rPr>
        <w:footnoteReference w:id="30"/>
      </w:r>
      <w:r>
        <w:t xml:space="preserve">  </w:t>
      </w:r>
    </w:p>
    <w:p w14:paraId="7317A024" w14:textId="79E1D008" w:rsidR="00295E32" w:rsidRDefault="00C83C3E" w:rsidP="00295E32">
      <w:pPr>
        <w:pStyle w:val="NoSpacing"/>
        <w:spacing w:before="240" w:after="240"/>
      </w:pPr>
      <w:r w:rsidRPr="00A633B7">
        <w:t xml:space="preserve">According to Fisher and Purcel, attitudinal change is </w:t>
      </w:r>
      <w:r w:rsidR="00A4466D">
        <w:t>needed</w:t>
      </w:r>
      <w:r w:rsidRPr="00A633B7">
        <w:t xml:space="preserve"> at the personal, organisational and government level, with success dependent upon various factors, including </w:t>
      </w:r>
      <w:bookmarkStart w:id="2" w:name="_Hlk121136105"/>
      <w:r w:rsidRPr="00A633B7">
        <w:t>multi-pronged and long-</w:t>
      </w:r>
      <w:bookmarkEnd w:id="2"/>
      <w:r w:rsidRPr="00A633B7">
        <w:t>term information and awareness campaigns, direct contact with people with disability, education and training and anti-discrimination legislation that is enforceable with appropriate sanctions for non-compliance.</w:t>
      </w:r>
      <w:r>
        <w:rPr>
          <w:rStyle w:val="FootnoteReference"/>
        </w:rPr>
        <w:footnoteReference w:id="31"/>
      </w:r>
      <w:r w:rsidRPr="00A633B7">
        <w:t xml:space="preserve"> Essentially, critical to changing attitudes is ensuring greater visibility of people with disability in our community and viewing disability as a</w:t>
      </w:r>
      <w:r w:rsidR="009556AA">
        <w:t>n</w:t>
      </w:r>
      <w:r w:rsidRPr="00A633B7">
        <w:t xml:space="preserve"> </w:t>
      </w:r>
      <w:r w:rsidR="009556AA">
        <w:t>ordinary</w:t>
      </w:r>
      <w:r w:rsidR="009556AA" w:rsidRPr="00A633B7">
        <w:t xml:space="preserve"> </w:t>
      </w:r>
      <w:r w:rsidRPr="00A633B7">
        <w:t xml:space="preserve">and </w:t>
      </w:r>
      <w:r w:rsidR="00DA7CD5">
        <w:t xml:space="preserve">indeed </w:t>
      </w:r>
      <w:r w:rsidRPr="00A633B7">
        <w:t>valuable part of humanity.</w:t>
      </w:r>
    </w:p>
    <w:p w14:paraId="1BE7EE30" w14:textId="5CE037C3" w:rsidR="00C83C3E" w:rsidRDefault="002900A8" w:rsidP="00C557F0">
      <w:pPr>
        <w:pStyle w:val="NoSpacing"/>
        <w:spacing w:before="240" w:after="240"/>
      </w:pPr>
      <w:r>
        <w:t>Further, g</w:t>
      </w:r>
      <w:r w:rsidR="00295E32">
        <w:t xml:space="preserve">overnments should consider the assumptions, values and beliefs underlying current policies. To what extent do they reflect a human rights framework? To what extent are they grounded in ableist attitudes </w:t>
      </w:r>
      <w:r w:rsidR="00516A51">
        <w:t>or</w:t>
      </w:r>
      <w:r w:rsidR="00295E32">
        <w:t xml:space="preserve"> archaic assumptions about the capabilities of people with disability that stem from the medical model? Do they start with a vision of people with disability holding socially valued roles and living a good, ordinary life? Governments must model the self-reflection required at all levels of the community if people with disability a</w:t>
      </w:r>
      <w:r w:rsidR="001F45FF">
        <w:t>re to be</w:t>
      </w:r>
      <w:r w:rsidR="00295E32">
        <w:t xml:space="preserve"> genuine</w:t>
      </w:r>
      <w:r w:rsidR="001F45FF">
        <w:t>ly</w:t>
      </w:r>
      <w:r w:rsidR="00295E32">
        <w:t xml:space="preserve"> inclu</w:t>
      </w:r>
      <w:r w:rsidR="001F45FF">
        <w:t>ded and prejudicial attitudes successfully addressed</w:t>
      </w:r>
      <w:r w:rsidR="00295E32">
        <w:t>.</w:t>
      </w:r>
    </w:p>
    <w:p w14:paraId="3D27644F" w14:textId="77777777" w:rsidR="00F57B07" w:rsidRPr="006B1CE4" w:rsidRDefault="00F57B07" w:rsidP="00F57B07">
      <w:pPr>
        <w:pStyle w:val="Heading1"/>
        <w:spacing w:before="240"/>
        <w:rPr>
          <w:sz w:val="28"/>
          <w:szCs w:val="24"/>
        </w:rPr>
      </w:pPr>
      <w:r w:rsidRPr="006B1CE4">
        <w:rPr>
          <w:sz w:val="28"/>
          <w:szCs w:val="24"/>
        </w:rPr>
        <w:t>Recommendations</w:t>
      </w:r>
    </w:p>
    <w:p w14:paraId="2B4005BD" w14:textId="34D1B567" w:rsidR="00F57B07" w:rsidRDefault="00F57B07" w:rsidP="00F57B07">
      <w:pPr>
        <w:rPr>
          <w:b/>
          <w:bCs/>
          <w:lang w:eastAsia="en-US"/>
        </w:rPr>
      </w:pPr>
      <w:r>
        <w:rPr>
          <w:b/>
          <w:bCs/>
          <w:lang w:eastAsia="en-US"/>
        </w:rPr>
        <w:t>2. Address prejudicial attitudes and a lack of understanding of the needs</w:t>
      </w:r>
      <w:r w:rsidRPr="00FE4273">
        <w:rPr>
          <w:b/>
          <w:bCs/>
          <w:lang w:eastAsia="en-US"/>
        </w:rPr>
        <w:t xml:space="preserve"> of people with disability</w:t>
      </w:r>
    </w:p>
    <w:p w14:paraId="37736DBD" w14:textId="77777777" w:rsidR="00BF2A1B" w:rsidRPr="00BF2A1B" w:rsidRDefault="00BF2A1B" w:rsidP="00195CE5">
      <w:pPr>
        <w:ind w:left="709" w:hanging="425"/>
        <w:contextualSpacing/>
        <w:rPr>
          <w:b/>
          <w:bCs/>
          <w:lang w:eastAsia="en-US"/>
        </w:rPr>
      </w:pPr>
      <w:r w:rsidRPr="00BF2A1B">
        <w:rPr>
          <w:b/>
          <w:bCs/>
          <w:lang w:eastAsia="en-US"/>
        </w:rPr>
        <w:t>a.</w:t>
      </w:r>
      <w:r w:rsidRPr="00BF2A1B">
        <w:rPr>
          <w:b/>
          <w:bCs/>
          <w:lang w:eastAsia="en-US"/>
        </w:rPr>
        <w:tab/>
        <w:t xml:space="preserve">Develop a national, multi-pronged public education campaign with the objective of achieving greater visibility of people with disability in the community and which addresses prejudice and a lack of understanding of the needs and aspirations of people with disability. </w:t>
      </w:r>
    </w:p>
    <w:p w14:paraId="6245BFCE" w14:textId="170B6FB4" w:rsidR="00BF2A1B" w:rsidRPr="00BF2A1B" w:rsidRDefault="00FC7EA7" w:rsidP="00195CE5">
      <w:pPr>
        <w:ind w:left="709" w:hanging="425"/>
        <w:contextualSpacing/>
        <w:rPr>
          <w:b/>
          <w:bCs/>
          <w:lang w:eastAsia="en-US"/>
        </w:rPr>
      </w:pPr>
      <w:r>
        <w:rPr>
          <w:b/>
          <w:bCs/>
          <w:lang w:eastAsia="en-US"/>
        </w:rPr>
        <w:tab/>
      </w:r>
      <w:r>
        <w:rPr>
          <w:b/>
          <w:bCs/>
          <w:lang w:eastAsia="en-US"/>
        </w:rPr>
        <w:tab/>
      </w:r>
      <w:r w:rsidR="00BF2A1B" w:rsidRPr="00BF2A1B">
        <w:rPr>
          <w:b/>
          <w:bCs/>
          <w:lang w:eastAsia="en-US"/>
        </w:rPr>
        <w:t>The campaign should aim to:</w:t>
      </w:r>
    </w:p>
    <w:p w14:paraId="194C4632" w14:textId="1E2DB8D1" w:rsidR="00C52034" w:rsidRPr="00C52034" w:rsidRDefault="00BF2A1B" w:rsidP="00195CE5">
      <w:pPr>
        <w:pStyle w:val="ListParagraph"/>
        <w:numPr>
          <w:ilvl w:val="1"/>
          <w:numId w:val="3"/>
        </w:numPr>
        <w:rPr>
          <w:b/>
          <w:bCs/>
          <w:lang w:eastAsia="en-US"/>
        </w:rPr>
      </w:pPr>
      <w:r w:rsidRPr="00C52034">
        <w:rPr>
          <w:b/>
          <w:bCs/>
          <w:lang w:eastAsia="en-US"/>
        </w:rPr>
        <w:t xml:space="preserve">Improve public awareness and understanding of disability and the needs and aspirations of people with disability to live ordinary lives in the community. </w:t>
      </w:r>
    </w:p>
    <w:p w14:paraId="1F04AEB0" w14:textId="7914429C" w:rsidR="00BF2A1B" w:rsidRPr="00C52034" w:rsidRDefault="00BF2A1B" w:rsidP="00195CE5">
      <w:pPr>
        <w:pStyle w:val="ListParagraph"/>
        <w:numPr>
          <w:ilvl w:val="1"/>
          <w:numId w:val="3"/>
        </w:numPr>
        <w:rPr>
          <w:b/>
          <w:bCs/>
          <w:lang w:eastAsia="en-US"/>
        </w:rPr>
      </w:pPr>
      <w:r w:rsidRPr="00C52034">
        <w:rPr>
          <w:b/>
          <w:bCs/>
          <w:lang w:eastAsia="en-US"/>
        </w:rPr>
        <w:t>Present positive portrayals of people with disability as productive and contributing members of the community.</w:t>
      </w:r>
    </w:p>
    <w:p w14:paraId="11AE47B1" w14:textId="262B3A4E" w:rsidR="00BF2A1B" w:rsidRPr="00BF2A1B" w:rsidRDefault="00FC7EA7" w:rsidP="00195CE5">
      <w:pPr>
        <w:ind w:left="709" w:hanging="425"/>
        <w:contextualSpacing/>
        <w:rPr>
          <w:b/>
          <w:bCs/>
          <w:lang w:eastAsia="en-US"/>
        </w:rPr>
      </w:pPr>
      <w:r>
        <w:rPr>
          <w:b/>
          <w:bCs/>
          <w:lang w:eastAsia="en-US"/>
        </w:rPr>
        <w:tab/>
      </w:r>
      <w:r>
        <w:rPr>
          <w:b/>
          <w:bCs/>
          <w:lang w:eastAsia="en-US"/>
        </w:rPr>
        <w:tab/>
      </w:r>
      <w:r w:rsidR="00BF2A1B" w:rsidRPr="00BF2A1B">
        <w:rPr>
          <w:b/>
          <w:bCs/>
          <w:lang w:eastAsia="en-US"/>
        </w:rPr>
        <w:t>The campaign should be supported by:</w:t>
      </w:r>
    </w:p>
    <w:p w14:paraId="1FD8138F" w14:textId="77777777" w:rsidR="00FC7EA7" w:rsidRDefault="00BF2A1B" w:rsidP="00195CE5">
      <w:pPr>
        <w:pStyle w:val="ListParagraph"/>
        <w:numPr>
          <w:ilvl w:val="1"/>
          <w:numId w:val="3"/>
        </w:numPr>
        <w:rPr>
          <w:b/>
          <w:bCs/>
          <w:lang w:eastAsia="en-US"/>
        </w:rPr>
      </w:pPr>
      <w:r w:rsidRPr="00BF2A1B">
        <w:rPr>
          <w:b/>
          <w:bCs/>
          <w:lang w:eastAsia="en-US"/>
        </w:rPr>
        <w:t>New national media and entertainment standards that require minimum levels of representation of people with disability in advertising and media content produced in Australia.</w:t>
      </w:r>
    </w:p>
    <w:p w14:paraId="68F48ABF" w14:textId="3A671687" w:rsidR="00BF2A1B" w:rsidRPr="00FC7EA7" w:rsidRDefault="00BF2A1B" w:rsidP="00195CE5">
      <w:pPr>
        <w:pStyle w:val="ListParagraph"/>
        <w:numPr>
          <w:ilvl w:val="1"/>
          <w:numId w:val="3"/>
        </w:numPr>
        <w:rPr>
          <w:b/>
          <w:bCs/>
          <w:lang w:eastAsia="en-US"/>
        </w:rPr>
      </w:pPr>
      <w:r w:rsidRPr="00FC7EA7">
        <w:rPr>
          <w:b/>
          <w:bCs/>
          <w:lang w:eastAsia="en-US"/>
        </w:rPr>
        <w:t xml:space="preserve">A government grants program that provides funding to media and entertainment projects that provide realistic and positive portrayals of people with disability living ordinary lives in the community. </w:t>
      </w:r>
    </w:p>
    <w:p w14:paraId="087BC14B" w14:textId="13F16A9F" w:rsidR="00BF2A1B" w:rsidRPr="00BF2A1B" w:rsidRDefault="00BF2A1B" w:rsidP="00195CE5">
      <w:pPr>
        <w:ind w:left="709" w:hanging="425"/>
        <w:contextualSpacing/>
        <w:rPr>
          <w:b/>
          <w:bCs/>
          <w:lang w:eastAsia="en-US"/>
        </w:rPr>
      </w:pPr>
      <w:r w:rsidRPr="00BF2A1B">
        <w:rPr>
          <w:b/>
          <w:bCs/>
          <w:lang w:eastAsia="en-US"/>
        </w:rPr>
        <w:t>b.</w:t>
      </w:r>
      <w:r w:rsidRPr="00BF2A1B">
        <w:rPr>
          <w:b/>
          <w:bCs/>
          <w:lang w:eastAsia="en-US"/>
        </w:rPr>
        <w:tab/>
        <w:t xml:space="preserve">Introduce mandatory requirements for disability awareness training across all educational settings and across all industries. </w:t>
      </w:r>
      <w:r w:rsidR="000E5B5C" w:rsidRPr="000E5B5C">
        <w:rPr>
          <w:b/>
          <w:bCs/>
          <w:lang w:eastAsia="en-US"/>
        </w:rPr>
        <w:t>This should include people with lived experience sharing their stories.</w:t>
      </w:r>
    </w:p>
    <w:p w14:paraId="0EB3100C" w14:textId="787DA2D5" w:rsidR="00BF2A1B" w:rsidRPr="00BF2A1B" w:rsidRDefault="00BF2A1B" w:rsidP="00195CE5">
      <w:pPr>
        <w:ind w:left="709" w:hanging="425"/>
        <w:contextualSpacing/>
        <w:rPr>
          <w:b/>
          <w:bCs/>
          <w:lang w:eastAsia="en-US"/>
        </w:rPr>
      </w:pPr>
      <w:r w:rsidRPr="00BF2A1B">
        <w:rPr>
          <w:b/>
          <w:bCs/>
          <w:lang w:eastAsia="en-US"/>
        </w:rPr>
        <w:t>c.</w:t>
      </w:r>
      <w:r w:rsidRPr="00BF2A1B">
        <w:rPr>
          <w:b/>
          <w:bCs/>
          <w:lang w:eastAsia="en-US"/>
        </w:rPr>
        <w:tab/>
        <w:t xml:space="preserve">Ensure evidence-based approaches inform the individual support of people with disability. For example, Michael Kendrick’s framework on ‘Right Relationships’ could be used to train, and audit the quality of, ethical partnering between people with disability and the </w:t>
      </w:r>
      <w:r w:rsidR="00CB1380">
        <w:rPr>
          <w:b/>
          <w:bCs/>
          <w:lang w:eastAsia="en-US"/>
        </w:rPr>
        <w:t xml:space="preserve">support </w:t>
      </w:r>
      <w:r w:rsidRPr="00BF2A1B">
        <w:rPr>
          <w:b/>
          <w:bCs/>
          <w:lang w:eastAsia="en-US"/>
        </w:rPr>
        <w:t>services they interact with.</w:t>
      </w:r>
    </w:p>
    <w:p w14:paraId="0DB6A57C" w14:textId="2E94C337" w:rsidR="00BF2A1B" w:rsidRPr="00FE4273" w:rsidRDefault="00BF2A1B" w:rsidP="00195CE5">
      <w:pPr>
        <w:ind w:left="709" w:hanging="425"/>
        <w:contextualSpacing/>
        <w:rPr>
          <w:b/>
          <w:bCs/>
          <w:lang w:eastAsia="en-US"/>
        </w:rPr>
      </w:pPr>
      <w:r w:rsidRPr="00BF2A1B">
        <w:rPr>
          <w:b/>
          <w:bCs/>
          <w:lang w:eastAsia="en-US"/>
        </w:rPr>
        <w:t>d.</w:t>
      </w:r>
      <w:r w:rsidRPr="00BF2A1B">
        <w:rPr>
          <w:b/>
          <w:bCs/>
          <w:lang w:eastAsia="en-US"/>
        </w:rPr>
        <w:tab/>
        <w:t xml:space="preserve">Require all levels of government </w:t>
      </w:r>
      <w:r w:rsidR="00CB1380">
        <w:rPr>
          <w:b/>
          <w:bCs/>
          <w:lang w:eastAsia="en-US"/>
        </w:rPr>
        <w:t xml:space="preserve">to </w:t>
      </w:r>
      <w:r w:rsidRPr="00BF2A1B">
        <w:rPr>
          <w:b/>
          <w:bCs/>
          <w:lang w:eastAsia="en-US"/>
        </w:rPr>
        <w:t xml:space="preserve">review their policies </w:t>
      </w:r>
      <w:r w:rsidR="00CB1380">
        <w:rPr>
          <w:b/>
          <w:bCs/>
          <w:lang w:eastAsia="en-US"/>
        </w:rPr>
        <w:t xml:space="preserve">and </w:t>
      </w:r>
      <w:r w:rsidRPr="00BF2A1B">
        <w:rPr>
          <w:b/>
          <w:bCs/>
          <w:lang w:eastAsia="en-US"/>
        </w:rPr>
        <w:t>consider the assumptions, values and beliefs underlying them</w:t>
      </w:r>
      <w:r w:rsidR="00CB1380">
        <w:rPr>
          <w:b/>
          <w:bCs/>
          <w:lang w:eastAsia="en-US"/>
        </w:rPr>
        <w:t>, including</w:t>
      </w:r>
      <w:r w:rsidRPr="00BF2A1B">
        <w:rPr>
          <w:b/>
          <w:bCs/>
          <w:lang w:eastAsia="en-US"/>
        </w:rPr>
        <w:t xml:space="preserve"> the extent to which they reflect ableist attitudes. Where necessary, re</w:t>
      </w:r>
      <w:r w:rsidR="00CB1380">
        <w:rPr>
          <w:b/>
          <w:bCs/>
          <w:lang w:eastAsia="en-US"/>
        </w:rPr>
        <w:t>form</w:t>
      </w:r>
      <w:r w:rsidRPr="00BF2A1B">
        <w:rPr>
          <w:b/>
          <w:bCs/>
          <w:lang w:eastAsia="en-US"/>
        </w:rPr>
        <w:t xml:space="preserve"> polic</w:t>
      </w:r>
      <w:r w:rsidR="00CB1380">
        <w:rPr>
          <w:b/>
          <w:bCs/>
          <w:lang w:eastAsia="en-US"/>
        </w:rPr>
        <w:t>ies following</w:t>
      </w:r>
      <w:r w:rsidRPr="00BF2A1B">
        <w:rPr>
          <w:b/>
          <w:bCs/>
          <w:lang w:eastAsia="en-US"/>
        </w:rPr>
        <w:t xml:space="preserve"> meaningful consultation with people with disability and their representative organisations</w:t>
      </w:r>
      <w:r w:rsidR="00783C17">
        <w:rPr>
          <w:b/>
          <w:bCs/>
          <w:lang w:eastAsia="en-US"/>
        </w:rPr>
        <w:t>,</w:t>
      </w:r>
      <w:r w:rsidRPr="00BF2A1B">
        <w:rPr>
          <w:b/>
          <w:bCs/>
          <w:lang w:eastAsia="en-US"/>
        </w:rPr>
        <w:t xml:space="preserve"> and within specified timeframes.</w:t>
      </w:r>
    </w:p>
    <w:p w14:paraId="5CB11CEE" w14:textId="77777777" w:rsidR="00A91326" w:rsidRPr="00C7246F" w:rsidRDefault="00A91326" w:rsidP="00A91326">
      <w:pPr>
        <w:pStyle w:val="ListParagraph"/>
        <w:tabs>
          <w:tab w:val="clear" w:pos="288"/>
          <w:tab w:val="left" w:pos="455"/>
        </w:tabs>
        <w:ind w:left="851"/>
        <w:rPr>
          <w:b/>
          <w:bCs/>
        </w:rPr>
      </w:pPr>
    </w:p>
    <w:p w14:paraId="7BABCB9A" w14:textId="0E15EB8F" w:rsidR="005D1C0C" w:rsidRDefault="009912A9" w:rsidP="009912A9">
      <w:pPr>
        <w:pStyle w:val="Heading1"/>
        <w:spacing w:before="240"/>
      </w:pPr>
      <w:r>
        <w:t>3. Involve people with disability in decision-making processes</w:t>
      </w:r>
    </w:p>
    <w:p w14:paraId="112EA4B8" w14:textId="020D0201" w:rsidR="00FA4BD7" w:rsidRDefault="00B54914" w:rsidP="00FA4BD7">
      <w:pPr>
        <w:spacing w:before="240"/>
        <w:rPr>
          <w:lang w:eastAsia="en-US"/>
        </w:rPr>
      </w:pPr>
      <w:r>
        <w:rPr>
          <w:lang w:eastAsia="en-US"/>
        </w:rPr>
        <w:t xml:space="preserve">The </w:t>
      </w:r>
      <w:r w:rsidR="0020776A">
        <w:rPr>
          <w:lang w:eastAsia="en-US"/>
        </w:rPr>
        <w:t>centrality</w:t>
      </w:r>
      <w:r w:rsidR="0063383E">
        <w:rPr>
          <w:lang w:eastAsia="en-US"/>
        </w:rPr>
        <w:t xml:space="preserve"> of</w:t>
      </w:r>
      <w:r w:rsidR="003E3711">
        <w:rPr>
          <w:lang w:eastAsia="en-US"/>
        </w:rPr>
        <w:t xml:space="preserve"> </w:t>
      </w:r>
      <w:r w:rsidR="002D6BFA">
        <w:rPr>
          <w:lang w:eastAsia="en-US"/>
        </w:rPr>
        <w:t xml:space="preserve">people with disability </w:t>
      </w:r>
      <w:r w:rsidR="0020776A">
        <w:rPr>
          <w:lang w:eastAsia="en-US"/>
        </w:rPr>
        <w:t>to</w:t>
      </w:r>
      <w:r w:rsidR="00BC6D3F">
        <w:rPr>
          <w:lang w:eastAsia="en-US"/>
        </w:rPr>
        <w:t xml:space="preserve"> all decision-making processes, b</w:t>
      </w:r>
      <w:r w:rsidR="00C966F0">
        <w:rPr>
          <w:lang w:eastAsia="en-US"/>
        </w:rPr>
        <w:t>e they</w:t>
      </w:r>
      <w:r w:rsidR="00BC6D3F">
        <w:rPr>
          <w:lang w:eastAsia="en-US"/>
        </w:rPr>
        <w:t xml:space="preserve"> at </w:t>
      </w:r>
      <w:r w:rsidR="004B00BF">
        <w:rPr>
          <w:lang w:eastAsia="en-US"/>
        </w:rPr>
        <w:t>the</w:t>
      </w:r>
      <w:r w:rsidR="00BC6D3F">
        <w:rPr>
          <w:lang w:eastAsia="en-US"/>
        </w:rPr>
        <w:t xml:space="preserve"> in</w:t>
      </w:r>
      <w:r w:rsidR="00E92F77">
        <w:rPr>
          <w:lang w:eastAsia="en-US"/>
        </w:rPr>
        <w:t xml:space="preserve">dividual </w:t>
      </w:r>
      <w:r w:rsidR="00C966F0">
        <w:rPr>
          <w:lang w:eastAsia="en-US"/>
        </w:rPr>
        <w:t>or</w:t>
      </w:r>
      <w:r w:rsidR="00E92F77">
        <w:rPr>
          <w:lang w:eastAsia="en-US"/>
        </w:rPr>
        <w:t xml:space="preserve"> policy level</w:t>
      </w:r>
      <w:r w:rsidR="00C966F0">
        <w:rPr>
          <w:lang w:eastAsia="en-US"/>
        </w:rPr>
        <w:t xml:space="preserve">, </w:t>
      </w:r>
      <w:r w:rsidR="00EB1B31">
        <w:rPr>
          <w:lang w:eastAsia="en-US"/>
        </w:rPr>
        <w:t xml:space="preserve">must </w:t>
      </w:r>
      <w:r w:rsidR="00441D74">
        <w:rPr>
          <w:lang w:eastAsia="en-US"/>
        </w:rPr>
        <w:t xml:space="preserve">be the </w:t>
      </w:r>
      <w:r w:rsidR="00707360">
        <w:rPr>
          <w:lang w:eastAsia="en-US"/>
        </w:rPr>
        <w:t>basis</w:t>
      </w:r>
      <w:r w:rsidR="00441D74">
        <w:rPr>
          <w:lang w:eastAsia="en-US"/>
        </w:rPr>
        <w:t xml:space="preserve"> of all </w:t>
      </w:r>
      <w:r w:rsidR="00707360">
        <w:rPr>
          <w:lang w:eastAsia="en-US"/>
        </w:rPr>
        <w:t>future</w:t>
      </w:r>
      <w:r w:rsidR="00E52264">
        <w:rPr>
          <w:lang w:eastAsia="en-US"/>
        </w:rPr>
        <w:t xml:space="preserve"> reforms and actions </w:t>
      </w:r>
      <w:r w:rsidR="00444B25">
        <w:rPr>
          <w:lang w:eastAsia="en-US"/>
        </w:rPr>
        <w:t>that impact</w:t>
      </w:r>
      <w:r w:rsidR="00E52264">
        <w:rPr>
          <w:lang w:eastAsia="en-US"/>
        </w:rPr>
        <w:t xml:space="preserve"> the lives of people with disability. </w:t>
      </w:r>
      <w:r w:rsidR="0015185F">
        <w:rPr>
          <w:lang w:eastAsia="en-US"/>
        </w:rPr>
        <w:t xml:space="preserve">For too long, people with disability </w:t>
      </w:r>
      <w:r w:rsidR="00BE3F22">
        <w:rPr>
          <w:lang w:eastAsia="en-US"/>
        </w:rPr>
        <w:t>have had their legal capacity denied</w:t>
      </w:r>
      <w:r w:rsidR="00E468B8">
        <w:rPr>
          <w:lang w:eastAsia="en-US"/>
        </w:rPr>
        <w:t xml:space="preserve"> on account of arbitrary conclusions drawn from the presence of impairment and</w:t>
      </w:r>
      <w:r w:rsidR="00E66A42">
        <w:rPr>
          <w:lang w:eastAsia="en-US"/>
        </w:rPr>
        <w:t xml:space="preserve"> because of</w:t>
      </w:r>
      <w:r w:rsidR="00BE70BB">
        <w:rPr>
          <w:lang w:eastAsia="en-US"/>
        </w:rPr>
        <w:t xml:space="preserve"> paternalistic attitudes that</w:t>
      </w:r>
      <w:r w:rsidR="00173006">
        <w:rPr>
          <w:lang w:eastAsia="en-US"/>
        </w:rPr>
        <w:t xml:space="preserve"> pathologize disability. A ‘best interests’ mantra has </w:t>
      </w:r>
      <w:r w:rsidR="00A85F3C">
        <w:rPr>
          <w:lang w:eastAsia="en-US"/>
        </w:rPr>
        <w:t>dominated the sector</w:t>
      </w:r>
      <w:r w:rsidR="00394CDE">
        <w:rPr>
          <w:lang w:eastAsia="en-US"/>
        </w:rPr>
        <w:t xml:space="preserve"> and</w:t>
      </w:r>
      <w:r w:rsidR="00616022">
        <w:rPr>
          <w:lang w:eastAsia="en-US"/>
        </w:rPr>
        <w:t xml:space="preserve"> </w:t>
      </w:r>
      <w:r w:rsidR="00394CDE">
        <w:rPr>
          <w:lang w:eastAsia="en-US"/>
        </w:rPr>
        <w:t xml:space="preserve">the practices of those working within it for years. </w:t>
      </w:r>
      <w:r w:rsidR="003E3BFB">
        <w:rPr>
          <w:lang w:eastAsia="en-US"/>
        </w:rPr>
        <w:t xml:space="preserve">At </w:t>
      </w:r>
      <w:r w:rsidR="00C30173">
        <w:rPr>
          <w:lang w:eastAsia="en-US"/>
        </w:rPr>
        <w:t>the</w:t>
      </w:r>
      <w:r w:rsidR="003E3BFB">
        <w:rPr>
          <w:lang w:eastAsia="en-US"/>
        </w:rPr>
        <w:t xml:space="preserve"> policy level, people with disability have been excluded from </w:t>
      </w:r>
      <w:r w:rsidR="00C30173">
        <w:rPr>
          <w:lang w:eastAsia="en-US"/>
        </w:rPr>
        <w:t>decision-making</w:t>
      </w:r>
      <w:r w:rsidR="00B148AB">
        <w:rPr>
          <w:lang w:eastAsia="en-US"/>
        </w:rPr>
        <w:t xml:space="preserve"> processes and denied opportunit</w:t>
      </w:r>
      <w:r w:rsidR="001E12AC">
        <w:rPr>
          <w:lang w:eastAsia="en-US"/>
        </w:rPr>
        <w:t>ies</w:t>
      </w:r>
      <w:r w:rsidR="00B148AB">
        <w:rPr>
          <w:lang w:eastAsia="en-US"/>
        </w:rPr>
        <w:t xml:space="preserve"> to hold positions of influence</w:t>
      </w:r>
      <w:r w:rsidR="00D22282">
        <w:rPr>
          <w:lang w:eastAsia="en-US"/>
        </w:rPr>
        <w:t xml:space="preserve">. As a result, the </w:t>
      </w:r>
      <w:r w:rsidR="00BA4ABB">
        <w:rPr>
          <w:lang w:eastAsia="en-US"/>
        </w:rPr>
        <w:t>views and</w:t>
      </w:r>
      <w:r w:rsidR="00D22282">
        <w:rPr>
          <w:lang w:eastAsia="en-US"/>
        </w:rPr>
        <w:t xml:space="preserve"> needs of people with disability have consistently been overlooked and</w:t>
      </w:r>
      <w:r w:rsidR="008A5AEC">
        <w:rPr>
          <w:lang w:eastAsia="en-US"/>
        </w:rPr>
        <w:t xml:space="preserve"> their human rights violated.</w:t>
      </w:r>
      <w:r w:rsidR="008670A3">
        <w:rPr>
          <w:lang w:eastAsia="en-US"/>
        </w:rPr>
        <w:t xml:space="preserve"> </w:t>
      </w:r>
    </w:p>
    <w:p w14:paraId="3D555C01" w14:textId="22C1B366" w:rsidR="00FA4BD7" w:rsidRDefault="00EC7156" w:rsidP="0090511F">
      <w:pPr>
        <w:pStyle w:val="Heading2"/>
        <w:spacing w:before="240"/>
        <w:ind w:left="0"/>
        <w:rPr>
          <w:lang w:eastAsia="en-US"/>
        </w:rPr>
      </w:pPr>
      <w:r>
        <w:rPr>
          <w:lang w:eastAsia="en-US"/>
        </w:rPr>
        <w:t>At the i</w:t>
      </w:r>
      <w:r w:rsidR="00FA4BD7">
        <w:rPr>
          <w:lang w:eastAsia="en-US"/>
        </w:rPr>
        <w:t>ndividual level</w:t>
      </w:r>
    </w:p>
    <w:p w14:paraId="694D5649" w14:textId="0CF919E6" w:rsidR="00FA4BD7" w:rsidRDefault="00FA4BD7" w:rsidP="00FA4BD7">
      <w:pPr>
        <w:spacing w:before="240"/>
        <w:rPr>
          <w:lang w:eastAsia="en-US"/>
        </w:rPr>
      </w:pPr>
      <w:r>
        <w:rPr>
          <w:lang w:eastAsia="en-US"/>
        </w:rPr>
        <w:t xml:space="preserve">Article 12 of the CRPD requires Australia to provide </w:t>
      </w:r>
      <w:r w:rsidRPr="007F3DFA">
        <w:rPr>
          <w:lang w:eastAsia="en-US"/>
        </w:rPr>
        <w:t>access for persons with disabilities to the support they may require in exercising their legal capacity, to ensure that the rights, will and preferences of persons with disabilities are enjoyed on an equal basis with others</w:t>
      </w:r>
      <w:r>
        <w:rPr>
          <w:lang w:eastAsia="en-US"/>
        </w:rPr>
        <w:t>.</w:t>
      </w:r>
      <w:r>
        <w:rPr>
          <w:rStyle w:val="FootnoteReference"/>
          <w:lang w:eastAsia="en-US"/>
        </w:rPr>
        <w:footnoteReference w:id="32"/>
      </w:r>
      <w:r>
        <w:rPr>
          <w:lang w:eastAsia="en-US"/>
        </w:rPr>
        <w:t xml:space="preserve"> In other words, by</w:t>
      </w:r>
      <w:r w:rsidRPr="00760961">
        <w:rPr>
          <w:lang w:eastAsia="en-US"/>
        </w:rPr>
        <w:t xml:space="preserve"> signing and ratifying the CRPD, the Australian government committed to a supported decision-making approach</w:t>
      </w:r>
      <w:r>
        <w:rPr>
          <w:lang w:eastAsia="en-US"/>
        </w:rPr>
        <w:t xml:space="preserve"> for all people with disability, in which a person is supported to exercise their autonomy and maintain their legal capacity through </w:t>
      </w:r>
      <w:r w:rsidR="00317863">
        <w:rPr>
          <w:lang w:eastAsia="en-US"/>
        </w:rPr>
        <w:t xml:space="preserve">supported </w:t>
      </w:r>
      <w:r>
        <w:rPr>
          <w:lang w:eastAsia="en-US"/>
        </w:rPr>
        <w:t xml:space="preserve">decision-making. </w:t>
      </w:r>
    </w:p>
    <w:p w14:paraId="3DCC8DEF" w14:textId="1D6B7259" w:rsidR="00183F04" w:rsidRDefault="00FA4BD7" w:rsidP="00FA4BD7">
      <w:pPr>
        <w:pStyle w:val="NoSpacing"/>
        <w:rPr>
          <w:rFonts w:cstheme="minorBidi"/>
        </w:rPr>
      </w:pPr>
      <w:r>
        <w:rPr>
          <w:lang w:eastAsia="en-US"/>
        </w:rPr>
        <w:t xml:space="preserve">However, </w:t>
      </w:r>
      <w:r w:rsidR="00666328">
        <w:rPr>
          <w:lang w:eastAsia="en-US"/>
        </w:rPr>
        <w:t xml:space="preserve">supported decision-making </w:t>
      </w:r>
      <w:r w:rsidR="00F941C7">
        <w:rPr>
          <w:lang w:eastAsia="en-US"/>
        </w:rPr>
        <w:t xml:space="preserve">is yet to be fully implemented and </w:t>
      </w:r>
      <w:r>
        <w:rPr>
          <w:lang w:eastAsia="en-US"/>
        </w:rPr>
        <w:t>substituted decision-making</w:t>
      </w:r>
      <w:r w:rsidR="003917ED">
        <w:rPr>
          <w:lang w:eastAsia="en-US"/>
        </w:rPr>
        <w:t xml:space="preserve"> framework</w:t>
      </w:r>
      <w:r w:rsidR="000A022A">
        <w:rPr>
          <w:lang w:eastAsia="en-US"/>
        </w:rPr>
        <w:t>s remain throughout Australia</w:t>
      </w:r>
      <w:r w:rsidR="002A34F4">
        <w:rPr>
          <w:lang w:eastAsia="en-US"/>
        </w:rPr>
        <w:t xml:space="preserve">. </w:t>
      </w:r>
      <w:r w:rsidR="00721FDA">
        <w:rPr>
          <w:lang w:eastAsia="en-US"/>
        </w:rPr>
        <w:t>W</w:t>
      </w:r>
      <w:r w:rsidR="002A34F4">
        <w:rPr>
          <w:lang w:eastAsia="en-US"/>
        </w:rPr>
        <w:t>hil</w:t>
      </w:r>
      <w:r w:rsidR="00743DF7">
        <w:rPr>
          <w:lang w:eastAsia="en-US"/>
        </w:rPr>
        <w:t>e</w:t>
      </w:r>
      <w:r w:rsidR="00950359">
        <w:rPr>
          <w:lang w:eastAsia="en-US"/>
        </w:rPr>
        <w:t xml:space="preserve"> guardianship and administration appointments are </w:t>
      </w:r>
      <w:r w:rsidR="002A34F4">
        <w:rPr>
          <w:lang w:eastAsia="en-US"/>
        </w:rPr>
        <w:t xml:space="preserve">theoretically </w:t>
      </w:r>
      <w:r w:rsidR="00B7771B">
        <w:rPr>
          <w:lang w:eastAsia="en-US"/>
        </w:rPr>
        <w:t>p</w:t>
      </w:r>
      <w:r w:rsidR="002A34F4">
        <w:rPr>
          <w:lang w:eastAsia="en-US"/>
        </w:rPr>
        <w:t>osed as an option of last resort</w:t>
      </w:r>
      <w:r w:rsidR="00B7771B">
        <w:rPr>
          <w:lang w:eastAsia="en-US"/>
        </w:rPr>
        <w:t xml:space="preserve">, </w:t>
      </w:r>
      <w:r w:rsidR="00D80386">
        <w:rPr>
          <w:lang w:eastAsia="en-US"/>
        </w:rPr>
        <w:t>the experience of many people with disability does</w:t>
      </w:r>
      <w:r w:rsidR="00595E04">
        <w:rPr>
          <w:lang w:eastAsia="en-US"/>
        </w:rPr>
        <w:t xml:space="preserve"> not reflect this and instead</w:t>
      </w:r>
      <w:r w:rsidR="0016258E">
        <w:rPr>
          <w:lang w:eastAsia="en-US"/>
        </w:rPr>
        <w:t xml:space="preserve"> </w:t>
      </w:r>
      <w:r w:rsidR="00986668">
        <w:rPr>
          <w:lang w:eastAsia="en-US"/>
        </w:rPr>
        <w:t>reflects</w:t>
      </w:r>
      <w:r w:rsidR="00595E04">
        <w:rPr>
          <w:lang w:eastAsia="en-US"/>
        </w:rPr>
        <w:t xml:space="preserve"> a system</w:t>
      </w:r>
      <w:r w:rsidR="00B142E4">
        <w:rPr>
          <w:lang w:eastAsia="en-US"/>
        </w:rPr>
        <w:t xml:space="preserve"> that typically favours the interests of government </w:t>
      </w:r>
      <w:r w:rsidR="003B5205">
        <w:rPr>
          <w:lang w:eastAsia="en-US"/>
        </w:rPr>
        <w:t xml:space="preserve">agencies </w:t>
      </w:r>
      <w:r w:rsidR="00B142E4">
        <w:rPr>
          <w:lang w:eastAsia="en-US"/>
        </w:rPr>
        <w:t>and service providers</w:t>
      </w:r>
      <w:r w:rsidR="0061608A">
        <w:rPr>
          <w:lang w:eastAsia="en-US"/>
        </w:rPr>
        <w:t xml:space="preserve">, resulting in </w:t>
      </w:r>
      <w:r w:rsidR="00054B40">
        <w:rPr>
          <w:lang w:eastAsia="en-US"/>
        </w:rPr>
        <w:t>unnecessary and inappropriate appointments of substitute decision-makers</w:t>
      </w:r>
      <w:r w:rsidR="004F7222">
        <w:rPr>
          <w:lang w:eastAsia="en-US"/>
        </w:rPr>
        <w:t>.</w:t>
      </w:r>
      <w:r w:rsidR="00F32187">
        <w:rPr>
          <w:rStyle w:val="FootnoteReference"/>
          <w:rFonts w:cstheme="minorBidi"/>
        </w:rPr>
        <w:footnoteReference w:id="33"/>
      </w:r>
      <w:r w:rsidR="0016258E">
        <w:rPr>
          <w:rFonts w:cstheme="minorBidi"/>
        </w:rPr>
        <w:t xml:space="preserve"> </w:t>
      </w:r>
    </w:p>
    <w:p w14:paraId="55A79430" w14:textId="6E6AE78B" w:rsidR="00183F04" w:rsidRDefault="0057151D" w:rsidP="008F598B">
      <w:pPr>
        <w:pStyle w:val="NoSpacing"/>
        <w:spacing w:before="240"/>
        <w:rPr>
          <w:lang w:eastAsia="en-US"/>
        </w:rPr>
      </w:pPr>
      <w:r>
        <w:rPr>
          <w:lang w:eastAsia="en-US"/>
        </w:rPr>
        <w:t>S</w:t>
      </w:r>
      <w:r w:rsidRPr="0057151D">
        <w:rPr>
          <w:lang w:eastAsia="en-US"/>
        </w:rPr>
        <w:t xml:space="preserve">ubstituted decision-making remains deeply entrenched in key aspects of </w:t>
      </w:r>
      <w:r w:rsidR="00627BBC">
        <w:rPr>
          <w:lang w:eastAsia="en-US"/>
        </w:rPr>
        <w:t>Australia’s</w:t>
      </w:r>
      <w:r w:rsidR="00627BBC" w:rsidRPr="0057151D">
        <w:rPr>
          <w:lang w:eastAsia="en-US"/>
        </w:rPr>
        <w:t xml:space="preserve"> </w:t>
      </w:r>
      <w:r w:rsidRPr="0057151D">
        <w:rPr>
          <w:lang w:eastAsia="en-US"/>
        </w:rPr>
        <w:t xml:space="preserve">laws, policy, and practices, </w:t>
      </w:r>
      <w:r w:rsidR="00E64E8E">
        <w:rPr>
          <w:lang w:eastAsia="en-US"/>
        </w:rPr>
        <w:t>limiting</w:t>
      </w:r>
      <w:r w:rsidRPr="0057151D">
        <w:rPr>
          <w:lang w:eastAsia="en-US"/>
        </w:rPr>
        <w:t xml:space="preserve"> more creative and person-centred approaches to personal autonomy and choice</w:t>
      </w:r>
      <w:r w:rsidR="00714310">
        <w:rPr>
          <w:lang w:eastAsia="en-US"/>
        </w:rPr>
        <w:t xml:space="preserve">. </w:t>
      </w:r>
      <w:r w:rsidR="00210CD7">
        <w:rPr>
          <w:lang w:eastAsia="en-US"/>
        </w:rPr>
        <w:t>R</w:t>
      </w:r>
      <w:r w:rsidR="00183F04" w:rsidRPr="00183F04">
        <w:rPr>
          <w:lang w:eastAsia="en-US"/>
        </w:rPr>
        <w:t>esourcing constraints, coupled with paternalistic attitudes</w:t>
      </w:r>
      <w:r w:rsidR="00050AC9">
        <w:rPr>
          <w:lang w:eastAsia="en-US"/>
        </w:rPr>
        <w:t>,</w:t>
      </w:r>
      <w:r w:rsidR="00183F04" w:rsidRPr="00183F04">
        <w:rPr>
          <w:lang w:eastAsia="en-US"/>
        </w:rPr>
        <w:t xml:space="preserve"> limit the </w:t>
      </w:r>
      <w:r w:rsidR="00BA6865">
        <w:rPr>
          <w:lang w:eastAsia="en-US"/>
        </w:rPr>
        <w:t xml:space="preserve">availability of </w:t>
      </w:r>
      <w:r w:rsidR="008E7A4C">
        <w:rPr>
          <w:lang w:eastAsia="en-US"/>
        </w:rPr>
        <w:t>interventions</w:t>
      </w:r>
      <w:r w:rsidR="00183F04" w:rsidRPr="00183F04">
        <w:rPr>
          <w:lang w:eastAsia="en-US"/>
        </w:rPr>
        <w:t xml:space="preserve"> that increase decision-making capacity and support the establishment of relationships that enable the views, will and preferences of adults </w:t>
      </w:r>
      <w:r w:rsidR="00D04122">
        <w:rPr>
          <w:lang w:eastAsia="en-US"/>
        </w:rPr>
        <w:t>with reduced decision-making abilit</w:t>
      </w:r>
      <w:r w:rsidR="00E71E20">
        <w:rPr>
          <w:lang w:eastAsia="en-US"/>
        </w:rPr>
        <w:t>y</w:t>
      </w:r>
      <w:r w:rsidR="00183F04" w:rsidRPr="00183F04">
        <w:rPr>
          <w:lang w:eastAsia="en-US"/>
        </w:rPr>
        <w:t xml:space="preserve"> </w:t>
      </w:r>
      <w:r w:rsidR="0059679F">
        <w:rPr>
          <w:lang w:eastAsia="en-US"/>
        </w:rPr>
        <w:t xml:space="preserve">to </w:t>
      </w:r>
      <w:r w:rsidR="00183F04" w:rsidRPr="00183F04">
        <w:rPr>
          <w:lang w:eastAsia="en-US"/>
        </w:rPr>
        <w:t>be fully expressed and understood</w:t>
      </w:r>
      <w:r w:rsidR="00234DA9">
        <w:rPr>
          <w:lang w:eastAsia="en-US"/>
        </w:rPr>
        <w:t>.</w:t>
      </w:r>
    </w:p>
    <w:p w14:paraId="73D6CDAE" w14:textId="5DE05771" w:rsidR="0059488D" w:rsidRDefault="00D1110F" w:rsidP="009B5A4A">
      <w:pPr>
        <w:pStyle w:val="NoSpacing"/>
        <w:spacing w:before="240"/>
        <w:rPr>
          <w:lang w:eastAsia="en-US"/>
        </w:rPr>
      </w:pPr>
      <w:r>
        <w:rPr>
          <w:lang w:eastAsia="en-US"/>
        </w:rPr>
        <w:t>A key barrier is the inadequate understanding of decision-support needs of people with disability</w:t>
      </w:r>
      <w:r w:rsidR="007B3360">
        <w:rPr>
          <w:lang w:eastAsia="en-US"/>
        </w:rPr>
        <w:t>.</w:t>
      </w:r>
      <w:r w:rsidR="00FF5B8F">
        <w:rPr>
          <w:lang w:eastAsia="en-US"/>
        </w:rPr>
        <w:t xml:space="preserve"> M</w:t>
      </w:r>
      <w:r w:rsidR="00FF5B8F" w:rsidRPr="003F48E9">
        <w:t xml:space="preserve">any </w:t>
      </w:r>
      <w:r w:rsidR="00810C3D">
        <w:t xml:space="preserve">stakeholders </w:t>
      </w:r>
      <w:r w:rsidR="00FF5B8F" w:rsidRPr="003F48E9">
        <w:t>are not fully cognisant of t</w:t>
      </w:r>
      <w:r w:rsidR="00FF5B8F" w:rsidRPr="003F48E9">
        <w:rPr>
          <w:rFonts w:cstheme="minorBidi"/>
        </w:rPr>
        <w:t>he complexity of decision-making support, the challenging and often changing life circumstances of individuals who require it</w:t>
      </w:r>
      <w:r w:rsidR="005F5867">
        <w:rPr>
          <w:rFonts w:cstheme="minorBidi"/>
        </w:rPr>
        <w:t>,</w:t>
      </w:r>
      <w:r w:rsidR="00FF5B8F" w:rsidRPr="003F48E9">
        <w:rPr>
          <w:rFonts w:cstheme="minorBidi"/>
        </w:rPr>
        <w:t xml:space="preserve"> and the associated skills required to effectively work alongside a person with impaired decision-making abilities. Such nuanced work does not </w:t>
      </w:r>
      <w:r w:rsidR="00FF5B8F">
        <w:rPr>
          <w:rFonts w:cstheme="minorBidi"/>
        </w:rPr>
        <w:t xml:space="preserve">come naturally </w:t>
      </w:r>
      <w:r w:rsidR="00F87D2B">
        <w:rPr>
          <w:rFonts w:cstheme="minorBidi"/>
        </w:rPr>
        <w:t xml:space="preserve">and </w:t>
      </w:r>
      <w:r w:rsidR="00FF5B8F" w:rsidRPr="003F48E9">
        <w:rPr>
          <w:rFonts w:cstheme="minorBidi"/>
        </w:rPr>
        <w:t xml:space="preserve">requires </w:t>
      </w:r>
      <w:r w:rsidR="00FF5B8F">
        <w:rPr>
          <w:rFonts w:cstheme="minorBidi"/>
        </w:rPr>
        <w:t xml:space="preserve">specific </w:t>
      </w:r>
      <w:r w:rsidR="00FF5B8F" w:rsidRPr="003F48E9">
        <w:rPr>
          <w:rFonts w:cstheme="minorBidi"/>
        </w:rPr>
        <w:t>training.</w:t>
      </w:r>
      <w:r w:rsidR="00FF5B8F" w:rsidRPr="003859A3">
        <w:rPr>
          <w:lang w:eastAsia="en-US"/>
        </w:rPr>
        <w:t xml:space="preserve"> </w:t>
      </w:r>
      <w:r w:rsidR="00BF6FB1" w:rsidRPr="002E16FA">
        <w:rPr>
          <w:lang w:eastAsia="en-US"/>
        </w:rPr>
        <w:t>Some people</w:t>
      </w:r>
      <w:r w:rsidR="00954DFC" w:rsidRPr="002E16FA">
        <w:rPr>
          <w:lang w:eastAsia="en-US"/>
        </w:rPr>
        <w:t xml:space="preserve"> require specialist decision-making support from independent, professional advocates who are trained in working alongside people with impaired capacity to elicit their will and preferences</w:t>
      </w:r>
      <w:r w:rsidR="006611F2">
        <w:rPr>
          <w:lang w:eastAsia="en-US"/>
        </w:rPr>
        <w:t>,</w:t>
      </w:r>
      <w:r w:rsidR="00954DFC" w:rsidRPr="002E16FA">
        <w:rPr>
          <w:lang w:eastAsia="en-US"/>
        </w:rPr>
        <w:t xml:space="preserve"> and </w:t>
      </w:r>
      <w:r w:rsidR="004A0F7B">
        <w:rPr>
          <w:lang w:eastAsia="en-US"/>
        </w:rPr>
        <w:t>to</w:t>
      </w:r>
      <w:r w:rsidR="00954DFC">
        <w:rPr>
          <w:lang w:eastAsia="en-US"/>
        </w:rPr>
        <w:t xml:space="preserve"> </w:t>
      </w:r>
      <w:r w:rsidR="00954DFC" w:rsidRPr="002E16FA">
        <w:rPr>
          <w:lang w:eastAsia="en-US"/>
        </w:rPr>
        <w:t>ensure the</w:t>
      </w:r>
      <w:r w:rsidR="004A0F7B">
        <w:rPr>
          <w:lang w:eastAsia="en-US"/>
        </w:rPr>
        <w:t>ir</w:t>
      </w:r>
      <w:r w:rsidR="00954DFC" w:rsidRPr="002E16FA">
        <w:rPr>
          <w:lang w:eastAsia="en-US"/>
        </w:rPr>
        <w:t xml:space="preserve"> human rights are not usurped by the interests </w:t>
      </w:r>
      <w:r w:rsidR="00E41C8A">
        <w:rPr>
          <w:lang w:eastAsia="en-US"/>
        </w:rPr>
        <w:t xml:space="preserve">or views </w:t>
      </w:r>
      <w:r w:rsidR="00954DFC" w:rsidRPr="002E16FA">
        <w:rPr>
          <w:lang w:eastAsia="en-US"/>
        </w:rPr>
        <w:t xml:space="preserve">of </w:t>
      </w:r>
      <w:r w:rsidR="006611F2">
        <w:rPr>
          <w:lang w:eastAsia="en-US"/>
        </w:rPr>
        <w:t>others</w:t>
      </w:r>
      <w:r w:rsidR="00954DFC" w:rsidRPr="002E16FA">
        <w:rPr>
          <w:lang w:eastAsia="en-US"/>
        </w:rPr>
        <w:t>.</w:t>
      </w:r>
      <w:r w:rsidR="009B5A4A">
        <w:rPr>
          <w:lang w:eastAsia="en-US"/>
        </w:rPr>
        <w:t xml:space="preserve"> </w:t>
      </w:r>
    </w:p>
    <w:p w14:paraId="41B05554" w14:textId="4457F73D" w:rsidR="0059488D" w:rsidRDefault="00FF5B8F" w:rsidP="009B5A4A">
      <w:pPr>
        <w:pStyle w:val="NoSpacing"/>
        <w:spacing w:before="240"/>
        <w:rPr>
          <w:lang w:eastAsia="en-US"/>
        </w:rPr>
      </w:pPr>
      <w:r w:rsidRPr="003859A3">
        <w:rPr>
          <w:lang w:eastAsia="en-US"/>
        </w:rPr>
        <w:t xml:space="preserve">In the absence of training on supported decision-making principles, people </w:t>
      </w:r>
      <w:r>
        <w:rPr>
          <w:lang w:eastAsia="en-US"/>
        </w:rPr>
        <w:t xml:space="preserve">can </w:t>
      </w:r>
      <w:r w:rsidRPr="003859A3">
        <w:rPr>
          <w:lang w:eastAsia="en-US"/>
        </w:rPr>
        <w:t>revert to ‘best-interests’ approaches</w:t>
      </w:r>
      <w:r>
        <w:rPr>
          <w:lang w:eastAsia="en-US"/>
        </w:rPr>
        <w:t xml:space="preserve"> where they </w:t>
      </w:r>
      <w:proofErr w:type="gramStart"/>
      <w:r>
        <w:rPr>
          <w:lang w:eastAsia="en-US"/>
        </w:rPr>
        <w:t>make a decision</w:t>
      </w:r>
      <w:proofErr w:type="gramEnd"/>
      <w:r>
        <w:rPr>
          <w:lang w:eastAsia="en-US"/>
        </w:rPr>
        <w:t xml:space="preserve"> that </w:t>
      </w:r>
      <w:r>
        <w:rPr>
          <w:i/>
          <w:iCs/>
          <w:lang w:eastAsia="en-US"/>
        </w:rPr>
        <w:t>they</w:t>
      </w:r>
      <w:r>
        <w:rPr>
          <w:lang w:eastAsia="en-US"/>
        </w:rPr>
        <w:t xml:space="preserve"> perceive to be in the </w:t>
      </w:r>
      <w:r w:rsidR="00900832">
        <w:rPr>
          <w:lang w:eastAsia="en-US"/>
        </w:rPr>
        <w:t xml:space="preserve">adult’s </w:t>
      </w:r>
      <w:r>
        <w:rPr>
          <w:lang w:eastAsia="en-US"/>
        </w:rPr>
        <w:t xml:space="preserve">best interests as opposed to enacting the will and preferences of the </w:t>
      </w:r>
      <w:r w:rsidR="00D50612">
        <w:rPr>
          <w:lang w:eastAsia="en-US"/>
        </w:rPr>
        <w:t>adult</w:t>
      </w:r>
      <w:r>
        <w:rPr>
          <w:lang w:eastAsia="en-US"/>
        </w:rPr>
        <w:t xml:space="preserve"> concerned</w:t>
      </w:r>
      <w:r w:rsidRPr="003859A3">
        <w:rPr>
          <w:lang w:eastAsia="en-US"/>
        </w:rPr>
        <w:t xml:space="preserve">. </w:t>
      </w:r>
      <w:r w:rsidR="009741AF" w:rsidRPr="003859A3">
        <w:rPr>
          <w:lang w:eastAsia="en-US"/>
        </w:rPr>
        <w:t xml:space="preserve">Whilst </w:t>
      </w:r>
      <w:r w:rsidR="009741AF">
        <w:rPr>
          <w:lang w:eastAsia="en-US"/>
        </w:rPr>
        <w:t>such an approach</w:t>
      </w:r>
      <w:r w:rsidR="009741AF" w:rsidRPr="003859A3">
        <w:rPr>
          <w:lang w:eastAsia="en-US"/>
        </w:rPr>
        <w:t xml:space="preserve"> may be well-intentioned, </w:t>
      </w:r>
      <w:r w:rsidR="009741AF">
        <w:rPr>
          <w:lang w:eastAsia="en-US"/>
        </w:rPr>
        <w:t>it is</w:t>
      </w:r>
      <w:r w:rsidR="009741AF" w:rsidRPr="003859A3">
        <w:rPr>
          <w:lang w:eastAsia="en-US"/>
        </w:rPr>
        <w:t xml:space="preserve"> rooted in ableist ideology and fail</w:t>
      </w:r>
      <w:r w:rsidR="009741AF">
        <w:rPr>
          <w:lang w:eastAsia="en-US"/>
        </w:rPr>
        <w:t>s</w:t>
      </w:r>
      <w:r w:rsidR="009741AF" w:rsidRPr="003859A3">
        <w:rPr>
          <w:lang w:eastAsia="en-US"/>
        </w:rPr>
        <w:t xml:space="preserve"> to implement the rights-based framework required under </w:t>
      </w:r>
      <w:r w:rsidR="009741AF">
        <w:rPr>
          <w:lang w:eastAsia="en-US"/>
        </w:rPr>
        <w:t>t</w:t>
      </w:r>
      <w:r w:rsidR="009741AF" w:rsidRPr="003859A3">
        <w:rPr>
          <w:lang w:eastAsia="en-US"/>
        </w:rPr>
        <w:t>he CRPD.</w:t>
      </w:r>
      <w:r w:rsidR="009741AF">
        <w:rPr>
          <w:lang w:eastAsia="en-US"/>
        </w:rPr>
        <w:t xml:space="preserve"> </w:t>
      </w:r>
      <w:r w:rsidR="00FC7E6B">
        <w:rPr>
          <w:rFonts w:cstheme="minorBidi"/>
        </w:rPr>
        <w:t xml:space="preserve">The person’s right to legal capacity </w:t>
      </w:r>
      <w:r w:rsidR="005F6B0A">
        <w:rPr>
          <w:rFonts w:cstheme="minorBidi"/>
        </w:rPr>
        <w:t>is</w:t>
      </w:r>
      <w:r w:rsidR="00FC7E6B">
        <w:rPr>
          <w:rFonts w:cstheme="minorBidi"/>
        </w:rPr>
        <w:t xml:space="preserve"> denied and their autonomy and self-determination suppressed through resort to formal guardianship arrangements that would otherwise not be required if the individual was adequately supported.</w:t>
      </w:r>
      <w:r w:rsidR="00EA2D32" w:rsidRPr="00EA2D32">
        <w:rPr>
          <w:rFonts w:cstheme="minorBidi"/>
        </w:rPr>
        <w:t xml:space="preserve"> </w:t>
      </w:r>
      <w:r w:rsidR="00EA2D32">
        <w:rPr>
          <w:rFonts w:cstheme="minorBidi"/>
        </w:rPr>
        <w:t>Such arrangements not only violate a person’s right to equality before the law, but they can also lead to the exploitation of people with disability, where substitute decision-makers act and make decisions in accordance with their own personal interests</w:t>
      </w:r>
      <w:r w:rsidR="00496D31">
        <w:rPr>
          <w:rFonts w:cstheme="minorBidi"/>
        </w:rPr>
        <w:t>.</w:t>
      </w:r>
    </w:p>
    <w:p w14:paraId="78965498" w14:textId="77777777" w:rsidR="006C2066" w:rsidRDefault="00466ED7" w:rsidP="00FA4BD7">
      <w:pPr>
        <w:spacing w:before="240"/>
      </w:pPr>
      <w:r>
        <w:t>Poor</w:t>
      </w:r>
      <w:r w:rsidR="004B2D43" w:rsidRPr="004B2D43">
        <w:t xml:space="preserve"> adherence to supported decision-making practices is </w:t>
      </w:r>
      <w:r w:rsidR="003F45C8">
        <w:t>particularly</w:t>
      </w:r>
      <w:r w:rsidR="004B2D43" w:rsidRPr="004B2D43">
        <w:t xml:space="preserve"> </w:t>
      </w:r>
      <w:r w:rsidR="002F76F5">
        <w:t>evident</w:t>
      </w:r>
      <w:r w:rsidR="004B2D43" w:rsidRPr="004B2D43">
        <w:t xml:space="preserve"> in the health setting. </w:t>
      </w:r>
      <w:r w:rsidR="002F76F5">
        <w:t>H</w:t>
      </w:r>
      <w:r w:rsidR="004B2D43" w:rsidRPr="004B2D43">
        <w:t xml:space="preserve">ospital bed shortages and attitudes remnant of the medical model </w:t>
      </w:r>
      <w:r w:rsidR="006F4D7A">
        <w:t>can be</w:t>
      </w:r>
      <w:r w:rsidR="004B2D43" w:rsidRPr="004B2D43">
        <w:t xml:space="preserve"> behind a clinician’s recourse to substituted rather than supported decision-making practices, where the views and preferences of family members or guardians are obtained instead of providing the person with disability the necessary time, information, and support to lead </w:t>
      </w:r>
      <w:r w:rsidR="00C81B6B">
        <w:t xml:space="preserve">the </w:t>
      </w:r>
      <w:r w:rsidR="004B2D43" w:rsidRPr="004B2D43">
        <w:t xml:space="preserve">decision-making regarding their discharge. </w:t>
      </w:r>
    </w:p>
    <w:p w14:paraId="7F210500" w14:textId="0BB1FD68" w:rsidR="005F21B0" w:rsidRPr="00DE3876" w:rsidRDefault="00580783" w:rsidP="005F21B0">
      <w:pPr>
        <w:spacing w:before="240"/>
        <w:rPr>
          <w:rFonts w:cstheme="minorBidi"/>
        </w:rPr>
      </w:pPr>
      <w:r>
        <w:t xml:space="preserve">To implement the supported decision-making approach required by the CRPD, </w:t>
      </w:r>
      <w:r w:rsidR="008738C5">
        <w:t xml:space="preserve">QAI </w:t>
      </w:r>
      <w:r w:rsidR="00EC5C74">
        <w:t>foresees</w:t>
      </w:r>
      <w:r w:rsidR="008738C5">
        <w:t xml:space="preserve"> the need for ongoing community education regarding the concept of legal capacity, its fluctuating nature and the role </w:t>
      </w:r>
      <w:r w:rsidR="00EC5C74">
        <w:t>that increased autonomy and control can play in increasing a person’s capacity. W</w:t>
      </w:r>
      <w:r w:rsidR="00F606BF">
        <w:t>e need</w:t>
      </w:r>
      <w:r w:rsidR="001A2DD1">
        <w:rPr>
          <w:lang w:eastAsia="en-US"/>
        </w:rPr>
        <w:t xml:space="preserve"> </w:t>
      </w:r>
      <w:r w:rsidR="00E86957">
        <w:rPr>
          <w:lang w:eastAsia="en-US"/>
        </w:rPr>
        <w:t>targeted education and awareness campaigns</w:t>
      </w:r>
      <w:r w:rsidR="000B39E9" w:rsidRPr="000B39E9">
        <w:rPr>
          <w:lang w:eastAsia="en-US"/>
        </w:rPr>
        <w:t xml:space="preserve"> that place the discussion about decision-making support within a human rights framework, emphasising the rights of people with disability to receive support when making decisions</w:t>
      </w:r>
      <w:r w:rsidR="00E41C8A">
        <w:rPr>
          <w:lang w:eastAsia="en-US"/>
        </w:rPr>
        <w:t>, the dignity of risk and the right to make ‘poor’ decisions as people without disability often do</w:t>
      </w:r>
      <w:r w:rsidR="000B39E9" w:rsidRPr="000B39E9">
        <w:rPr>
          <w:lang w:eastAsia="en-US"/>
        </w:rPr>
        <w:t>.</w:t>
      </w:r>
      <w:r w:rsidR="00455E63">
        <w:rPr>
          <w:lang w:eastAsia="en-US"/>
        </w:rPr>
        <w:t xml:space="preserve"> We </w:t>
      </w:r>
      <w:r w:rsidR="001E56D5">
        <w:rPr>
          <w:lang w:eastAsia="en-US"/>
        </w:rPr>
        <w:t xml:space="preserve">also </w:t>
      </w:r>
      <w:r w:rsidR="00455E63">
        <w:rPr>
          <w:lang w:eastAsia="en-US"/>
        </w:rPr>
        <w:t xml:space="preserve">need </w:t>
      </w:r>
      <w:r w:rsidR="009B2ACC" w:rsidRPr="009B2ACC">
        <w:rPr>
          <w:lang w:eastAsia="en-US"/>
        </w:rPr>
        <w:t>a nationally consistent supported decision-making framework as per the Australian Law Reform Commission’s recommendations</w:t>
      </w:r>
      <w:r w:rsidR="007D3C64">
        <w:rPr>
          <w:rStyle w:val="FootnoteReference"/>
          <w:lang w:eastAsia="en-US"/>
        </w:rPr>
        <w:footnoteReference w:id="34"/>
      </w:r>
      <w:r w:rsidR="009B2ACC" w:rsidRPr="009B2ACC">
        <w:rPr>
          <w:lang w:eastAsia="en-US"/>
        </w:rPr>
        <w:t xml:space="preserve">, </w:t>
      </w:r>
      <w:r w:rsidR="000058F4">
        <w:rPr>
          <w:lang w:eastAsia="en-US"/>
        </w:rPr>
        <w:t xml:space="preserve">and to </w:t>
      </w:r>
      <w:r w:rsidR="009B2ACC" w:rsidRPr="009B2ACC">
        <w:rPr>
          <w:lang w:eastAsia="en-US"/>
        </w:rPr>
        <w:t xml:space="preserve">address specific aspects </w:t>
      </w:r>
      <w:r w:rsidR="00E41C8A">
        <w:rPr>
          <w:lang w:eastAsia="en-US"/>
        </w:rPr>
        <w:t>of</w:t>
      </w:r>
      <w:r w:rsidR="00E41C8A" w:rsidRPr="009B2ACC">
        <w:rPr>
          <w:lang w:eastAsia="en-US"/>
        </w:rPr>
        <w:t xml:space="preserve"> </w:t>
      </w:r>
      <w:r w:rsidR="000058F4">
        <w:rPr>
          <w:lang w:eastAsia="en-US"/>
        </w:rPr>
        <w:t>state and territory</w:t>
      </w:r>
      <w:r w:rsidR="009B2ACC" w:rsidRPr="009B2ACC">
        <w:rPr>
          <w:lang w:eastAsia="en-US"/>
        </w:rPr>
        <w:t xml:space="preserve"> guardianship framework</w:t>
      </w:r>
      <w:r w:rsidR="000058F4">
        <w:rPr>
          <w:lang w:eastAsia="en-US"/>
        </w:rPr>
        <w:t>s</w:t>
      </w:r>
      <w:r w:rsidR="009B2ACC" w:rsidRPr="009B2ACC">
        <w:rPr>
          <w:lang w:eastAsia="en-US"/>
        </w:rPr>
        <w:t xml:space="preserve"> that contribute to the unnecessary appointment of substitute decision-makers. </w:t>
      </w:r>
      <w:r w:rsidR="002B45E5">
        <w:rPr>
          <w:lang w:eastAsia="en-US"/>
        </w:rPr>
        <w:t>There also needs to be improved access to</w:t>
      </w:r>
      <w:r w:rsidR="00BC37C5" w:rsidRPr="00C26AEC">
        <w:rPr>
          <w:rFonts w:cstheme="minorHAnsi"/>
        </w:rPr>
        <w:t xml:space="preserve"> legal </w:t>
      </w:r>
      <w:r w:rsidR="00E41C8A">
        <w:rPr>
          <w:rFonts w:cstheme="minorHAnsi"/>
        </w:rPr>
        <w:t xml:space="preserve">advocacy for people with disability, </w:t>
      </w:r>
      <w:r w:rsidR="00BC37C5" w:rsidRPr="00C26AEC">
        <w:rPr>
          <w:rFonts w:cstheme="minorHAnsi"/>
        </w:rPr>
        <w:t>safeguards</w:t>
      </w:r>
      <w:r w:rsidR="00F43861">
        <w:rPr>
          <w:rFonts w:cstheme="minorHAnsi"/>
        </w:rPr>
        <w:t>,</w:t>
      </w:r>
      <w:r w:rsidR="00101BC9">
        <w:rPr>
          <w:rFonts w:cstheme="minorHAnsi"/>
        </w:rPr>
        <w:t xml:space="preserve"> and increased </w:t>
      </w:r>
      <w:r w:rsidR="00455E63" w:rsidRPr="55CD2789">
        <w:rPr>
          <w:rFonts w:cstheme="minorBidi"/>
        </w:rPr>
        <w:t>oversight of substitute decision-makers</w:t>
      </w:r>
      <w:r w:rsidR="00701F32">
        <w:rPr>
          <w:rFonts w:cstheme="minorBidi"/>
        </w:rPr>
        <w:t>.</w:t>
      </w:r>
      <w:r w:rsidR="00455E63" w:rsidRPr="55CD2789">
        <w:rPr>
          <w:rFonts w:cstheme="minorBidi"/>
        </w:rPr>
        <w:t xml:space="preserve"> </w:t>
      </w:r>
      <w:r w:rsidR="005F21B0">
        <w:t xml:space="preserve"> </w:t>
      </w:r>
    </w:p>
    <w:p w14:paraId="4B6D69D7" w14:textId="436DD9A4" w:rsidR="00582E8C" w:rsidRDefault="00EB0F20" w:rsidP="00B85098">
      <w:pPr>
        <w:spacing w:before="240"/>
        <w:rPr>
          <w:lang w:eastAsia="en-US"/>
        </w:rPr>
      </w:pPr>
      <w:r>
        <w:rPr>
          <w:rFonts w:cstheme="minorBidi"/>
        </w:rPr>
        <w:t>The</w:t>
      </w:r>
      <w:r w:rsidR="005B29E2">
        <w:rPr>
          <w:rFonts w:cstheme="minorBidi"/>
        </w:rPr>
        <w:t xml:space="preserve"> </w:t>
      </w:r>
      <w:bookmarkStart w:id="3" w:name="_Hlk121407631"/>
      <w:r w:rsidR="005B29E2">
        <w:rPr>
          <w:rFonts w:cstheme="minorBidi"/>
        </w:rPr>
        <w:t>unique</w:t>
      </w:r>
      <w:r w:rsidR="00A00B9F">
        <w:rPr>
          <w:rFonts w:cstheme="minorBidi"/>
        </w:rPr>
        <w:t xml:space="preserve"> </w:t>
      </w:r>
      <w:r w:rsidR="00C8109F">
        <w:rPr>
          <w:rFonts w:cstheme="minorBidi"/>
        </w:rPr>
        <w:t xml:space="preserve">and additional barriers to personal autonomy </w:t>
      </w:r>
      <w:r>
        <w:rPr>
          <w:rFonts w:cstheme="minorBidi"/>
        </w:rPr>
        <w:t>experienced by</w:t>
      </w:r>
      <w:r w:rsidR="006F6288">
        <w:rPr>
          <w:rFonts w:cstheme="minorBidi"/>
        </w:rPr>
        <w:t xml:space="preserve"> </w:t>
      </w:r>
      <w:r w:rsidR="00A00B9F">
        <w:rPr>
          <w:rFonts w:cstheme="minorBidi"/>
        </w:rPr>
        <w:t>First</w:t>
      </w:r>
      <w:r w:rsidR="00272998">
        <w:rPr>
          <w:rFonts w:cstheme="minorBidi"/>
        </w:rPr>
        <w:t xml:space="preserve"> Nations people with disability</w:t>
      </w:r>
      <w:r w:rsidR="004C5B2D">
        <w:rPr>
          <w:rFonts w:cstheme="minorBidi"/>
        </w:rPr>
        <w:t xml:space="preserve"> and people from </w:t>
      </w:r>
      <w:r w:rsidR="009C20B2">
        <w:rPr>
          <w:rFonts w:cstheme="minorBidi"/>
        </w:rPr>
        <w:t>CALD</w:t>
      </w:r>
      <w:r w:rsidR="004C5B2D">
        <w:rPr>
          <w:rFonts w:cstheme="minorBidi"/>
        </w:rPr>
        <w:t xml:space="preserve"> communities</w:t>
      </w:r>
      <w:r w:rsidR="006F6288">
        <w:rPr>
          <w:rFonts w:cstheme="minorBidi"/>
        </w:rPr>
        <w:t xml:space="preserve"> </w:t>
      </w:r>
      <w:bookmarkEnd w:id="3"/>
      <w:r>
        <w:rPr>
          <w:rFonts w:cstheme="minorBidi"/>
        </w:rPr>
        <w:t>also</w:t>
      </w:r>
      <w:r w:rsidR="004C5B2D">
        <w:rPr>
          <w:rFonts w:cstheme="minorBidi"/>
        </w:rPr>
        <w:t xml:space="preserve"> need to be</w:t>
      </w:r>
      <w:r w:rsidR="006F6288">
        <w:rPr>
          <w:rFonts w:cstheme="minorBidi"/>
        </w:rPr>
        <w:t xml:space="preserve"> understood and </w:t>
      </w:r>
      <w:r w:rsidR="00A31130">
        <w:rPr>
          <w:rFonts w:cstheme="minorBidi"/>
        </w:rPr>
        <w:t>incorporated</w:t>
      </w:r>
      <w:r w:rsidR="006F6288">
        <w:rPr>
          <w:rFonts w:cstheme="minorBidi"/>
        </w:rPr>
        <w:t xml:space="preserve"> into </w:t>
      </w:r>
      <w:r>
        <w:rPr>
          <w:rFonts w:cstheme="minorBidi"/>
        </w:rPr>
        <w:t xml:space="preserve">future </w:t>
      </w:r>
      <w:r w:rsidR="006F6288">
        <w:rPr>
          <w:rFonts w:cstheme="minorBidi"/>
        </w:rPr>
        <w:t>reforms</w:t>
      </w:r>
      <w:r w:rsidR="00A31130">
        <w:rPr>
          <w:rFonts w:cstheme="minorBidi"/>
        </w:rPr>
        <w:t>.</w:t>
      </w:r>
      <w:r w:rsidR="003C2B09">
        <w:rPr>
          <w:rFonts w:cstheme="minorBidi"/>
        </w:rPr>
        <w:t xml:space="preserve"> </w:t>
      </w:r>
      <w:r w:rsidR="008E0744">
        <w:rPr>
          <w:rFonts w:cstheme="minorBidi"/>
        </w:rPr>
        <w:t>Decision-support must be</w:t>
      </w:r>
      <w:r w:rsidR="006F6288">
        <w:rPr>
          <w:rFonts w:cstheme="minorBidi"/>
        </w:rPr>
        <w:t xml:space="preserve"> culturally appropriate</w:t>
      </w:r>
      <w:r w:rsidR="005B313E">
        <w:rPr>
          <w:rFonts w:cstheme="minorBidi"/>
        </w:rPr>
        <w:t xml:space="preserve"> and cognisant of </w:t>
      </w:r>
      <w:r>
        <w:rPr>
          <w:rFonts w:cstheme="minorBidi"/>
        </w:rPr>
        <w:t>a person’s</w:t>
      </w:r>
      <w:r w:rsidR="008E0744">
        <w:rPr>
          <w:rFonts w:cstheme="minorBidi"/>
        </w:rPr>
        <w:t xml:space="preserve"> unique experiences</w:t>
      </w:r>
      <w:r w:rsidR="00D164E6">
        <w:rPr>
          <w:rFonts w:cstheme="minorBidi"/>
        </w:rPr>
        <w:t>. For</w:t>
      </w:r>
      <w:r w:rsidR="00B85098">
        <w:rPr>
          <w:rFonts w:cstheme="minorBidi"/>
        </w:rPr>
        <w:t xml:space="preserve"> example</w:t>
      </w:r>
      <w:r w:rsidR="00D164E6">
        <w:rPr>
          <w:rFonts w:cstheme="minorBidi"/>
        </w:rPr>
        <w:t>,</w:t>
      </w:r>
      <w:r>
        <w:rPr>
          <w:rFonts w:cstheme="minorBidi"/>
        </w:rPr>
        <w:t xml:space="preserve"> </w:t>
      </w:r>
      <w:r w:rsidR="00582E8C">
        <w:rPr>
          <w:lang w:eastAsia="en-US"/>
        </w:rPr>
        <w:t xml:space="preserve">cultural beliefs about the role of government and </w:t>
      </w:r>
      <w:r>
        <w:rPr>
          <w:lang w:eastAsia="en-US"/>
        </w:rPr>
        <w:t>a</w:t>
      </w:r>
      <w:r w:rsidR="00582E8C">
        <w:rPr>
          <w:lang w:eastAsia="en-US"/>
        </w:rPr>
        <w:t xml:space="preserve"> need for independent interpreting services</w:t>
      </w:r>
      <w:r w:rsidR="00E11D3A">
        <w:rPr>
          <w:lang w:eastAsia="en-US"/>
        </w:rPr>
        <w:t xml:space="preserve"> </w:t>
      </w:r>
      <w:r w:rsidR="009C20B2">
        <w:rPr>
          <w:lang w:eastAsia="en-US"/>
        </w:rPr>
        <w:t>both</w:t>
      </w:r>
      <w:r w:rsidR="00E11D3A">
        <w:rPr>
          <w:lang w:eastAsia="en-US"/>
        </w:rPr>
        <w:t xml:space="preserve"> influence</w:t>
      </w:r>
      <w:r w:rsidR="009C20B2">
        <w:rPr>
          <w:lang w:eastAsia="en-US"/>
        </w:rPr>
        <w:t xml:space="preserve"> the</w:t>
      </w:r>
      <w:r w:rsidR="00E11D3A">
        <w:rPr>
          <w:lang w:eastAsia="en-US"/>
        </w:rPr>
        <w:t xml:space="preserve"> decision-support needs of people from CALD </w:t>
      </w:r>
      <w:r w:rsidR="009D3178">
        <w:rPr>
          <w:lang w:eastAsia="en-US"/>
        </w:rPr>
        <w:t>communitie</w:t>
      </w:r>
      <w:r w:rsidR="00E11D3A">
        <w:rPr>
          <w:lang w:eastAsia="en-US"/>
        </w:rPr>
        <w:t>s</w:t>
      </w:r>
      <w:r w:rsidR="00582E8C">
        <w:rPr>
          <w:lang w:eastAsia="en-US"/>
        </w:rPr>
        <w:t>.</w:t>
      </w:r>
    </w:p>
    <w:p w14:paraId="719EBBA9" w14:textId="4E5DAFCA" w:rsidR="00FA4BD7" w:rsidRDefault="00EC7156" w:rsidP="00E636A6">
      <w:pPr>
        <w:pStyle w:val="Heading2"/>
        <w:spacing w:before="240"/>
        <w:ind w:left="0"/>
        <w:rPr>
          <w:lang w:eastAsia="en-US"/>
        </w:rPr>
      </w:pPr>
      <w:r>
        <w:rPr>
          <w:lang w:eastAsia="en-US"/>
        </w:rPr>
        <w:t>At the p</w:t>
      </w:r>
      <w:r w:rsidR="00FA4BD7">
        <w:rPr>
          <w:lang w:eastAsia="en-US"/>
        </w:rPr>
        <w:t>olicy-making level</w:t>
      </w:r>
    </w:p>
    <w:p w14:paraId="28ABAD6B" w14:textId="2D2A00BD" w:rsidR="00A03835" w:rsidRDefault="004C086C" w:rsidP="00FA4BD7">
      <w:pPr>
        <w:spacing w:before="240"/>
        <w:rPr>
          <w:lang w:eastAsia="en-US"/>
        </w:rPr>
      </w:pPr>
      <w:r>
        <w:rPr>
          <w:lang w:eastAsia="en-US"/>
        </w:rPr>
        <w:t>T</w:t>
      </w:r>
      <w:r w:rsidR="00FA4BD7">
        <w:rPr>
          <w:lang w:eastAsia="en-US"/>
        </w:rPr>
        <w:t>he CRPD</w:t>
      </w:r>
      <w:r w:rsidR="009D3178">
        <w:rPr>
          <w:lang w:eastAsia="en-US"/>
        </w:rPr>
        <w:t xml:space="preserve"> </w:t>
      </w:r>
      <w:r>
        <w:rPr>
          <w:lang w:eastAsia="en-US"/>
        </w:rPr>
        <w:t xml:space="preserve">also </w:t>
      </w:r>
      <w:r w:rsidR="00A03835" w:rsidRPr="00C1161A">
        <w:rPr>
          <w:lang w:eastAsia="en-US"/>
        </w:rPr>
        <w:t xml:space="preserve">necessitates the inclusion of people with disability at the policy-making level, requiring their active participation in public life and requiring they be consulted in the development, </w:t>
      </w:r>
      <w:r w:rsidR="004C3C94" w:rsidRPr="00C1161A">
        <w:rPr>
          <w:lang w:eastAsia="en-US"/>
        </w:rPr>
        <w:t>implementation,</w:t>
      </w:r>
      <w:r w:rsidR="00A03835" w:rsidRPr="00C1161A">
        <w:rPr>
          <w:lang w:eastAsia="en-US"/>
        </w:rPr>
        <w:t xml:space="preserve"> and monitoring processes of the Convention and related domestic policies.</w:t>
      </w:r>
      <w:r w:rsidR="00A03835">
        <w:rPr>
          <w:rStyle w:val="FootnoteReference"/>
          <w:lang w:eastAsia="en-US"/>
        </w:rPr>
        <w:footnoteReference w:id="35"/>
      </w:r>
      <w:r w:rsidR="00C56906">
        <w:rPr>
          <w:lang w:eastAsia="en-US"/>
        </w:rPr>
        <w:t>H</w:t>
      </w:r>
      <w:r w:rsidR="007514A1">
        <w:rPr>
          <w:lang w:eastAsia="en-US"/>
        </w:rPr>
        <w:t>istorically this has not occurred</w:t>
      </w:r>
      <w:r w:rsidR="00F175E1">
        <w:rPr>
          <w:lang w:eastAsia="en-US"/>
        </w:rPr>
        <w:t xml:space="preserve">, with </w:t>
      </w:r>
      <w:r w:rsidR="005C776D">
        <w:rPr>
          <w:lang w:eastAsia="en-US"/>
        </w:rPr>
        <w:t xml:space="preserve">many </w:t>
      </w:r>
      <w:r w:rsidR="00F175E1">
        <w:rPr>
          <w:lang w:eastAsia="en-US"/>
        </w:rPr>
        <w:t xml:space="preserve">people with disability </w:t>
      </w:r>
      <w:r w:rsidR="00577746">
        <w:rPr>
          <w:lang w:eastAsia="en-US"/>
        </w:rPr>
        <w:t xml:space="preserve">denied opportunities to </w:t>
      </w:r>
      <w:r w:rsidR="00893D10">
        <w:rPr>
          <w:lang w:eastAsia="en-US"/>
        </w:rPr>
        <w:t>hold</w:t>
      </w:r>
      <w:r w:rsidR="00F175E1">
        <w:rPr>
          <w:lang w:eastAsia="en-US"/>
        </w:rPr>
        <w:t xml:space="preserve"> decision-making roles due to </w:t>
      </w:r>
      <w:r w:rsidR="00577746">
        <w:rPr>
          <w:lang w:eastAsia="en-US"/>
        </w:rPr>
        <w:t xml:space="preserve">the pervasive </w:t>
      </w:r>
      <w:r w:rsidR="00F175E1">
        <w:rPr>
          <w:lang w:eastAsia="en-US"/>
        </w:rPr>
        <w:t>systemic barriers t</w:t>
      </w:r>
      <w:r w:rsidR="00577746">
        <w:rPr>
          <w:lang w:eastAsia="en-US"/>
        </w:rPr>
        <w:t xml:space="preserve">hat </w:t>
      </w:r>
      <w:r w:rsidR="005B001E">
        <w:rPr>
          <w:lang w:eastAsia="en-US"/>
        </w:rPr>
        <w:t>exclude</w:t>
      </w:r>
      <w:r w:rsidR="00BD3B44">
        <w:rPr>
          <w:lang w:eastAsia="en-US"/>
        </w:rPr>
        <w:t xml:space="preserve"> people with disability</w:t>
      </w:r>
      <w:r w:rsidR="005B001E">
        <w:rPr>
          <w:lang w:eastAsia="en-US"/>
        </w:rPr>
        <w:t xml:space="preserve"> from</w:t>
      </w:r>
      <w:r w:rsidR="00F80026">
        <w:rPr>
          <w:lang w:eastAsia="en-US"/>
        </w:rPr>
        <w:t xml:space="preserve"> education and</w:t>
      </w:r>
      <w:r w:rsidR="005B001E">
        <w:rPr>
          <w:lang w:eastAsia="en-US"/>
        </w:rPr>
        <w:t xml:space="preserve"> employment</w:t>
      </w:r>
      <w:r w:rsidR="00BD3B44">
        <w:rPr>
          <w:lang w:eastAsia="en-US"/>
        </w:rPr>
        <w:t xml:space="preserve">. </w:t>
      </w:r>
      <w:r w:rsidR="00893D10">
        <w:rPr>
          <w:lang w:eastAsia="en-US"/>
        </w:rPr>
        <w:t>Consultation processes have also been largely tokenistic</w:t>
      </w:r>
      <w:r w:rsidR="009B5C38">
        <w:rPr>
          <w:lang w:eastAsia="en-US"/>
        </w:rPr>
        <w:t xml:space="preserve">, where the views of people with disability </w:t>
      </w:r>
      <w:r w:rsidR="00097ECD">
        <w:rPr>
          <w:lang w:eastAsia="en-US"/>
        </w:rPr>
        <w:t>have been</w:t>
      </w:r>
      <w:r w:rsidR="006D4D6F">
        <w:rPr>
          <w:lang w:eastAsia="en-US"/>
        </w:rPr>
        <w:t xml:space="preserve"> sought</w:t>
      </w:r>
      <w:r w:rsidR="009B5C38">
        <w:rPr>
          <w:lang w:eastAsia="en-US"/>
        </w:rPr>
        <w:t xml:space="preserve"> within a very short </w:t>
      </w:r>
      <w:r w:rsidR="00055DD7">
        <w:rPr>
          <w:lang w:eastAsia="en-US"/>
        </w:rPr>
        <w:t>timeframe</w:t>
      </w:r>
      <w:r w:rsidR="009B5C38">
        <w:rPr>
          <w:lang w:eastAsia="en-US"/>
        </w:rPr>
        <w:t xml:space="preserve"> or after a particular policy decision has </w:t>
      </w:r>
      <w:r w:rsidR="006D4D6F">
        <w:rPr>
          <w:lang w:eastAsia="en-US"/>
        </w:rPr>
        <w:t xml:space="preserve">already </w:t>
      </w:r>
      <w:r w:rsidR="009B5C38">
        <w:rPr>
          <w:lang w:eastAsia="en-US"/>
        </w:rPr>
        <w:t>been made.</w:t>
      </w:r>
      <w:r w:rsidR="006D4D6F">
        <w:rPr>
          <w:lang w:eastAsia="en-US"/>
        </w:rPr>
        <w:t xml:space="preserve"> </w:t>
      </w:r>
      <w:r w:rsidR="00B23A0F">
        <w:rPr>
          <w:lang w:eastAsia="en-US"/>
        </w:rPr>
        <w:t>For e</w:t>
      </w:r>
      <w:r w:rsidR="00D101FB">
        <w:rPr>
          <w:lang w:eastAsia="en-US"/>
        </w:rPr>
        <w:t>xample</w:t>
      </w:r>
      <w:r w:rsidR="00B23A0F">
        <w:rPr>
          <w:lang w:eastAsia="en-US"/>
        </w:rPr>
        <w:t>,</w:t>
      </w:r>
      <w:r w:rsidR="00D101FB">
        <w:rPr>
          <w:lang w:eastAsia="en-US"/>
        </w:rPr>
        <w:t xml:space="preserve"> the </w:t>
      </w:r>
      <w:r w:rsidR="00171C09">
        <w:rPr>
          <w:lang w:eastAsia="en-US"/>
        </w:rPr>
        <w:t>failed introduction of</w:t>
      </w:r>
      <w:r w:rsidR="002E55B6">
        <w:rPr>
          <w:lang w:eastAsia="en-US"/>
        </w:rPr>
        <w:t xml:space="preserve"> Independent Assessments</w:t>
      </w:r>
      <w:r w:rsidR="00171C09">
        <w:rPr>
          <w:lang w:eastAsia="en-US"/>
        </w:rPr>
        <w:t xml:space="preserve"> to</w:t>
      </w:r>
      <w:r w:rsidR="002E55B6">
        <w:rPr>
          <w:lang w:eastAsia="en-US"/>
        </w:rPr>
        <w:t xml:space="preserve"> the NDIS </w:t>
      </w:r>
      <w:r w:rsidR="00171C09">
        <w:rPr>
          <w:lang w:eastAsia="en-US"/>
        </w:rPr>
        <w:t>in 2021</w:t>
      </w:r>
      <w:r w:rsidR="00B23A0F">
        <w:rPr>
          <w:lang w:eastAsia="en-US"/>
        </w:rPr>
        <w:t xml:space="preserve"> followed t</w:t>
      </w:r>
      <w:r w:rsidR="00161574">
        <w:rPr>
          <w:lang w:eastAsia="en-US"/>
        </w:rPr>
        <w:t xml:space="preserve">okenistic consultation </w:t>
      </w:r>
      <w:r w:rsidR="00442C38">
        <w:rPr>
          <w:lang w:eastAsia="en-US"/>
        </w:rPr>
        <w:t xml:space="preserve">processes </w:t>
      </w:r>
      <w:r w:rsidR="00161574">
        <w:rPr>
          <w:lang w:eastAsia="en-US"/>
        </w:rPr>
        <w:t>and a complete lack of understanding of the needs of NDIS participants</w:t>
      </w:r>
      <w:r w:rsidR="00B23A0F">
        <w:rPr>
          <w:lang w:eastAsia="en-US"/>
        </w:rPr>
        <w:t>,</w:t>
      </w:r>
      <w:r w:rsidR="00161574">
        <w:rPr>
          <w:lang w:eastAsia="en-US"/>
        </w:rPr>
        <w:t xml:space="preserve"> le</w:t>
      </w:r>
      <w:r w:rsidR="00B23A0F">
        <w:rPr>
          <w:lang w:eastAsia="en-US"/>
        </w:rPr>
        <w:t>a</w:t>
      </w:r>
      <w:r w:rsidR="00161574">
        <w:rPr>
          <w:lang w:eastAsia="en-US"/>
        </w:rPr>
        <w:t>d</w:t>
      </w:r>
      <w:r w:rsidR="00B23A0F">
        <w:rPr>
          <w:lang w:eastAsia="en-US"/>
        </w:rPr>
        <w:t>ing</w:t>
      </w:r>
      <w:r w:rsidR="00161574">
        <w:rPr>
          <w:lang w:eastAsia="en-US"/>
        </w:rPr>
        <w:t xml:space="preserve"> to almost unprecedented pushback from the disability sector</w:t>
      </w:r>
      <w:r w:rsidR="00B23A0F">
        <w:rPr>
          <w:lang w:eastAsia="en-US"/>
        </w:rPr>
        <w:t xml:space="preserve"> which</w:t>
      </w:r>
      <w:r w:rsidR="00EA04EC">
        <w:rPr>
          <w:lang w:eastAsia="en-US"/>
        </w:rPr>
        <w:t xml:space="preserve"> forc</w:t>
      </w:r>
      <w:r w:rsidR="00B23A0F">
        <w:rPr>
          <w:lang w:eastAsia="en-US"/>
        </w:rPr>
        <w:t>ed</w:t>
      </w:r>
      <w:r w:rsidR="00EA04EC">
        <w:rPr>
          <w:lang w:eastAsia="en-US"/>
        </w:rPr>
        <w:t xml:space="preserve"> the policy to eventually be dropped.</w:t>
      </w:r>
    </w:p>
    <w:p w14:paraId="3E22A9CD" w14:textId="3A9D78F2" w:rsidR="00320108" w:rsidRDefault="00855D7B" w:rsidP="0061318D">
      <w:pPr>
        <w:spacing w:before="240"/>
        <w:rPr>
          <w:lang w:eastAsia="en-US"/>
        </w:rPr>
      </w:pPr>
      <w:r>
        <w:rPr>
          <w:lang w:eastAsia="en-US"/>
        </w:rPr>
        <w:t>A</w:t>
      </w:r>
      <w:r w:rsidR="00EA04EC">
        <w:rPr>
          <w:lang w:eastAsia="en-US"/>
        </w:rPr>
        <w:t xml:space="preserve"> lack of effective consultation with people with disability at a policy level was </w:t>
      </w:r>
      <w:r>
        <w:rPr>
          <w:lang w:eastAsia="en-US"/>
        </w:rPr>
        <w:t xml:space="preserve">also evident </w:t>
      </w:r>
      <w:r w:rsidR="004F670F">
        <w:rPr>
          <w:lang w:eastAsia="en-US"/>
        </w:rPr>
        <w:t xml:space="preserve">in </w:t>
      </w:r>
      <w:r>
        <w:rPr>
          <w:lang w:eastAsia="en-US"/>
        </w:rPr>
        <w:t>the Australian government’s response to the Covid-19 pandemic.</w:t>
      </w:r>
      <w:r w:rsidR="00D40D5A">
        <w:rPr>
          <w:lang w:eastAsia="en-US"/>
        </w:rPr>
        <w:t xml:space="preserve"> </w:t>
      </w:r>
      <w:r w:rsidR="007325AE">
        <w:rPr>
          <w:lang w:eastAsia="en-US"/>
        </w:rPr>
        <w:t>For example,</w:t>
      </w:r>
      <w:r w:rsidR="00D40D5A">
        <w:rPr>
          <w:lang w:eastAsia="en-US"/>
        </w:rPr>
        <w:t xml:space="preserve"> the </w:t>
      </w:r>
      <w:r w:rsidR="003A37C6">
        <w:rPr>
          <w:lang w:eastAsia="en-US"/>
        </w:rPr>
        <w:t xml:space="preserve">introduction of Rapid Antigen Tests </w:t>
      </w:r>
      <w:r w:rsidR="007928B6">
        <w:rPr>
          <w:lang w:eastAsia="en-US"/>
        </w:rPr>
        <w:t xml:space="preserve">as </w:t>
      </w:r>
      <w:r w:rsidR="00FB59B3">
        <w:rPr>
          <w:lang w:eastAsia="en-US"/>
        </w:rPr>
        <w:t>the</w:t>
      </w:r>
      <w:r w:rsidR="007928B6">
        <w:rPr>
          <w:lang w:eastAsia="en-US"/>
        </w:rPr>
        <w:t xml:space="preserve"> primary means</w:t>
      </w:r>
      <w:r w:rsidR="00FB59B3">
        <w:rPr>
          <w:lang w:eastAsia="en-US"/>
        </w:rPr>
        <w:t xml:space="preserve"> </w:t>
      </w:r>
      <w:r w:rsidR="007325AE">
        <w:rPr>
          <w:lang w:eastAsia="en-US"/>
        </w:rPr>
        <w:t>for</w:t>
      </w:r>
      <w:r w:rsidR="00640FD4">
        <w:rPr>
          <w:lang w:eastAsia="en-US"/>
        </w:rPr>
        <w:t xml:space="preserve"> self-testing for Covid-19 </w:t>
      </w:r>
      <w:r w:rsidR="0069341A">
        <w:rPr>
          <w:lang w:eastAsia="en-US"/>
        </w:rPr>
        <w:t>was</w:t>
      </w:r>
      <w:r w:rsidR="00943B3D">
        <w:rPr>
          <w:lang w:eastAsia="en-US"/>
        </w:rPr>
        <w:t>,</w:t>
      </w:r>
      <w:r w:rsidR="0069341A">
        <w:rPr>
          <w:lang w:eastAsia="en-US"/>
        </w:rPr>
        <w:t xml:space="preserve"> and continues to be</w:t>
      </w:r>
      <w:r w:rsidR="00943B3D">
        <w:rPr>
          <w:lang w:eastAsia="en-US"/>
        </w:rPr>
        <w:t>,</w:t>
      </w:r>
      <w:r w:rsidR="004E7260">
        <w:rPr>
          <w:lang w:eastAsia="en-US"/>
        </w:rPr>
        <w:t xml:space="preserve"> inaccessib</w:t>
      </w:r>
      <w:r w:rsidR="0069341A">
        <w:rPr>
          <w:lang w:eastAsia="en-US"/>
        </w:rPr>
        <w:t>le</w:t>
      </w:r>
      <w:r w:rsidR="004E7260">
        <w:rPr>
          <w:lang w:eastAsia="en-US"/>
        </w:rPr>
        <w:t xml:space="preserve"> </w:t>
      </w:r>
      <w:r w:rsidR="007325AE">
        <w:rPr>
          <w:lang w:eastAsia="en-US"/>
        </w:rPr>
        <w:t>to</w:t>
      </w:r>
      <w:r w:rsidR="004E7260">
        <w:rPr>
          <w:lang w:eastAsia="en-US"/>
        </w:rPr>
        <w:t xml:space="preserve"> people w</w:t>
      </w:r>
      <w:r w:rsidR="007B3969">
        <w:rPr>
          <w:lang w:eastAsia="en-US"/>
        </w:rPr>
        <w:t>ho live wi</w:t>
      </w:r>
      <w:r w:rsidR="004E7260">
        <w:rPr>
          <w:lang w:eastAsia="en-US"/>
        </w:rPr>
        <w:t>th a vision impairment</w:t>
      </w:r>
      <w:r w:rsidR="007B3969">
        <w:rPr>
          <w:lang w:eastAsia="en-US"/>
        </w:rPr>
        <w:t>.</w:t>
      </w:r>
      <w:r w:rsidR="004E7260">
        <w:rPr>
          <w:lang w:eastAsia="en-US"/>
        </w:rPr>
        <w:t xml:space="preserve"> </w:t>
      </w:r>
      <w:r w:rsidR="007B3969">
        <w:rPr>
          <w:lang w:eastAsia="en-US"/>
        </w:rPr>
        <w:t xml:space="preserve">Similarly, the use of QR codes to check in </w:t>
      </w:r>
      <w:r w:rsidR="00393E46">
        <w:rPr>
          <w:lang w:eastAsia="en-US"/>
        </w:rPr>
        <w:t xml:space="preserve">to </w:t>
      </w:r>
      <w:r w:rsidR="007B3969">
        <w:rPr>
          <w:lang w:eastAsia="en-US"/>
        </w:rPr>
        <w:t>venues was not accessible to people with vision impairments</w:t>
      </w:r>
      <w:r w:rsidR="00AD5F05">
        <w:rPr>
          <w:lang w:eastAsia="en-US"/>
        </w:rPr>
        <w:t xml:space="preserve"> or people with cognitive disability who find the use of technology challenging.</w:t>
      </w:r>
      <w:r w:rsidR="00C80087">
        <w:rPr>
          <w:lang w:eastAsia="en-US"/>
        </w:rPr>
        <w:t xml:space="preserve"> </w:t>
      </w:r>
      <w:r w:rsidR="002A615F">
        <w:rPr>
          <w:lang w:eastAsia="en-US"/>
        </w:rPr>
        <w:t>Social distancing requirements also had an adverse effect on people with disability</w:t>
      </w:r>
      <w:r w:rsidR="00320108">
        <w:rPr>
          <w:lang w:eastAsia="en-US"/>
        </w:rPr>
        <w:t>. However,</w:t>
      </w:r>
      <w:r w:rsidR="00C80087">
        <w:rPr>
          <w:lang w:eastAsia="en-US"/>
        </w:rPr>
        <w:t xml:space="preserve"> this was not recognised or acknowledged</w:t>
      </w:r>
      <w:r w:rsidR="007937DB">
        <w:rPr>
          <w:lang w:eastAsia="en-US"/>
        </w:rPr>
        <w:t xml:space="preserve"> </w:t>
      </w:r>
      <w:r w:rsidR="00320108">
        <w:rPr>
          <w:lang w:eastAsia="en-US"/>
        </w:rPr>
        <w:t>in</w:t>
      </w:r>
      <w:r w:rsidR="007937DB">
        <w:rPr>
          <w:lang w:eastAsia="en-US"/>
        </w:rPr>
        <w:t xml:space="preserve"> government messaging</w:t>
      </w:r>
      <w:r w:rsidR="005E7920">
        <w:rPr>
          <w:lang w:eastAsia="en-US"/>
        </w:rPr>
        <w:t xml:space="preserve"> </w:t>
      </w:r>
      <w:r w:rsidR="00320108">
        <w:rPr>
          <w:lang w:eastAsia="en-US"/>
        </w:rPr>
        <w:t>about</w:t>
      </w:r>
      <w:r w:rsidR="005E7920">
        <w:rPr>
          <w:lang w:eastAsia="en-US"/>
        </w:rPr>
        <w:t xml:space="preserve"> the restrictions, </w:t>
      </w:r>
      <w:r w:rsidR="005B001E">
        <w:rPr>
          <w:lang w:eastAsia="en-US"/>
        </w:rPr>
        <w:t xml:space="preserve">with </w:t>
      </w:r>
      <w:r w:rsidR="005E7920">
        <w:rPr>
          <w:lang w:eastAsia="en-US"/>
        </w:rPr>
        <w:t>some people with disability experienc</w:t>
      </w:r>
      <w:r w:rsidR="005B001E">
        <w:rPr>
          <w:lang w:eastAsia="en-US"/>
        </w:rPr>
        <w:t>ing</w:t>
      </w:r>
      <w:r w:rsidR="005E7920">
        <w:rPr>
          <w:lang w:eastAsia="en-US"/>
        </w:rPr>
        <w:t xml:space="preserve"> discrimination and vitriol in the community</w:t>
      </w:r>
      <w:r w:rsidR="00220C36">
        <w:rPr>
          <w:lang w:eastAsia="en-US"/>
        </w:rPr>
        <w:t xml:space="preserve"> because of their perceived inability to comply with physical distancing requirements</w:t>
      </w:r>
      <w:r w:rsidR="00DE2FF3">
        <w:rPr>
          <w:lang w:eastAsia="en-US"/>
        </w:rPr>
        <w:t>.</w:t>
      </w:r>
      <w:r w:rsidR="00220C36">
        <w:rPr>
          <w:rStyle w:val="FootnoteReference"/>
          <w:lang w:eastAsia="en-US"/>
        </w:rPr>
        <w:footnoteReference w:id="36"/>
      </w:r>
      <w:r w:rsidR="00712E97" w:rsidRPr="00712E97">
        <w:rPr>
          <w:lang w:eastAsia="en-US"/>
        </w:rPr>
        <w:t xml:space="preserve"> </w:t>
      </w:r>
      <w:r w:rsidR="00D434D6">
        <w:rPr>
          <w:lang w:eastAsia="en-US"/>
        </w:rPr>
        <w:t xml:space="preserve"> </w:t>
      </w:r>
    </w:p>
    <w:p w14:paraId="308F2F43" w14:textId="53B670E3" w:rsidR="000859D9" w:rsidRDefault="008C7393" w:rsidP="00294B04">
      <w:pPr>
        <w:spacing w:before="240"/>
        <w:rPr>
          <w:lang w:eastAsia="en-US"/>
        </w:rPr>
      </w:pPr>
      <w:r>
        <w:rPr>
          <w:lang w:eastAsia="en-US"/>
        </w:rPr>
        <w:t>T</w:t>
      </w:r>
      <w:r w:rsidR="00A65B7C" w:rsidRPr="00A65B7C">
        <w:rPr>
          <w:lang w:eastAsia="en-US"/>
        </w:rPr>
        <w:t>he effective consultation and engagement of people with disability in all levels of decision-making</w:t>
      </w:r>
      <w:r w:rsidR="00AE3330">
        <w:rPr>
          <w:lang w:eastAsia="en-US"/>
        </w:rPr>
        <w:t xml:space="preserve"> is therefore critical</w:t>
      </w:r>
      <w:r w:rsidR="00A65B7C" w:rsidRPr="00A65B7C">
        <w:rPr>
          <w:lang w:eastAsia="en-US"/>
        </w:rPr>
        <w:t xml:space="preserve">. </w:t>
      </w:r>
      <w:r w:rsidR="00A03F75">
        <w:rPr>
          <w:lang w:eastAsia="en-US"/>
        </w:rPr>
        <w:t xml:space="preserve">This includes ensuring people with disability are </w:t>
      </w:r>
      <w:r w:rsidR="00FA140B">
        <w:rPr>
          <w:lang w:eastAsia="en-US"/>
        </w:rPr>
        <w:t>involved in</w:t>
      </w:r>
      <w:r w:rsidR="0007569E">
        <w:rPr>
          <w:lang w:eastAsia="en-US"/>
        </w:rPr>
        <w:t xml:space="preserve"> </w:t>
      </w:r>
      <w:r w:rsidR="00FA140B">
        <w:rPr>
          <w:lang w:eastAsia="en-US"/>
        </w:rPr>
        <w:t xml:space="preserve">co-designing </w:t>
      </w:r>
      <w:r w:rsidR="0007569E">
        <w:rPr>
          <w:lang w:eastAsia="en-US"/>
        </w:rPr>
        <w:t xml:space="preserve">and monitoring </w:t>
      </w:r>
      <w:r w:rsidR="00FA140B">
        <w:rPr>
          <w:lang w:eastAsia="en-US"/>
        </w:rPr>
        <w:t xml:space="preserve">reforms </w:t>
      </w:r>
      <w:r w:rsidR="009D5991">
        <w:rPr>
          <w:lang w:eastAsia="en-US"/>
        </w:rPr>
        <w:t xml:space="preserve">on how best to create inclusive communities </w:t>
      </w:r>
      <w:r w:rsidR="00FA140B">
        <w:rPr>
          <w:lang w:eastAsia="en-US"/>
        </w:rPr>
        <w:t>follow</w:t>
      </w:r>
      <w:r w:rsidR="0007569E">
        <w:rPr>
          <w:lang w:eastAsia="en-US"/>
        </w:rPr>
        <w:t>ing</w:t>
      </w:r>
      <w:r w:rsidR="00FA140B">
        <w:rPr>
          <w:lang w:eastAsia="en-US"/>
        </w:rPr>
        <w:t xml:space="preserve"> this Royal Commission. </w:t>
      </w:r>
      <w:r w:rsidR="00A03F75">
        <w:rPr>
          <w:lang w:eastAsia="en-US"/>
        </w:rPr>
        <w:t>It</w:t>
      </w:r>
      <w:r w:rsidR="00A65B7C" w:rsidRPr="00A65B7C">
        <w:rPr>
          <w:lang w:eastAsia="en-US"/>
        </w:rPr>
        <w:t xml:space="preserve"> requires capacity building of people with disability through supported decision-making, as well as capacity building of other stakeholders to formulate disability inclusive practices and environments</w:t>
      </w:r>
      <w:r w:rsidR="000A35C9">
        <w:rPr>
          <w:lang w:eastAsia="en-US"/>
        </w:rPr>
        <w:t>.</w:t>
      </w:r>
      <w:r w:rsidR="000A35C9">
        <w:rPr>
          <w:rStyle w:val="FootnoteReference"/>
          <w:lang w:eastAsia="en-US"/>
        </w:rPr>
        <w:footnoteReference w:id="37"/>
      </w:r>
      <w:r w:rsidR="00294B04">
        <w:rPr>
          <w:lang w:eastAsia="en-US"/>
        </w:rPr>
        <w:t xml:space="preserve"> </w:t>
      </w:r>
      <w:r w:rsidR="008512AC">
        <w:rPr>
          <w:lang w:eastAsia="en-US"/>
        </w:rPr>
        <w:t>The</w:t>
      </w:r>
      <w:r w:rsidR="00F778EB">
        <w:rPr>
          <w:lang w:eastAsia="en-US"/>
        </w:rPr>
        <w:t xml:space="preserve"> failings of the Covid-19 response highlight the</w:t>
      </w:r>
      <w:r w:rsidR="008512AC">
        <w:rPr>
          <w:lang w:eastAsia="en-US"/>
        </w:rPr>
        <w:t xml:space="preserve"> need </w:t>
      </w:r>
      <w:r w:rsidR="000B22C5">
        <w:rPr>
          <w:lang w:eastAsia="en-US"/>
        </w:rPr>
        <w:t>to ensure</w:t>
      </w:r>
      <w:r w:rsidR="008512AC">
        <w:rPr>
          <w:lang w:eastAsia="en-US"/>
        </w:rPr>
        <w:t xml:space="preserve"> people with disability </w:t>
      </w:r>
      <w:r w:rsidR="000B22C5">
        <w:rPr>
          <w:lang w:eastAsia="en-US"/>
        </w:rPr>
        <w:t xml:space="preserve">are not just included </w:t>
      </w:r>
      <w:r w:rsidR="008512AC">
        <w:rPr>
          <w:lang w:eastAsia="en-US"/>
        </w:rPr>
        <w:t xml:space="preserve">in policy making regarding issues that specifically impact the disability community, </w:t>
      </w:r>
      <w:r w:rsidR="00252FE5">
        <w:rPr>
          <w:lang w:eastAsia="en-US"/>
        </w:rPr>
        <w:t xml:space="preserve">such as the NDIS, </w:t>
      </w:r>
      <w:r w:rsidR="008512AC">
        <w:rPr>
          <w:lang w:eastAsia="en-US"/>
        </w:rPr>
        <w:t xml:space="preserve">but in </w:t>
      </w:r>
      <w:r w:rsidR="000B22C5" w:rsidRPr="0097337F">
        <w:rPr>
          <w:u w:val="single"/>
          <w:lang w:eastAsia="en-US"/>
        </w:rPr>
        <w:t>all</w:t>
      </w:r>
      <w:r w:rsidR="000B22C5">
        <w:rPr>
          <w:lang w:eastAsia="en-US"/>
        </w:rPr>
        <w:t xml:space="preserve"> </w:t>
      </w:r>
      <w:r w:rsidR="008512AC">
        <w:rPr>
          <w:lang w:eastAsia="en-US"/>
        </w:rPr>
        <w:t>policy making</w:t>
      </w:r>
      <w:r w:rsidR="000F7A7E">
        <w:rPr>
          <w:lang w:eastAsia="en-US"/>
        </w:rPr>
        <w:t xml:space="preserve"> that affects the whole community</w:t>
      </w:r>
      <w:r w:rsidR="000B22C5">
        <w:rPr>
          <w:lang w:eastAsia="en-US"/>
        </w:rPr>
        <w:t xml:space="preserve">. </w:t>
      </w:r>
      <w:r w:rsidR="000F7A7E">
        <w:rPr>
          <w:lang w:eastAsia="en-US"/>
        </w:rPr>
        <w:t>Thus, ‘</w:t>
      </w:r>
      <w:r w:rsidR="000F7A7E" w:rsidRPr="00AC631A">
        <w:rPr>
          <w:i/>
          <w:iCs/>
          <w:lang w:eastAsia="en-US"/>
        </w:rPr>
        <w:t>nothing about us, without us</w:t>
      </w:r>
      <w:r w:rsidR="000F7A7E">
        <w:rPr>
          <w:lang w:eastAsia="en-US"/>
        </w:rPr>
        <w:t>’ can be shortened to, ‘</w:t>
      </w:r>
      <w:r w:rsidR="000F7A7E" w:rsidRPr="00AC631A">
        <w:rPr>
          <w:i/>
          <w:iCs/>
          <w:lang w:eastAsia="en-US"/>
        </w:rPr>
        <w:t>nothing without us</w:t>
      </w:r>
      <w:r w:rsidR="001A165A" w:rsidRPr="00AC631A">
        <w:rPr>
          <w:i/>
          <w:iCs/>
          <w:lang w:eastAsia="en-US"/>
        </w:rPr>
        <w:t>.</w:t>
      </w:r>
      <w:r w:rsidR="000F7A7E">
        <w:rPr>
          <w:lang w:eastAsia="en-US"/>
        </w:rPr>
        <w:t>’</w:t>
      </w:r>
    </w:p>
    <w:p w14:paraId="3D0E99B4" w14:textId="77777777" w:rsidR="00D04850" w:rsidRPr="006B1CE4" w:rsidRDefault="00D04850" w:rsidP="00D04850">
      <w:pPr>
        <w:pStyle w:val="Heading1"/>
        <w:spacing w:before="240"/>
        <w:rPr>
          <w:sz w:val="28"/>
          <w:szCs w:val="24"/>
        </w:rPr>
      </w:pPr>
      <w:r w:rsidRPr="006B1CE4">
        <w:rPr>
          <w:sz w:val="28"/>
          <w:szCs w:val="24"/>
        </w:rPr>
        <w:t>Recommendations</w:t>
      </w:r>
    </w:p>
    <w:p w14:paraId="4285A422" w14:textId="40B640A2" w:rsidR="00D2262B" w:rsidRDefault="00D04850" w:rsidP="00ED6D61">
      <w:pPr>
        <w:ind w:left="284" w:hanging="284"/>
        <w:rPr>
          <w:b/>
          <w:bCs/>
          <w:lang w:eastAsia="en-US"/>
        </w:rPr>
      </w:pPr>
      <w:r>
        <w:rPr>
          <w:b/>
          <w:bCs/>
          <w:lang w:eastAsia="en-US"/>
        </w:rPr>
        <w:t>3. Involve people with disability in decision-making processes</w:t>
      </w:r>
    </w:p>
    <w:p w14:paraId="01387B3E" w14:textId="6423176D" w:rsidR="009A246E" w:rsidRPr="000662CD" w:rsidRDefault="009A246E" w:rsidP="000662CD">
      <w:pPr>
        <w:pStyle w:val="ListParagraph"/>
        <w:numPr>
          <w:ilvl w:val="0"/>
          <w:numId w:val="44"/>
        </w:numPr>
        <w:tabs>
          <w:tab w:val="clear" w:pos="288"/>
          <w:tab w:val="left" w:pos="426"/>
        </w:tabs>
        <w:rPr>
          <w:b/>
          <w:bCs/>
          <w:lang w:eastAsia="en-US"/>
        </w:rPr>
      </w:pPr>
      <w:r w:rsidRPr="000662CD">
        <w:rPr>
          <w:b/>
          <w:bCs/>
          <w:lang w:eastAsia="en-US"/>
        </w:rPr>
        <w:t xml:space="preserve">Implement the supported decision-making paradigm required by Article 12 of the CRPD to ensure people with disability retain their legal capacity and have their will and preferences upheld in decision-making </w:t>
      </w:r>
      <w:r w:rsidR="00183FF7">
        <w:rPr>
          <w:b/>
          <w:bCs/>
          <w:lang w:eastAsia="en-US"/>
        </w:rPr>
        <w:t>about</w:t>
      </w:r>
      <w:r w:rsidRPr="000662CD">
        <w:rPr>
          <w:b/>
          <w:bCs/>
          <w:lang w:eastAsia="en-US"/>
        </w:rPr>
        <w:t xml:space="preserve"> their lives. This can be achieved by:</w:t>
      </w:r>
    </w:p>
    <w:p w14:paraId="422AA2CF" w14:textId="77777777" w:rsidR="0087670F" w:rsidRPr="0087670F" w:rsidRDefault="0087670F" w:rsidP="0087670F">
      <w:pPr>
        <w:pStyle w:val="ListParagraph"/>
        <w:numPr>
          <w:ilvl w:val="1"/>
          <w:numId w:val="44"/>
        </w:numPr>
        <w:tabs>
          <w:tab w:val="clear" w:pos="288"/>
          <w:tab w:val="left" w:pos="426"/>
        </w:tabs>
        <w:rPr>
          <w:b/>
          <w:bCs/>
          <w:lang w:eastAsia="en-US"/>
        </w:rPr>
      </w:pPr>
      <w:r w:rsidRPr="0087670F">
        <w:rPr>
          <w:b/>
          <w:bCs/>
          <w:lang w:eastAsia="en-US"/>
        </w:rPr>
        <w:t>Community education campaigns regarding the concept of legal capacity and decision-making support;</w:t>
      </w:r>
    </w:p>
    <w:p w14:paraId="78B4BEF5" w14:textId="77777777" w:rsidR="0087670F" w:rsidRPr="0087670F" w:rsidRDefault="0087670F" w:rsidP="0087670F">
      <w:pPr>
        <w:pStyle w:val="ListParagraph"/>
        <w:numPr>
          <w:ilvl w:val="1"/>
          <w:numId w:val="44"/>
        </w:numPr>
        <w:tabs>
          <w:tab w:val="clear" w:pos="288"/>
          <w:tab w:val="left" w:pos="426"/>
        </w:tabs>
        <w:rPr>
          <w:b/>
          <w:bCs/>
          <w:lang w:eastAsia="en-US"/>
        </w:rPr>
      </w:pPr>
      <w:r w:rsidRPr="0087670F">
        <w:rPr>
          <w:b/>
          <w:bCs/>
          <w:lang w:eastAsia="en-US"/>
        </w:rPr>
        <w:t>Introducing and legislating a nationally consistent supported decision-making framework as per the Australian Law Reform Commission’s work;</w:t>
      </w:r>
    </w:p>
    <w:p w14:paraId="490EB317" w14:textId="77777777" w:rsidR="0087670F" w:rsidRPr="0087670F" w:rsidRDefault="0087670F" w:rsidP="0087670F">
      <w:pPr>
        <w:pStyle w:val="ListParagraph"/>
        <w:numPr>
          <w:ilvl w:val="1"/>
          <w:numId w:val="44"/>
        </w:numPr>
        <w:tabs>
          <w:tab w:val="clear" w:pos="288"/>
          <w:tab w:val="left" w:pos="426"/>
        </w:tabs>
        <w:rPr>
          <w:b/>
          <w:bCs/>
          <w:lang w:eastAsia="en-US"/>
        </w:rPr>
      </w:pPr>
      <w:r w:rsidRPr="0087670F">
        <w:rPr>
          <w:b/>
          <w:bCs/>
          <w:lang w:eastAsia="en-US"/>
        </w:rPr>
        <w:t>Introducing legislative changes that will prevent vexatious applications for, and unnecessary appointments of, substitute decision-makers, including increased scrutiny of applications, more frequent review of appointments, and penalties for unmeritorious applications;</w:t>
      </w:r>
    </w:p>
    <w:p w14:paraId="0562AD6C" w14:textId="4B263A93" w:rsidR="000662CD" w:rsidRPr="009244AB" w:rsidRDefault="0087670F" w:rsidP="00B43BB9">
      <w:pPr>
        <w:pStyle w:val="ListParagraph"/>
        <w:numPr>
          <w:ilvl w:val="1"/>
          <w:numId w:val="44"/>
        </w:numPr>
        <w:tabs>
          <w:tab w:val="clear" w:pos="288"/>
          <w:tab w:val="left" w:pos="426"/>
        </w:tabs>
        <w:rPr>
          <w:b/>
          <w:bCs/>
          <w:lang w:eastAsia="en-US"/>
        </w:rPr>
      </w:pPr>
      <w:r w:rsidRPr="0087670F">
        <w:rPr>
          <w:b/>
          <w:bCs/>
          <w:lang w:eastAsia="en-US"/>
        </w:rPr>
        <w:t>Providing access to legal safeguards, such as free legal representation for all adults subject to applications for substitute decision-makers.</w:t>
      </w:r>
    </w:p>
    <w:p w14:paraId="70B13B1E" w14:textId="026204E6" w:rsidR="009A246E" w:rsidRPr="000662CD" w:rsidRDefault="009A246E" w:rsidP="000662CD">
      <w:pPr>
        <w:pStyle w:val="ListParagraph"/>
        <w:numPr>
          <w:ilvl w:val="0"/>
          <w:numId w:val="44"/>
        </w:numPr>
        <w:tabs>
          <w:tab w:val="clear" w:pos="288"/>
          <w:tab w:val="left" w:pos="426"/>
        </w:tabs>
        <w:rPr>
          <w:b/>
          <w:bCs/>
          <w:lang w:eastAsia="en-US"/>
        </w:rPr>
      </w:pPr>
      <w:r w:rsidRPr="000662CD">
        <w:rPr>
          <w:b/>
          <w:bCs/>
          <w:lang w:eastAsia="en-US"/>
        </w:rPr>
        <w:t>Ensure the inclusion of people with disability at the policy-making level. For example, consider introducing quotas and mandatory requirements for people with disability to actively participate in the development, implementation, and monitoring of policymaking in all aspects of public, government, and community life.</w:t>
      </w:r>
    </w:p>
    <w:p w14:paraId="21CA5567" w14:textId="7B1A0A78" w:rsidR="005074CD" w:rsidRPr="00DF3DC3" w:rsidRDefault="009244AB" w:rsidP="00DF3DC3">
      <w:pPr>
        <w:pStyle w:val="ListParagraph"/>
        <w:numPr>
          <w:ilvl w:val="0"/>
          <w:numId w:val="44"/>
        </w:numPr>
        <w:tabs>
          <w:tab w:val="clear" w:pos="288"/>
          <w:tab w:val="left" w:pos="426"/>
        </w:tabs>
        <w:rPr>
          <w:b/>
          <w:bCs/>
          <w:lang w:eastAsia="en-US"/>
        </w:rPr>
      </w:pPr>
      <w:r w:rsidRPr="009244AB">
        <w:rPr>
          <w:b/>
          <w:bCs/>
          <w:lang w:eastAsia="en-US"/>
        </w:rPr>
        <w:t>Ensure people with disability are involved in co-designing and monitoring reforms that follow the recommendations of the Disability Royal Commission</w:t>
      </w:r>
      <w:r w:rsidR="00D00138">
        <w:rPr>
          <w:b/>
          <w:bCs/>
          <w:lang w:eastAsia="en-US"/>
        </w:rPr>
        <w:t>.</w:t>
      </w:r>
    </w:p>
    <w:p w14:paraId="097DEF30" w14:textId="18FC8D9A" w:rsidR="009912A9" w:rsidRDefault="009912A9" w:rsidP="009912A9">
      <w:pPr>
        <w:pStyle w:val="Heading1"/>
        <w:spacing w:before="240"/>
      </w:pPr>
      <w:r>
        <w:t>4. Ensure access to essential supports</w:t>
      </w:r>
    </w:p>
    <w:p w14:paraId="3E063B6A" w14:textId="6A01B8B6" w:rsidR="0024044C" w:rsidRDefault="000B5011" w:rsidP="0024044C">
      <w:pPr>
        <w:rPr>
          <w:lang w:eastAsia="en-US"/>
        </w:rPr>
      </w:pPr>
      <w:r>
        <w:rPr>
          <w:lang w:eastAsia="en-US"/>
        </w:rPr>
        <w:t>Inclusion is about having a home to live in</w:t>
      </w:r>
      <w:r w:rsidR="00660F53">
        <w:rPr>
          <w:lang w:eastAsia="en-US"/>
        </w:rPr>
        <w:t>, a job, access to healthcare, access to education and a chance to enjoy the company of friends and family and participate in recreational activities.</w:t>
      </w:r>
      <w:r w:rsidR="0064283A">
        <w:rPr>
          <w:rStyle w:val="FootnoteReference"/>
          <w:lang w:eastAsia="en-US"/>
        </w:rPr>
        <w:footnoteReference w:id="38"/>
      </w:r>
      <w:r w:rsidR="008B438D">
        <w:rPr>
          <w:lang w:eastAsia="en-US"/>
        </w:rPr>
        <w:t xml:space="preserve"> The United Nations describe</w:t>
      </w:r>
      <w:r w:rsidR="005B001E">
        <w:rPr>
          <w:lang w:eastAsia="en-US"/>
        </w:rPr>
        <w:t>s</w:t>
      </w:r>
      <w:r w:rsidR="008B438D">
        <w:rPr>
          <w:lang w:eastAsia="en-US"/>
        </w:rPr>
        <w:t xml:space="preserve"> inclusive environments as those in whic</w:t>
      </w:r>
      <w:r w:rsidR="008B2BAA">
        <w:rPr>
          <w:lang w:eastAsia="en-US"/>
        </w:rPr>
        <w:t xml:space="preserve">h ‘persons with disabilities are empowered to live </w:t>
      </w:r>
      <w:r w:rsidR="00337FC6">
        <w:rPr>
          <w:lang w:eastAsia="en-US"/>
        </w:rPr>
        <w:t>independently</w:t>
      </w:r>
      <w:r w:rsidR="008B2BAA">
        <w:rPr>
          <w:lang w:eastAsia="en-US"/>
        </w:rPr>
        <w:t>, are integrated in their community, access information and participate in learning, work and social activities.</w:t>
      </w:r>
      <w:r w:rsidR="009A5753">
        <w:rPr>
          <w:lang w:eastAsia="en-US"/>
        </w:rPr>
        <w:t>’</w:t>
      </w:r>
      <w:r w:rsidR="00337FC6">
        <w:rPr>
          <w:rStyle w:val="FootnoteReference"/>
          <w:lang w:eastAsia="en-US"/>
        </w:rPr>
        <w:footnoteReference w:id="39"/>
      </w:r>
      <w:r w:rsidR="00C50908">
        <w:rPr>
          <w:lang w:eastAsia="en-US"/>
        </w:rPr>
        <w:t xml:space="preserve"> </w:t>
      </w:r>
      <w:r w:rsidR="0024044C">
        <w:rPr>
          <w:lang w:eastAsia="en-US"/>
        </w:rPr>
        <w:t>We know that inclusive communities mitigate against risks of violence, abuse, neglect, and exploitation of people with disabil</w:t>
      </w:r>
      <w:r w:rsidR="0024044C" w:rsidRPr="00DD71EE">
        <w:rPr>
          <w:lang w:eastAsia="en-US"/>
        </w:rPr>
        <w:t>ity</w:t>
      </w:r>
      <w:r w:rsidR="0024044C">
        <w:rPr>
          <w:lang w:eastAsia="en-US"/>
        </w:rPr>
        <w:t xml:space="preserve">. When people with disability are seen as equals and </w:t>
      </w:r>
      <w:r w:rsidR="00E15C99">
        <w:rPr>
          <w:lang w:eastAsia="en-US"/>
        </w:rPr>
        <w:t xml:space="preserve">are </w:t>
      </w:r>
      <w:r w:rsidR="00573925">
        <w:rPr>
          <w:lang w:eastAsia="en-US"/>
        </w:rPr>
        <w:t>considered</w:t>
      </w:r>
      <w:r w:rsidR="0024044C">
        <w:rPr>
          <w:lang w:eastAsia="en-US"/>
        </w:rPr>
        <w:t xml:space="preserve"> valued members of the community, prejudicial attitudes that precipitate the mistreatment of people with disability reduc</w:t>
      </w:r>
      <w:r w:rsidR="0024044C" w:rsidRPr="00B60D37">
        <w:rPr>
          <w:lang w:eastAsia="en-US"/>
        </w:rPr>
        <w:t>e</w:t>
      </w:r>
      <w:r w:rsidR="0024044C">
        <w:rPr>
          <w:lang w:eastAsia="en-US"/>
        </w:rPr>
        <w:t>.</w:t>
      </w:r>
    </w:p>
    <w:p w14:paraId="13A85EF5" w14:textId="7BAEA29B" w:rsidR="00822931" w:rsidRDefault="00822931" w:rsidP="00FA40E1">
      <w:pPr>
        <w:pStyle w:val="Heading2"/>
        <w:spacing w:before="240"/>
        <w:ind w:left="0"/>
        <w:rPr>
          <w:lang w:eastAsia="en-US"/>
        </w:rPr>
      </w:pPr>
      <w:r>
        <w:rPr>
          <w:lang w:eastAsia="en-US"/>
        </w:rPr>
        <w:t>Financial support</w:t>
      </w:r>
    </w:p>
    <w:p w14:paraId="231A65B2" w14:textId="074F17AA" w:rsidR="00321355" w:rsidRDefault="00AC186B" w:rsidP="009912A9">
      <w:pPr>
        <w:rPr>
          <w:lang w:eastAsia="en-US"/>
        </w:rPr>
      </w:pPr>
      <w:r>
        <w:rPr>
          <w:lang w:eastAsia="en-US"/>
        </w:rPr>
        <w:t>However, for many people with disability,</w:t>
      </w:r>
      <w:r w:rsidR="00C77306">
        <w:rPr>
          <w:lang w:eastAsia="en-US"/>
        </w:rPr>
        <w:t xml:space="preserve"> inclusion</w:t>
      </w:r>
      <w:r w:rsidR="00B3171D">
        <w:rPr>
          <w:lang w:eastAsia="en-US"/>
        </w:rPr>
        <w:t xml:space="preserve"> is not </w:t>
      </w:r>
      <w:r w:rsidR="00C77306">
        <w:rPr>
          <w:lang w:eastAsia="en-US"/>
        </w:rPr>
        <w:t>a reality</w:t>
      </w:r>
      <w:r w:rsidR="007B45E3">
        <w:rPr>
          <w:lang w:eastAsia="en-US"/>
        </w:rPr>
        <w:t xml:space="preserve"> because</w:t>
      </w:r>
      <w:r w:rsidR="0099512C">
        <w:rPr>
          <w:lang w:eastAsia="en-US"/>
        </w:rPr>
        <w:t xml:space="preserve"> they do not have the essential supports</w:t>
      </w:r>
      <w:r w:rsidR="006B2549">
        <w:rPr>
          <w:lang w:eastAsia="en-US"/>
        </w:rPr>
        <w:t xml:space="preserve"> that</w:t>
      </w:r>
      <w:r w:rsidR="0099512C">
        <w:rPr>
          <w:lang w:eastAsia="en-US"/>
        </w:rPr>
        <w:t xml:space="preserve"> they </w:t>
      </w:r>
      <w:r w:rsidR="00CD0D19">
        <w:rPr>
          <w:lang w:eastAsia="en-US"/>
        </w:rPr>
        <w:t>require</w:t>
      </w:r>
      <w:r w:rsidR="0099512C">
        <w:rPr>
          <w:lang w:eastAsia="en-US"/>
        </w:rPr>
        <w:t xml:space="preserve"> to</w:t>
      </w:r>
      <w:r w:rsidR="00CD0D19">
        <w:rPr>
          <w:lang w:eastAsia="en-US"/>
        </w:rPr>
        <w:t xml:space="preserve"> fully participate in community life.</w:t>
      </w:r>
      <w:r w:rsidR="00EC0A0C">
        <w:rPr>
          <w:lang w:eastAsia="en-US"/>
        </w:rPr>
        <w:t xml:space="preserve"> </w:t>
      </w:r>
      <w:r w:rsidR="00D57BD6">
        <w:rPr>
          <w:lang w:eastAsia="en-US"/>
        </w:rPr>
        <w:t>T</w:t>
      </w:r>
      <w:r w:rsidR="00EC0A0C">
        <w:rPr>
          <w:lang w:eastAsia="en-US"/>
        </w:rPr>
        <w:t xml:space="preserve">his </w:t>
      </w:r>
      <w:r w:rsidR="00D57BD6">
        <w:rPr>
          <w:lang w:eastAsia="en-US"/>
        </w:rPr>
        <w:t>can be</w:t>
      </w:r>
      <w:r w:rsidR="00CA62FC">
        <w:rPr>
          <w:lang w:eastAsia="en-US"/>
        </w:rPr>
        <w:t xml:space="preserve"> because they are </w:t>
      </w:r>
      <w:r w:rsidR="00D57BD6">
        <w:rPr>
          <w:lang w:eastAsia="en-US"/>
        </w:rPr>
        <w:t xml:space="preserve">either </w:t>
      </w:r>
      <w:r w:rsidR="00CA62FC">
        <w:rPr>
          <w:lang w:eastAsia="en-US"/>
        </w:rPr>
        <w:t>denied opportunities</w:t>
      </w:r>
      <w:r w:rsidR="00EC0A0C">
        <w:rPr>
          <w:lang w:eastAsia="en-US"/>
        </w:rPr>
        <w:t xml:space="preserve"> to earn a minimum wage or for those who cannot work due to disability, </w:t>
      </w:r>
      <w:r w:rsidR="001F4DE2">
        <w:rPr>
          <w:lang w:eastAsia="en-US"/>
        </w:rPr>
        <w:t xml:space="preserve">are forced to </w:t>
      </w:r>
      <w:r w:rsidR="00EC0A0C">
        <w:rPr>
          <w:lang w:eastAsia="en-US"/>
        </w:rPr>
        <w:t>rely upon</w:t>
      </w:r>
      <w:r w:rsidR="000E02BB">
        <w:rPr>
          <w:lang w:eastAsia="en-US"/>
        </w:rPr>
        <w:t xml:space="preserve"> </w:t>
      </w:r>
      <w:r w:rsidR="001F4DE2">
        <w:rPr>
          <w:lang w:eastAsia="en-US"/>
        </w:rPr>
        <w:t>in</w:t>
      </w:r>
      <w:r w:rsidR="000E02BB">
        <w:rPr>
          <w:lang w:eastAsia="en-US"/>
        </w:rPr>
        <w:t>adequate</w:t>
      </w:r>
      <w:r w:rsidR="00EC0A0C">
        <w:rPr>
          <w:lang w:eastAsia="en-US"/>
        </w:rPr>
        <w:t xml:space="preserve"> income security payments</w:t>
      </w:r>
      <w:r w:rsidR="00B33E17">
        <w:rPr>
          <w:lang w:eastAsia="en-US"/>
        </w:rPr>
        <w:t xml:space="preserve"> </w:t>
      </w:r>
      <w:r w:rsidR="007B45E3">
        <w:rPr>
          <w:lang w:eastAsia="en-US"/>
        </w:rPr>
        <w:t>causing</w:t>
      </w:r>
      <w:r w:rsidR="009A5753">
        <w:rPr>
          <w:lang w:eastAsia="en-US"/>
        </w:rPr>
        <w:t xml:space="preserve"> </w:t>
      </w:r>
      <w:r w:rsidR="000E02BB">
        <w:rPr>
          <w:lang w:eastAsia="en-US"/>
        </w:rPr>
        <w:t xml:space="preserve">significant </w:t>
      </w:r>
      <w:r w:rsidR="009A5753">
        <w:rPr>
          <w:lang w:eastAsia="en-US"/>
        </w:rPr>
        <w:t>financial hardship</w:t>
      </w:r>
      <w:r w:rsidR="000E02BB">
        <w:rPr>
          <w:lang w:eastAsia="en-US"/>
        </w:rPr>
        <w:t xml:space="preserve">. </w:t>
      </w:r>
      <w:r w:rsidR="009A3C4D">
        <w:rPr>
          <w:lang w:eastAsia="en-US"/>
        </w:rPr>
        <w:t xml:space="preserve">In Australia, </w:t>
      </w:r>
      <w:r w:rsidR="00283342" w:rsidRPr="00283342">
        <w:rPr>
          <w:lang w:eastAsia="en-US"/>
        </w:rPr>
        <w:t>increasingly onerous mutual obligation requirements compel individuals to continually prove they are deserving of income support. Instead of incentivising individuals to participate in the market and increasing the number of people with disability in employment, this merit-based model imposes unreasonable requirements on individuals living with disability. It decreases social solidarity by perpetuating negative attitudes</w:t>
      </w:r>
      <w:r w:rsidR="000821A8" w:rsidRPr="000821A8">
        <w:t xml:space="preserve"> </w:t>
      </w:r>
      <w:r w:rsidR="000821A8" w:rsidRPr="000821A8">
        <w:rPr>
          <w:lang w:eastAsia="en-US"/>
        </w:rPr>
        <w:t>about welfare recipients that entrench their marginalisation within the labour market.</w:t>
      </w:r>
      <w:r w:rsidR="00E830A9">
        <w:rPr>
          <w:rStyle w:val="FootnoteReference"/>
          <w:lang w:eastAsia="en-US"/>
        </w:rPr>
        <w:footnoteReference w:id="40"/>
      </w:r>
      <w:r w:rsidR="000821A8" w:rsidRPr="000821A8">
        <w:rPr>
          <w:lang w:eastAsia="en-US"/>
        </w:rPr>
        <w:t xml:space="preserve"> And it increases the number of individuals reliant upon the inferior JobSeeker Allowance</w:t>
      </w:r>
      <w:r w:rsidR="00DE100F">
        <w:rPr>
          <w:lang w:eastAsia="en-US"/>
        </w:rPr>
        <w:t xml:space="preserve"> </w:t>
      </w:r>
      <w:r w:rsidR="00223F14">
        <w:rPr>
          <w:lang w:eastAsia="en-US"/>
        </w:rPr>
        <w:t>(</w:t>
      </w:r>
      <w:r w:rsidR="00DE100F">
        <w:rPr>
          <w:lang w:eastAsia="en-US"/>
        </w:rPr>
        <w:t>the eligibility criteria for which is easier to satisfy</w:t>
      </w:r>
      <w:r w:rsidR="00223F14">
        <w:rPr>
          <w:lang w:eastAsia="en-US"/>
        </w:rPr>
        <w:t>)</w:t>
      </w:r>
      <w:r w:rsidR="000821A8" w:rsidRPr="000821A8">
        <w:rPr>
          <w:lang w:eastAsia="en-US"/>
        </w:rPr>
        <w:t xml:space="preserve"> thus forcing many people into a life of poverty.</w:t>
      </w:r>
      <w:r w:rsidR="00343A7F">
        <w:rPr>
          <w:rStyle w:val="FootnoteReference"/>
          <w:lang w:eastAsia="en-US"/>
        </w:rPr>
        <w:footnoteReference w:id="41"/>
      </w:r>
      <w:r w:rsidR="000821A8" w:rsidRPr="000821A8">
        <w:rPr>
          <w:lang w:eastAsia="en-US"/>
        </w:rPr>
        <w:t xml:space="preserve">  </w:t>
      </w:r>
    </w:p>
    <w:p w14:paraId="4F54E6AD" w14:textId="257EBCC2" w:rsidR="00D65F11" w:rsidRDefault="00D65F11" w:rsidP="009912A9">
      <w:pPr>
        <w:rPr>
          <w:lang w:eastAsia="en-US"/>
        </w:rPr>
      </w:pPr>
      <w:r w:rsidRPr="00D65F11">
        <w:rPr>
          <w:lang w:eastAsia="en-US"/>
        </w:rPr>
        <w:t xml:space="preserve">QAI continues to hear from </w:t>
      </w:r>
      <w:r w:rsidR="003D0685">
        <w:rPr>
          <w:lang w:eastAsia="en-US"/>
        </w:rPr>
        <w:t xml:space="preserve">our </w:t>
      </w:r>
      <w:r w:rsidRPr="00D65F11">
        <w:rPr>
          <w:lang w:eastAsia="en-US"/>
        </w:rPr>
        <w:t>clients that the D</w:t>
      </w:r>
      <w:r>
        <w:rPr>
          <w:lang w:eastAsia="en-US"/>
        </w:rPr>
        <w:t xml:space="preserve">isability </w:t>
      </w:r>
      <w:r w:rsidRPr="00D65F11">
        <w:rPr>
          <w:lang w:eastAsia="en-US"/>
        </w:rPr>
        <w:t>S</w:t>
      </w:r>
      <w:r>
        <w:rPr>
          <w:lang w:eastAsia="en-US"/>
        </w:rPr>
        <w:t xml:space="preserve">upport </w:t>
      </w:r>
      <w:r w:rsidRPr="00D65F11">
        <w:rPr>
          <w:lang w:eastAsia="en-US"/>
        </w:rPr>
        <w:t>P</w:t>
      </w:r>
      <w:r>
        <w:rPr>
          <w:lang w:eastAsia="en-US"/>
        </w:rPr>
        <w:t>ension</w:t>
      </w:r>
      <w:r w:rsidR="00743B45">
        <w:rPr>
          <w:lang w:eastAsia="en-US"/>
        </w:rPr>
        <w:t xml:space="preserve"> (DSP)</w:t>
      </w:r>
      <w:r w:rsidRPr="00D65F11">
        <w:rPr>
          <w:lang w:eastAsia="en-US"/>
        </w:rPr>
        <w:t xml:space="preserve"> is inadequate and insufficient to maintain an acceptable standard of living. With a current maximum rate for a single adult of $952.70 (including maximum supplements) per fortnight,</w:t>
      </w:r>
      <w:r w:rsidR="00743B45">
        <w:rPr>
          <w:rStyle w:val="FootnoteReference"/>
          <w:lang w:eastAsia="en-US"/>
        </w:rPr>
        <w:footnoteReference w:id="42"/>
      </w:r>
      <w:r w:rsidRPr="00D65F11">
        <w:rPr>
          <w:lang w:eastAsia="en-US"/>
        </w:rPr>
        <w:t xml:space="preserve"> </w:t>
      </w:r>
      <w:r w:rsidR="00EB4989">
        <w:rPr>
          <w:lang w:eastAsia="en-US"/>
        </w:rPr>
        <w:t>the DSP is $25 below the poverty line.</w:t>
      </w:r>
      <w:r w:rsidR="00EB4989">
        <w:rPr>
          <w:rStyle w:val="FootnoteReference"/>
          <w:lang w:eastAsia="en-US"/>
        </w:rPr>
        <w:footnoteReference w:id="43"/>
      </w:r>
      <w:r w:rsidR="00EB4989">
        <w:rPr>
          <w:lang w:eastAsia="en-US"/>
        </w:rPr>
        <w:t xml:space="preserve"> Consequently, </w:t>
      </w:r>
      <w:r w:rsidRPr="00D65F11">
        <w:rPr>
          <w:lang w:eastAsia="en-US"/>
        </w:rPr>
        <w:t xml:space="preserve">it is unsurprising that DSP recipients live in poverty, forced to make untenable decisions between paying for accommodation, food, bills, or medicines as the payment amount is insufficient to meet </w:t>
      </w:r>
      <w:proofErr w:type="gramStart"/>
      <w:r w:rsidRPr="00D65F11">
        <w:rPr>
          <w:lang w:eastAsia="en-US"/>
        </w:rPr>
        <w:t>all of</w:t>
      </w:r>
      <w:proofErr w:type="gramEnd"/>
      <w:r w:rsidRPr="00D65F11">
        <w:rPr>
          <w:lang w:eastAsia="en-US"/>
        </w:rPr>
        <w:t xml:space="preserve"> a person’s most basic needs. Not all medicines are covered by the Pharmaceutical Benefits Scheme (PBS) and can cost a person living with disability up to $100 a month. The stress and anxiety caused by living </w:t>
      </w:r>
      <w:r w:rsidR="00EB4989">
        <w:rPr>
          <w:lang w:eastAsia="en-US"/>
        </w:rPr>
        <w:t>below</w:t>
      </w:r>
      <w:r w:rsidR="00EB4989" w:rsidRPr="00D65F11">
        <w:rPr>
          <w:lang w:eastAsia="en-US"/>
        </w:rPr>
        <w:t xml:space="preserve"> </w:t>
      </w:r>
      <w:r w:rsidRPr="00D65F11">
        <w:rPr>
          <w:lang w:eastAsia="en-US"/>
        </w:rPr>
        <w:t>the poverty line can</w:t>
      </w:r>
      <w:r w:rsidR="00EA0CF2">
        <w:rPr>
          <w:lang w:eastAsia="en-US"/>
        </w:rPr>
        <w:t xml:space="preserve"> also</w:t>
      </w:r>
      <w:r w:rsidRPr="00D65F11">
        <w:rPr>
          <w:lang w:eastAsia="en-US"/>
        </w:rPr>
        <w:t xml:space="preserve"> negatively impact a person’s mental health and contribute to a decline in overall health and wellbeing for both the individual and their family. That there has been no substantive increase in the payment amount over </w:t>
      </w:r>
      <w:r w:rsidR="00CC10FE">
        <w:rPr>
          <w:lang w:eastAsia="en-US"/>
        </w:rPr>
        <w:t>recent</w:t>
      </w:r>
      <w:r w:rsidR="00CC10FE" w:rsidRPr="00D65F11">
        <w:rPr>
          <w:lang w:eastAsia="en-US"/>
        </w:rPr>
        <w:t xml:space="preserve"> </w:t>
      </w:r>
      <w:r w:rsidRPr="00D65F11">
        <w:rPr>
          <w:lang w:eastAsia="en-US"/>
        </w:rPr>
        <w:t xml:space="preserve">years despite rising costs of living, is an indictment on the attitudes of successive governments towards the worth of people with disability and must be </w:t>
      </w:r>
      <w:r w:rsidR="008076D2">
        <w:rPr>
          <w:lang w:eastAsia="en-US"/>
        </w:rPr>
        <w:t>ad</w:t>
      </w:r>
      <w:r w:rsidRPr="00D65F11">
        <w:rPr>
          <w:lang w:eastAsia="en-US"/>
        </w:rPr>
        <w:t xml:space="preserve">dressed as a response to </w:t>
      </w:r>
      <w:r w:rsidR="009F22F5">
        <w:rPr>
          <w:lang w:eastAsia="en-US"/>
        </w:rPr>
        <w:t>this Royal Commission</w:t>
      </w:r>
      <w:r w:rsidRPr="00D65F11">
        <w:rPr>
          <w:lang w:eastAsia="en-US"/>
        </w:rPr>
        <w:t>.</w:t>
      </w:r>
    </w:p>
    <w:p w14:paraId="0F5A85DF" w14:textId="3C5563F1" w:rsidR="00A44344" w:rsidRDefault="00C315A4" w:rsidP="00C315A4">
      <w:pPr>
        <w:rPr>
          <w:lang w:eastAsia="en-US"/>
        </w:rPr>
      </w:pPr>
      <w:r>
        <w:rPr>
          <w:lang w:eastAsia="en-US"/>
        </w:rPr>
        <w:t xml:space="preserve">In addition to the human rights </w:t>
      </w:r>
      <w:r w:rsidR="00F44B23">
        <w:rPr>
          <w:lang w:eastAsia="en-US"/>
        </w:rPr>
        <w:t xml:space="preserve">arguments </w:t>
      </w:r>
      <w:r w:rsidR="00B35E18">
        <w:rPr>
          <w:lang w:eastAsia="en-US"/>
        </w:rPr>
        <w:t>behind</w:t>
      </w:r>
      <w:r w:rsidR="00986AC1">
        <w:rPr>
          <w:lang w:eastAsia="en-US"/>
        </w:rPr>
        <w:t xml:space="preserve"> </w:t>
      </w:r>
      <w:r>
        <w:rPr>
          <w:lang w:eastAsia="en-US"/>
        </w:rPr>
        <w:t xml:space="preserve">calls to improve income support for people with disability, the economic </w:t>
      </w:r>
      <w:r w:rsidR="00B35E18">
        <w:rPr>
          <w:lang w:eastAsia="en-US"/>
        </w:rPr>
        <w:t>incentive</w:t>
      </w:r>
      <w:r>
        <w:rPr>
          <w:lang w:eastAsia="en-US"/>
        </w:rPr>
        <w:t>s are equally compelling. A study examining the economic implications of increasing the DSP found that a government investment of $3.1 billion a year would close the gap in income and standard of living for the 715,000 households with a member receiving the DSP by nearly 50</w:t>
      </w:r>
      <w:r w:rsidR="007F138F">
        <w:rPr>
          <w:lang w:eastAsia="en-US"/>
        </w:rPr>
        <w:t xml:space="preserve"> per cent</w:t>
      </w:r>
      <w:r>
        <w:rPr>
          <w:lang w:eastAsia="en-US"/>
        </w:rPr>
        <w:t>.</w:t>
      </w:r>
      <w:r w:rsidR="009976D6">
        <w:rPr>
          <w:rStyle w:val="FootnoteReference"/>
          <w:lang w:eastAsia="en-US"/>
        </w:rPr>
        <w:footnoteReference w:id="44"/>
      </w:r>
      <w:r>
        <w:rPr>
          <w:lang w:eastAsia="en-US"/>
        </w:rPr>
        <w:t xml:space="preserve"> This investment and a subsequent reduction in poverty levels will reduce costs in other systems, such as the health care system, as poverty and financial distress are both linked to poor health outcomes and an increased utilisation of health care services.</w:t>
      </w:r>
      <w:r w:rsidR="007941BE">
        <w:rPr>
          <w:rStyle w:val="FootnoteReference"/>
          <w:lang w:eastAsia="en-US"/>
        </w:rPr>
        <w:footnoteReference w:id="45"/>
      </w:r>
      <w:r>
        <w:rPr>
          <w:lang w:eastAsia="en-US"/>
        </w:rPr>
        <w:t xml:space="preserve"> </w:t>
      </w:r>
    </w:p>
    <w:p w14:paraId="1ECFA821" w14:textId="7BCB5F8B" w:rsidR="00096031" w:rsidRDefault="00505EAB" w:rsidP="00096031">
      <w:pPr>
        <w:rPr>
          <w:lang w:eastAsia="en-US"/>
        </w:rPr>
      </w:pPr>
      <w:r>
        <w:rPr>
          <w:rFonts w:cstheme="minorBidi"/>
        </w:rPr>
        <w:t>The inadequacy of the DSP is</w:t>
      </w:r>
      <w:r w:rsidR="00A7592D">
        <w:rPr>
          <w:rFonts w:cstheme="minorBidi"/>
        </w:rPr>
        <w:t xml:space="preserve"> therefore</w:t>
      </w:r>
      <w:r>
        <w:rPr>
          <w:rFonts w:cstheme="minorBidi"/>
        </w:rPr>
        <w:t xml:space="preserve"> a form of institutional economic neglect that denies people with disability access to</w:t>
      </w:r>
      <w:r w:rsidR="008A7E0C">
        <w:rPr>
          <w:rFonts w:cstheme="minorBidi"/>
        </w:rPr>
        <w:t xml:space="preserve"> adequate</w:t>
      </w:r>
      <w:r>
        <w:rPr>
          <w:rFonts w:cstheme="minorBidi"/>
        </w:rPr>
        <w:t xml:space="preserve"> social security and as a result, deni</w:t>
      </w:r>
      <w:r w:rsidR="00EF1248">
        <w:rPr>
          <w:rFonts w:cstheme="minorBidi"/>
        </w:rPr>
        <w:t>es</w:t>
      </w:r>
      <w:r>
        <w:rPr>
          <w:rFonts w:cstheme="minorBidi"/>
        </w:rPr>
        <w:t xml:space="preserve"> their most basic human needs, including food</w:t>
      </w:r>
      <w:r w:rsidR="008A7E0C">
        <w:rPr>
          <w:rFonts w:cstheme="minorBidi"/>
        </w:rPr>
        <w:t>,</w:t>
      </w:r>
      <w:r>
        <w:rPr>
          <w:rFonts w:cstheme="minorBidi"/>
        </w:rPr>
        <w:t xml:space="preserve"> medicine and housing.</w:t>
      </w:r>
      <w:r w:rsidR="00030271">
        <w:rPr>
          <w:rStyle w:val="FootnoteReference"/>
          <w:rFonts w:cstheme="minorBidi"/>
        </w:rPr>
        <w:footnoteReference w:id="46"/>
      </w:r>
      <w:r w:rsidR="0098014A">
        <w:rPr>
          <w:rFonts w:cstheme="minorBidi"/>
        </w:rPr>
        <w:t xml:space="preserve"> </w:t>
      </w:r>
      <w:r w:rsidR="00096031" w:rsidRPr="00370C93">
        <w:rPr>
          <w:lang w:eastAsia="en-US"/>
        </w:rPr>
        <w:t xml:space="preserve">To achieve its true purpose and genuinely financially support individuals unable to earn sufficient income from the labour market, Australia’s social security system must accept greater responsibility for ensuring that </w:t>
      </w:r>
      <w:r w:rsidR="00B61CD3">
        <w:rPr>
          <w:lang w:eastAsia="en-US"/>
        </w:rPr>
        <w:t xml:space="preserve">the level of social security payments for </w:t>
      </w:r>
      <w:r w:rsidR="00096031" w:rsidRPr="00370C93">
        <w:rPr>
          <w:lang w:eastAsia="en-US"/>
        </w:rPr>
        <w:t xml:space="preserve">all </w:t>
      </w:r>
      <w:r w:rsidR="00B61CD3">
        <w:rPr>
          <w:lang w:eastAsia="en-US"/>
        </w:rPr>
        <w:t>Australians</w:t>
      </w:r>
      <w:r w:rsidR="00096031" w:rsidRPr="00370C93">
        <w:rPr>
          <w:lang w:eastAsia="en-US"/>
        </w:rPr>
        <w:t xml:space="preserve">, including people living with disability, </w:t>
      </w:r>
      <w:r w:rsidR="00B61CD3">
        <w:rPr>
          <w:lang w:eastAsia="en-US"/>
        </w:rPr>
        <w:t>are sufficient to support an</w:t>
      </w:r>
      <w:r w:rsidR="00096031" w:rsidRPr="00370C93">
        <w:rPr>
          <w:lang w:eastAsia="en-US"/>
        </w:rPr>
        <w:t xml:space="preserve"> acceptable standard of living. Increasing the accessibility of the DSP and its monetary value will allow the federal government to exemplify the collective responsibility required to ensure that everyone can enjoy the same basic human rights. Societies develop best when altruism is allowed to flourish,</w:t>
      </w:r>
      <w:r w:rsidR="00096031">
        <w:rPr>
          <w:rStyle w:val="FootnoteReference"/>
          <w:lang w:eastAsia="en-US"/>
        </w:rPr>
        <w:footnoteReference w:id="47"/>
      </w:r>
      <w:r w:rsidR="00096031" w:rsidRPr="00370C93">
        <w:rPr>
          <w:lang w:eastAsia="en-US"/>
        </w:rPr>
        <w:t xml:space="preserve"> and this must be reflected in our social security system.</w:t>
      </w:r>
    </w:p>
    <w:p w14:paraId="3BE82204" w14:textId="0F14A41E" w:rsidR="00822931" w:rsidRDefault="00FA40E1" w:rsidP="00FA40E1">
      <w:pPr>
        <w:pStyle w:val="Heading2"/>
        <w:spacing w:before="240"/>
        <w:ind w:left="0"/>
        <w:rPr>
          <w:lang w:eastAsia="en-US"/>
        </w:rPr>
      </w:pPr>
      <w:r>
        <w:rPr>
          <w:lang w:eastAsia="en-US"/>
        </w:rPr>
        <w:t>Disability supports</w:t>
      </w:r>
    </w:p>
    <w:p w14:paraId="7226CA9B" w14:textId="53A6BA4F" w:rsidR="00370C93" w:rsidRDefault="00B93AA3" w:rsidP="009912A9">
      <w:pPr>
        <w:rPr>
          <w:lang w:eastAsia="en-US"/>
        </w:rPr>
      </w:pPr>
      <w:r>
        <w:rPr>
          <w:lang w:eastAsia="en-US"/>
        </w:rPr>
        <w:t>The ability to a</w:t>
      </w:r>
      <w:r w:rsidR="002B4BEF">
        <w:rPr>
          <w:lang w:eastAsia="en-US"/>
        </w:rPr>
        <w:t>ccess</w:t>
      </w:r>
      <w:r w:rsidR="00C46AFE">
        <w:rPr>
          <w:lang w:eastAsia="en-US"/>
        </w:rPr>
        <w:t xml:space="preserve"> essential</w:t>
      </w:r>
      <w:r w:rsidR="002B4BEF">
        <w:rPr>
          <w:lang w:eastAsia="en-US"/>
        </w:rPr>
        <w:t xml:space="preserve"> </w:t>
      </w:r>
      <w:r w:rsidR="00C46AFE">
        <w:rPr>
          <w:lang w:eastAsia="en-US"/>
        </w:rPr>
        <w:t>disability supports is similarly vital</w:t>
      </w:r>
      <w:r w:rsidR="00E14C6C">
        <w:rPr>
          <w:lang w:eastAsia="en-US"/>
        </w:rPr>
        <w:t xml:space="preserve"> to</w:t>
      </w:r>
      <w:r>
        <w:rPr>
          <w:lang w:eastAsia="en-US"/>
        </w:rPr>
        <w:t xml:space="preserve"> a genuinely inclusive society</w:t>
      </w:r>
      <w:r w:rsidR="002B091B">
        <w:rPr>
          <w:lang w:eastAsia="en-US"/>
        </w:rPr>
        <w:t xml:space="preserve">. While the introduction of the NDIS has undoubtedly improved the lives of many Australians with disability, </w:t>
      </w:r>
      <w:r w:rsidR="00BD0A1B">
        <w:rPr>
          <w:lang w:eastAsia="en-US"/>
        </w:rPr>
        <w:t>some</w:t>
      </w:r>
      <w:r w:rsidR="002B091B">
        <w:rPr>
          <w:lang w:eastAsia="en-US"/>
        </w:rPr>
        <w:t xml:space="preserve"> of whom now have access to </w:t>
      </w:r>
      <w:r w:rsidR="0023797D">
        <w:rPr>
          <w:lang w:eastAsia="en-US"/>
        </w:rPr>
        <w:t xml:space="preserve">previously unobtainable yet </w:t>
      </w:r>
      <w:r w:rsidR="00FF7E39">
        <w:rPr>
          <w:lang w:eastAsia="en-US"/>
        </w:rPr>
        <w:t>crucial</w:t>
      </w:r>
      <w:r w:rsidR="0023797D">
        <w:rPr>
          <w:lang w:eastAsia="en-US"/>
        </w:rPr>
        <w:t xml:space="preserve"> support services, </w:t>
      </w:r>
      <w:r w:rsidR="00952D3F">
        <w:rPr>
          <w:lang w:eastAsia="en-US"/>
        </w:rPr>
        <w:t xml:space="preserve">it remains </w:t>
      </w:r>
      <w:r w:rsidR="00914AEC">
        <w:rPr>
          <w:lang w:eastAsia="en-US"/>
        </w:rPr>
        <w:t xml:space="preserve">inaccessible to a significant </w:t>
      </w:r>
      <w:r w:rsidR="00427D11">
        <w:rPr>
          <w:lang w:eastAsia="en-US"/>
        </w:rPr>
        <w:t xml:space="preserve">majority </w:t>
      </w:r>
      <w:r w:rsidR="00914AEC">
        <w:rPr>
          <w:lang w:eastAsia="en-US"/>
        </w:rPr>
        <w:t>of Australians with disability</w:t>
      </w:r>
      <w:r w:rsidR="00424A14">
        <w:rPr>
          <w:lang w:eastAsia="en-US"/>
        </w:rPr>
        <w:t>.</w:t>
      </w:r>
      <w:r w:rsidR="003A5613">
        <w:rPr>
          <w:lang w:eastAsia="en-US"/>
        </w:rPr>
        <w:t xml:space="preserve"> </w:t>
      </w:r>
      <w:r w:rsidR="00903B4F">
        <w:rPr>
          <w:lang w:eastAsia="en-US"/>
        </w:rPr>
        <w:t>Support</w:t>
      </w:r>
      <w:r w:rsidR="005A7AC8">
        <w:rPr>
          <w:lang w:eastAsia="en-US"/>
        </w:rPr>
        <w:t>s</w:t>
      </w:r>
      <w:r w:rsidR="00D96BF9">
        <w:rPr>
          <w:lang w:eastAsia="en-US"/>
        </w:rPr>
        <w:t xml:space="preserve"> such as</w:t>
      </w:r>
      <w:r w:rsidR="00914AEC">
        <w:rPr>
          <w:lang w:eastAsia="en-US"/>
        </w:rPr>
        <w:t xml:space="preserve"> </w:t>
      </w:r>
      <w:r w:rsidR="00D96BF9">
        <w:rPr>
          <w:lang w:eastAsia="en-US"/>
        </w:rPr>
        <w:t xml:space="preserve">assistive technology, </w:t>
      </w:r>
      <w:r w:rsidR="005A7AC8">
        <w:rPr>
          <w:lang w:eastAsia="en-US"/>
        </w:rPr>
        <w:t xml:space="preserve">in-home assistance </w:t>
      </w:r>
      <w:r w:rsidR="00CE1185">
        <w:rPr>
          <w:lang w:eastAsia="en-US"/>
        </w:rPr>
        <w:t>and</w:t>
      </w:r>
      <w:r w:rsidR="00D96BF9">
        <w:rPr>
          <w:lang w:eastAsia="en-US"/>
        </w:rPr>
        <w:t xml:space="preserve"> </w:t>
      </w:r>
      <w:r w:rsidR="005A7AC8">
        <w:rPr>
          <w:lang w:eastAsia="en-US"/>
        </w:rPr>
        <w:t xml:space="preserve">allied health </w:t>
      </w:r>
      <w:r w:rsidR="00D96BF9">
        <w:rPr>
          <w:lang w:eastAsia="en-US"/>
        </w:rPr>
        <w:t>therapy</w:t>
      </w:r>
      <w:r w:rsidR="00903B4F">
        <w:rPr>
          <w:lang w:eastAsia="en-US"/>
        </w:rPr>
        <w:t xml:space="preserve"> </w:t>
      </w:r>
      <w:r w:rsidR="00132D00">
        <w:rPr>
          <w:lang w:eastAsia="en-US"/>
        </w:rPr>
        <w:t xml:space="preserve">can greatly improve </w:t>
      </w:r>
      <w:r w:rsidR="003E3C03">
        <w:rPr>
          <w:lang w:eastAsia="en-US"/>
        </w:rPr>
        <w:t xml:space="preserve">the ability of </w:t>
      </w:r>
      <w:r w:rsidR="00132D00">
        <w:rPr>
          <w:lang w:eastAsia="en-US"/>
        </w:rPr>
        <w:t>a person with disability to access and participate in the community</w:t>
      </w:r>
      <w:r w:rsidR="003E3C03">
        <w:rPr>
          <w:lang w:eastAsia="en-US"/>
        </w:rPr>
        <w:t>.</w:t>
      </w:r>
      <w:r w:rsidR="00132D00">
        <w:rPr>
          <w:lang w:eastAsia="en-US"/>
        </w:rPr>
        <w:t xml:space="preserve"> </w:t>
      </w:r>
      <w:r w:rsidR="003E3C03">
        <w:rPr>
          <w:lang w:eastAsia="en-US"/>
        </w:rPr>
        <w:t>Currently,</w:t>
      </w:r>
      <w:r w:rsidR="00132D00">
        <w:rPr>
          <w:lang w:eastAsia="en-US"/>
        </w:rPr>
        <w:t xml:space="preserve"> the scheme is only accessible to approximately 10% of people with </w:t>
      </w:r>
      <w:r w:rsidR="000D1D2F">
        <w:rPr>
          <w:lang w:eastAsia="en-US"/>
        </w:rPr>
        <w:t xml:space="preserve">a </w:t>
      </w:r>
      <w:r w:rsidR="00132D00">
        <w:rPr>
          <w:lang w:eastAsia="en-US"/>
        </w:rPr>
        <w:t>disabil</w:t>
      </w:r>
      <w:r w:rsidR="00132D00" w:rsidRPr="00572EB3">
        <w:rPr>
          <w:lang w:eastAsia="en-US"/>
        </w:rPr>
        <w:t>ity</w:t>
      </w:r>
      <w:r w:rsidR="00765B86">
        <w:rPr>
          <w:lang w:eastAsia="en-US"/>
        </w:rPr>
        <w:t>.</w:t>
      </w:r>
      <w:r w:rsidR="00572EB3">
        <w:rPr>
          <w:rStyle w:val="FootnoteReference"/>
          <w:lang w:eastAsia="en-US"/>
        </w:rPr>
        <w:footnoteReference w:id="48"/>
      </w:r>
      <w:r w:rsidR="00765B86">
        <w:rPr>
          <w:lang w:eastAsia="en-US"/>
        </w:rPr>
        <w:t xml:space="preserve"> The majority of people with disability, including those aged over 65</w:t>
      </w:r>
      <w:r w:rsidR="00BA686E">
        <w:rPr>
          <w:lang w:eastAsia="en-US"/>
        </w:rPr>
        <w:t>,</w:t>
      </w:r>
      <w:r w:rsidR="00765B86">
        <w:rPr>
          <w:lang w:eastAsia="en-US"/>
        </w:rPr>
        <w:t xml:space="preserve"> </w:t>
      </w:r>
      <w:r w:rsidR="000D1D2F">
        <w:rPr>
          <w:lang w:eastAsia="en-US"/>
        </w:rPr>
        <w:t xml:space="preserve">are </w:t>
      </w:r>
      <w:r w:rsidR="00CA03A1">
        <w:rPr>
          <w:lang w:eastAsia="en-US"/>
        </w:rPr>
        <w:t>excluded from the scheme</w:t>
      </w:r>
      <w:r w:rsidR="000D1D2F">
        <w:rPr>
          <w:lang w:eastAsia="en-US"/>
        </w:rPr>
        <w:t xml:space="preserve"> and</w:t>
      </w:r>
      <w:r w:rsidR="00CA03A1">
        <w:rPr>
          <w:lang w:eastAsia="en-US"/>
        </w:rPr>
        <w:t xml:space="preserve"> </w:t>
      </w:r>
      <w:r w:rsidR="00901866">
        <w:rPr>
          <w:lang w:eastAsia="en-US"/>
        </w:rPr>
        <w:t xml:space="preserve">are </w:t>
      </w:r>
      <w:r w:rsidR="00CA03A1">
        <w:rPr>
          <w:lang w:eastAsia="en-US"/>
        </w:rPr>
        <w:t>forced to rely upon</w:t>
      </w:r>
      <w:r w:rsidR="00765B86">
        <w:rPr>
          <w:lang w:eastAsia="en-US"/>
        </w:rPr>
        <w:t xml:space="preserve"> </w:t>
      </w:r>
      <w:r w:rsidR="000D1D2F">
        <w:rPr>
          <w:lang w:eastAsia="en-US"/>
        </w:rPr>
        <w:t xml:space="preserve">usually </w:t>
      </w:r>
      <w:r w:rsidR="00765B86">
        <w:rPr>
          <w:lang w:eastAsia="en-US"/>
        </w:rPr>
        <w:t>inferior</w:t>
      </w:r>
      <w:r w:rsidR="00BA686E">
        <w:rPr>
          <w:lang w:eastAsia="en-US"/>
        </w:rPr>
        <w:t xml:space="preserve"> state-funded s</w:t>
      </w:r>
      <w:r w:rsidR="00F90A37">
        <w:rPr>
          <w:lang w:eastAsia="en-US"/>
        </w:rPr>
        <w:t>ervice</w:t>
      </w:r>
      <w:r w:rsidR="00BA686E">
        <w:rPr>
          <w:lang w:eastAsia="en-US"/>
        </w:rPr>
        <w:t>s</w:t>
      </w:r>
      <w:r w:rsidR="00DC43FF">
        <w:rPr>
          <w:lang w:eastAsia="en-US"/>
        </w:rPr>
        <w:t xml:space="preserve">. </w:t>
      </w:r>
    </w:p>
    <w:p w14:paraId="3D6986D0" w14:textId="0A38634C" w:rsidR="005B3221" w:rsidRDefault="00874A8A" w:rsidP="009912A9">
      <w:pPr>
        <w:rPr>
          <w:lang w:eastAsia="en-US"/>
        </w:rPr>
      </w:pPr>
      <w:r>
        <w:rPr>
          <w:lang w:eastAsia="en-US"/>
        </w:rPr>
        <w:t>Even f</w:t>
      </w:r>
      <w:r w:rsidR="00A67D4C">
        <w:rPr>
          <w:lang w:eastAsia="en-US"/>
        </w:rPr>
        <w:t>or</w:t>
      </w:r>
      <w:r>
        <w:rPr>
          <w:lang w:eastAsia="en-US"/>
        </w:rPr>
        <w:t xml:space="preserve"> </w:t>
      </w:r>
      <w:r w:rsidR="00D80CA1">
        <w:rPr>
          <w:lang w:eastAsia="en-US"/>
        </w:rPr>
        <w:t>participants</w:t>
      </w:r>
      <w:r w:rsidR="005516F2">
        <w:rPr>
          <w:lang w:eastAsia="en-US"/>
        </w:rPr>
        <w:t xml:space="preserve"> of</w:t>
      </w:r>
      <w:r w:rsidR="00CF2781">
        <w:rPr>
          <w:lang w:eastAsia="en-US"/>
        </w:rPr>
        <w:t xml:space="preserve"> </w:t>
      </w:r>
      <w:r w:rsidR="002A6142">
        <w:rPr>
          <w:lang w:eastAsia="en-US"/>
        </w:rPr>
        <w:t>the NDIS</w:t>
      </w:r>
      <w:r w:rsidR="00A67D4C">
        <w:rPr>
          <w:lang w:eastAsia="en-US"/>
        </w:rPr>
        <w:t>,</w:t>
      </w:r>
      <w:r>
        <w:rPr>
          <w:lang w:eastAsia="en-US"/>
        </w:rPr>
        <w:t xml:space="preserve"> accessing</w:t>
      </w:r>
      <w:r w:rsidR="00461FA9">
        <w:rPr>
          <w:lang w:eastAsia="en-US"/>
        </w:rPr>
        <w:t xml:space="preserve"> reasonable and necessary disability support</w:t>
      </w:r>
      <w:r w:rsidR="00150B6E">
        <w:rPr>
          <w:lang w:eastAsia="en-US"/>
        </w:rPr>
        <w:t>s</w:t>
      </w:r>
      <w:r w:rsidR="00461FA9">
        <w:rPr>
          <w:lang w:eastAsia="en-US"/>
        </w:rPr>
        <w:t xml:space="preserve"> can be problematic.</w:t>
      </w:r>
      <w:r w:rsidR="0068151F">
        <w:rPr>
          <w:lang w:eastAsia="en-US"/>
        </w:rPr>
        <w:t xml:space="preserve"> For example, </w:t>
      </w:r>
      <w:r w:rsidR="005B3221">
        <w:rPr>
          <w:lang w:eastAsia="en-US"/>
        </w:rPr>
        <w:t>w</w:t>
      </w:r>
      <w:r w:rsidR="005B3221" w:rsidRPr="005B3221">
        <w:rPr>
          <w:lang w:eastAsia="en-US"/>
        </w:rPr>
        <w:t>hen considering requests for supports, the NDIA often exclude</w:t>
      </w:r>
      <w:r w:rsidR="003E3C03">
        <w:rPr>
          <w:lang w:eastAsia="en-US"/>
        </w:rPr>
        <w:t>s</w:t>
      </w:r>
      <w:r w:rsidR="005B3221" w:rsidRPr="005B3221">
        <w:rPr>
          <w:lang w:eastAsia="en-US"/>
        </w:rPr>
        <w:t xml:space="preserve"> funding for requested supports on the basis that they are ‘not related’ to a person’s primary disability. In other words, the requested supports do not relate to the impairment for which the participant gained access to the scheme.</w:t>
      </w:r>
      <w:r w:rsidR="00A87B63">
        <w:rPr>
          <w:rStyle w:val="FootnoteReference"/>
          <w:lang w:eastAsia="en-US"/>
        </w:rPr>
        <w:footnoteReference w:id="49"/>
      </w:r>
      <w:r w:rsidR="005B3221" w:rsidRPr="005B3221">
        <w:rPr>
          <w:lang w:eastAsia="en-US"/>
        </w:rPr>
        <w:t xml:space="preserve"> However, this is not a criterion within section 34 of the </w:t>
      </w:r>
      <w:r w:rsidR="005B3221" w:rsidRPr="00C658C0">
        <w:rPr>
          <w:i/>
          <w:iCs/>
          <w:lang w:eastAsia="en-US"/>
        </w:rPr>
        <w:t>N</w:t>
      </w:r>
      <w:r w:rsidR="00C658C0" w:rsidRPr="00C658C0">
        <w:rPr>
          <w:i/>
          <w:iCs/>
          <w:lang w:eastAsia="en-US"/>
        </w:rPr>
        <w:t xml:space="preserve">ational </w:t>
      </w:r>
      <w:r w:rsidR="005B3221" w:rsidRPr="00C658C0">
        <w:rPr>
          <w:i/>
          <w:iCs/>
          <w:lang w:eastAsia="en-US"/>
        </w:rPr>
        <w:t>D</w:t>
      </w:r>
      <w:r w:rsidR="00C658C0" w:rsidRPr="00C658C0">
        <w:rPr>
          <w:i/>
          <w:iCs/>
          <w:lang w:eastAsia="en-US"/>
        </w:rPr>
        <w:t xml:space="preserve">isability </w:t>
      </w:r>
      <w:r w:rsidR="005B3221" w:rsidRPr="00C658C0">
        <w:rPr>
          <w:i/>
          <w:iCs/>
          <w:lang w:eastAsia="en-US"/>
        </w:rPr>
        <w:t>I</w:t>
      </w:r>
      <w:r w:rsidR="00C658C0" w:rsidRPr="00C658C0">
        <w:rPr>
          <w:i/>
          <w:iCs/>
          <w:lang w:eastAsia="en-US"/>
        </w:rPr>
        <w:t xml:space="preserve">nsurance </w:t>
      </w:r>
      <w:r w:rsidR="005B3221" w:rsidRPr="00C658C0">
        <w:rPr>
          <w:i/>
          <w:iCs/>
          <w:lang w:eastAsia="en-US"/>
        </w:rPr>
        <w:t>S</w:t>
      </w:r>
      <w:r w:rsidR="00C658C0" w:rsidRPr="00C658C0">
        <w:rPr>
          <w:i/>
          <w:iCs/>
          <w:lang w:eastAsia="en-US"/>
        </w:rPr>
        <w:t>cheme</w:t>
      </w:r>
      <w:r w:rsidR="005B3221" w:rsidRPr="00C658C0">
        <w:rPr>
          <w:i/>
          <w:iCs/>
          <w:lang w:eastAsia="en-US"/>
        </w:rPr>
        <w:t xml:space="preserve"> Act</w:t>
      </w:r>
      <w:r w:rsidR="00C658C0" w:rsidRPr="00C658C0">
        <w:rPr>
          <w:i/>
          <w:iCs/>
          <w:lang w:eastAsia="en-US"/>
        </w:rPr>
        <w:t xml:space="preserve"> 2013</w:t>
      </w:r>
      <w:r w:rsidR="00C658C0">
        <w:rPr>
          <w:lang w:eastAsia="en-US"/>
        </w:rPr>
        <w:t xml:space="preserve"> (Cth)</w:t>
      </w:r>
      <w:r w:rsidR="009B3DC8">
        <w:rPr>
          <w:lang w:eastAsia="en-US"/>
        </w:rPr>
        <w:t xml:space="preserve"> which outlines the criteria for reasonable and necessary supports</w:t>
      </w:r>
      <w:r w:rsidR="005B3221" w:rsidRPr="005B3221">
        <w:rPr>
          <w:lang w:eastAsia="en-US"/>
        </w:rPr>
        <w:t>, nor</w:t>
      </w:r>
      <w:r w:rsidR="009B3DC8">
        <w:rPr>
          <w:lang w:eastAsia="en-US"/>
        </w:rPr>
        <w:t xml:space="preserve"> is it contained</w:t>
      </w:r>
      <w:r w:rsidR="005B3221" w:rsidRPr="005B3221">
        <w:rPr>
          <w:lang w:eastAsia="en-US"/>
        </w:rPr>
        <w:t xml:space="preserve"> within any of the Rules. Once a person becomes a participant, their function and needs are, and should be, viewed as a whole</w:t>
      </w:r>
      <w:r w:rsidR="003B3DAC">
        <w:rPr>
          <w:lang w:eastAsia="en-US"/>
        </w:rPr>
        <w:t>. T</w:t>
      </w:r>
      <w:r w:rsidR="005B3221" w:rsidRPr="005B3221">
        <w:rPr>
          <w:lang w:eastAsia="en-US"/>
        </w:rPr>
        <w:t>heir status as a participant is not qualified</w:t>
      </w:r>
      <w:r w:rsidR="004D41BD">
        <w:rPr>
          <w:lang w:eastAsia="en-US"/>
        </w:rPr>
        <w:t xml:space="preserve"> </w:t>
      </w:r>
      <w:r w:rsidR="003E3C03">
        <w:rPr>
          <w:lang w:eastAsia="en-US"/>
        </w:rPr>
        <w:t>—</w:t>
      </w:r>
      <w:r w:rsidR="005B3221" w:rsidRPr="005B3221">
        <w:rPr>
          <w:lang w:eastAsia="en-US"/>
        </w:rPr>
        <w:t xml:space="preserve"> they are not a participant only in relation to conditions A or B. They either are a </w:t>
      </w:r>
      <w:proofErr w:type="gramStart"/>
      <w:r w:rsidR="005B3221" w:rsidRPr="005B3221">
        <w:rPr>
          <w:lang w:eastAsia="en-US"/>
        </w:rPr>
        <w:t>participant</w:t>
      </w:r>
      <w:proofErr w:type="gramEnd"/>
      <w:r w:rsidR="005B3221" w:rsidRPr="005B3221">
        <w:rPr>
          <w:lang w:eastAsia="en-US"/>
        </w:rPr>
        <w:t xml:space="preserve"> or they are not. While the issue was considered in the case of </w:t>
      </w:r>
      <w:r w:rsidR="005B3221" w:rsidRPr="00E633FA">
        <w:rPr>
          <w:i/>
          <w:iCs/>
          <w:lang w:eastAsia="en-US"/>
        </w:rPr>
        <w:t>McLaughlin</w:t>
      </w:r>
      <w:r w:rsidR="005B3221" w:rsidRPr="005B3221">
        <w:rPr>
          <w:lang w:eastAsia="en-US"/>
        </w:rPr>
        <w:t>, in which the AAT found that “supports that may be funded in a participant’s plan are not limited to supports which relate to the impairment/s which qualified them for access to the NDIS”,</w:t>
      </w:r>
      <w:r w:rsidR="0038030C">
        <w:rPr>
          <w:rStyle w:val="FootnoteReference"/>
          <w:lang w:eastAsia="en-US"/>
        </w:rPr>
        <w:footnoteReference w:id="50"/>
      </w:r>
      <w:r w:rsidR="005B3221" w:rsidRPr="005B3221">
        <w:rPr>
          <w:lang w:eastAsia="en-US"/>
        </w:rPr>
        <w:t xml:space="preserve"> the NDIA </w:t>
      </w:r>
      <w:r w:rsidR="003E3C03">
        <w:rPr>
          <w:lang w:eastAsia="en-US"/>
        </w:rPr>
        <w:t>is</w:t>
      </w:r>
      <w:r w:rsidR="003E3C03" w:rsidRPr="005B3221">
        <w:rPr>
          <w:lang w:eastAsia="en-US"/>
        </w:rPr>
        <w:t xml:space="preserve"> </w:t>
      </w:r>
      <w:r w:rsidR="005B3221" w:rsidRPr="005B3221">
        <w:rPr>
          <w:lang w:eastAsia="en-US"/>
        </w:rPr>
        <w:t xml:space="preserve">yet to change </w:t>
      </w:r>
      <w:r w:rsidR="003E3C03">
        <w:rPr>
          <w:lang w:eastAsia="en-US"/>
        </w:rPr>
        <w:t>its</w:t>
      </w:r>
      <w:r w:rsidR="003E3C03" w:rsidRPr="005B3221">
        <w:rPr>
          <w:lang w:eastAsia="en-US"/>
        </w:rPr>
        <w:t xml:space="preserve"> </w:t>
      </w:r>
      <w:r w:rsidR="005B3221" w:rsidRPr="005B3221">
        <w:rPr>
          <w:lang w:eastAsia="en-US"/>
        </w:rPr>
        <w:t xml:space="preserve">approach which appears to be based on a misinterpretation of rule 5.1(b) of the </w:t>
      </w:r>
      <w:r w:rsidR="005B3221" w:rsidRPr="00827653">
        <w:rPr>
          <w:i/>
          <w:lang w:eastAsia="en-US"/>
        </w:rPr>
        <w:t>NDIS (Supports for Participants) Rules</w:t>
      </w:r>
      <w:r w:rsidR="00636BD1">
        <w:rPr>
          <w:i/>
          <w:lang w:eastAsia="en-US"/>
        </w:rPr>
        <w:t xml:space="preserve"> </w:t>
      </w:r>
      <w:r w:rsidR="00636BD1">
        <w:rPr>
          <w:iCs/>
          <w:lang w:eastAsia="en-US"/>
        </w:rPr>
        <w:t xml:space="preserve">which states that a support will not be </w:t>
      </w:r>
      <w:r w:rsidR="004661C9">
        <w:rPr>
          <w:iCs/>
          <w:lang w:eastAsia="en-US"/>
        </w:rPr>
        <w:t>funded</w:t>
      </w:r>
      <w:r w:rsidR="00636BD1">
        <w:rPr>
          <w:iCs/>
          <w:lang w:eastAsia="en-US"/>
        </w:rPr>
        <w:t xml:space="preserve"> if it is not related to the participant’s disability</w:t>
      </w:r>
      <w:r w:rsidR="005B3221" w:rsidRPr="005B3221">
        <w:rPr>
          <w:lang w:eastAsia="en-US"/>
        </w:rPr>
        <w:t>.</w:t>
      </w:r>
      <w:r w:rsidR="006F2E20">
        <w:rPr>
          <w:rStyle w:val="FootnoteReference"/>
          <w:lang w:eastAsia="en-US"/>
        </w:rPr>
        <w:footnoteReference w:id="51"/>
      </w:r>
    </w:p>
    <w:p w14:paraId="15719ACA" w14:textId="5F5C1FAF" w:rsidR="004F101A" w:rsidRDefault="004F101A" w:rsidP="009912A9">
      <w:pPr>
        <w:rPr>
          <w:lang w:eastAsia="en-US"/>
        </w:rPr>
      </w:pPr>
      <w:r w:rsidRPr="004F101A">
        <w:rPr>
          <w:lang w:eastAsia="en-US"/>
        </w:rPr>
        <w:t xml:space="preserve">The use of certain language and processes can </w:t>
      </w:r>
      <w:r>
        <w:rPr>
          <w:lang w:eastAsia="en-US"/>
        </w:rPr>
        <w:t xml:space="preserve">also </w:t>
      </w:r>
      <w:r w:rsidRPr="004F101A">
        <w:rPr>
          <w:lang w:eastAsia="en-US"/>
        </w:rPr>
        <w:t xml:space="preserve">be inaccessible for participants from CALD </w:t>
      </w:r>
      <w:r w:rsidR="00D84F11">
        <w:rPr>
          <w:lang w:eastAsia="en-US"/>
        </w:rPr>
        <w:t>communities</w:t>
      </w:r>
      <w:r w:rsidR="00D84F11" w:rsidRPr="004F101A">
        <w:rPr>
          <w:lang w:eastAsia="en-US"/>
        </w:rPr>
        <w:t xml:space="preserve"> </w:t>
      </w:r>
      <w:r w:rsidRPr="004F101A">
        <w:rPr>
          <w:lang w:eastAsia="en-US"/>
        </w:rPr>
        <w:t>and First Nations Australians. For example, First Nations Australians do not have a culturally equivalent word for ‘disabilit</w:t>
      </w:r>
      <w:r w:rsidRPr="00530F3E">
        <w:rPr>
          <w:lang w:eastAsia="en-US"/>
        </w:rPr>
        <w:t>y’</w:t>
      </w:r>
      <w:r w:rsidRPr="004F101A">
        <w:rPr>
          <w:lang w:eastAsia="en-US"/>
        </w:rPr>
        <w:t xml:space="preserve"> and </w:t>
      </w:r>
      <w:r w:rsidR="00E613A2">
        <w:rPr>
          <w:lang w:eastAsia="en-US"/>
        </w:rPr>
        <w:t>can</w:t>
      </w:r>
      <w:r w:rsidRPr="004F101A">
        <w:rPr>
          <w:lang w:eastAsia="en-US"/>
        </w:rPr>
        <w:t xml:space="preserve"> find the task of gathering evidence to describe their disability additionally challeng</w:t>
      </w:r>
      <w:r w:rsidRPr="00E879DE">
        <w:rPr>
          <w:lang w:eastAsia="en-US"/>
        </w:rPr>
        <w:t>ing</w:t>
      </w:r>
      <w:r w:rsidRPr="004F101A">
        <w:rPr>
          <w:lang w:eastAsia="en-US"/>
        </w:rPr>
        <w:t>.</w:t>
      </w:r>
      <w:r w:rsidR="0047768A">
        <w:rPr>
          <w:lang w:eastAsia="en-US"/>
        </w:rPr>
        <w:t xml:space="preserve"> Accessing disability support services is also notoriously </w:t>
      </w:r>
      <w:r w:rsidR="006F63EF">
        <w:rPr>
          <w:lang w:eastAsia="en-US"/>
        </w:rPr>
        <w:t xml:space="preserve">difficult </w:t>
      </w:r>
      <w:r w:rsidR="0047768A">
        <w:rPr>
          <w:lang w:eastAsia="en-US"/>
        </w:rPr>
        <w:t xml:space="preserve">in regional and remote parts of </w:t>
      </w:r>
      <w:r w:rsidR="00AA5BFA">
        <w:rPr>
          <w:lang w:eastAsia="en-US"/>
        </w:rPr>
        <w:t>Queensland where the market is extremely ‘thin’ and people with disability are</w:t>
      </w:r>
      <w:r w:rsidR="00B92BB4">
        <w:rPr>
          <w:lang w:eastAsia="en-US"/>
        </w:rPr>
        <w:t xml:space="preserve"> sometimes forced to leave their communities </w:t>
      </w:r>
      <w:proofErr w:type="gramStart"/>
      <w:r w:rsidR="00B92BB4">
        <w:rPr>
          <w:lang w:eastAsia="en-US"/>
        </w:rPr>
        <w:t>in order to</w:t>
      </w:r>
      <w:proofErr w:type="gramEnd"/>
      <w:r w:rsidR="00B92BB4">
        <w:rPr>
          <w:lang w:eastAsia="en-US"/>
        </w:rPr>
        <w:t xml:space="preserve"> access the services they need.</w:t>
      </w:r>
    </w:p>
    <w:p w14:paraId="585EA8DE" w14:textId="23C1DC2C" w:rsidR="003B5702" w:rsidRDefault="003E7E2B" w:rsidP="009912A9">
      <w:pPr>
        <w:rPr>
          <w:lang w:eastAsia="en-US"/>
        </w:rPr>
      </w:pPr>
      <w:r>
        <w:rPr>
          <w:lang w:eastAsia="en-US"/>
        </w:rPr>
        <w:t>T</w:t>
      </w:r>
      <w:r w:rsidR="000B108D" w:rsidRPr="000B108D">
        <w:rPr>
          <w:lang w:eastAsia="en-US"/>
        </w:rPr>
        <w:t xml:space="preserve">he NDIS is about improving the lives of Australians with </w:t>
      </w:r>
      <w:proofErr w:type="gramStart"/>
      <w:r w:rsidR="0083121D" w:rsidRPr="000B108D">
        <w:rPr>
          <w:lang w:eastAsia="en-US"/>
        </w:rPr>
        <w:t>disability</w:t>
      </w:r>
      <w:proofErr w:type="gramEnd"/>
      <w:r w:rsidR="000B108D" w:rsidRPr="000B108D">
        <w:rPr>
          <w:lang w:eastAsia="en-US"/>
        </w:rPr>
        <w:t xml:space="preserve"> and this must remain at the forefront of policy reform in this area. If implemented properly, the NDIS offer</w:t>
      </w:r>
      <w:r w:rsidR="003E3C03">
        <w:rPr>
          <w:lang w:eastAsia="en-US"/>
        </w:rPr>
        <w:t>s many</w:t>
      </w:r>
      <w:r w:rsidR="000B108D" w:rsidRPr="000B108D">
        <w:rPr>
          <w:lang w:eastAsia="en-US"/>
        </w:rPr>
        <w:t xml:space="preserve"> people with disability </w:t>
      </w:r>
      <w:r w:rsidR="003E3C03">
        <w:rPr>
          <w:lang w:eastAsia="en-US"/>
        </w:rPr>
        <w:t>supports</w:t>
      </w:r>
      <w:r w:rsidR="000B108D" w:rsidRPr="000B108D">
        <w:rPr>
          <w:lang w:eastAsia="en-US"/>
        </w:rPr>
        <w:t xml:space="preserve"> to effectively participate in their community. Participants can enjoy a life characterised by autonomy, choice, </w:t>
      </w:r>
      <w:r w:rsidR="004D7DF0" w:rsidRPr="000B108D">
        <w:rPr>
          <w:lang w:eastAsia="en-US"/>
        </w:rPr>
        <w:t>control,</w:t>
      </w:r>
      <w:r w:rsidR="000B108D" w:rsidRPr="000B108D">
        <w:rPr>
          <w:lang w:eastAsia="en-US"/>
        </w:rPr>
        <w:t xml:space="preserve"> and a sense of value and belonging that are integral to inclusion, and which mitigate against the risks of violence, abuse, </w:t>
      </w:r>
      <w:r w:rsidR="00D70A96" w:rsidRPr="000B108D">
        <w:rPr>
          <w:lang w:eastAsia="en-US"/>
        </w:rPr>
        <w:t>neglect,</w:t>
      </w:r>
      <w:r w:rsidR="000B108D" w:rsidRPr="000B108D">
        <w:rPr>
          <w:lang w:eastAsia="en-US"/>
        </w:rPr>
        <w:t xml:space="preserve"> and exploitation. </w:t>
      </w:r>
      <w:r w:rsidR="003E3C03">
        <w:rPr>
          <w:lang w:eastAsia="en-US"/>
        </w:rPr>
        <w:t>I</w:t>
      </w:r>
      <w:r w:rsidR="000B108D" w:rsidRPr="000B108D">
        <w:rPr>
          <w:lang w:eastAsia="en-US"/>
        </w:rPr>
        <w:t>t can</w:t>
      </w:r>
      <w:r w:rsidR="003E3C03">
        <w:rPr>
          <w:lang w:eastAsia="en-US"/>
        </w:rPr>
        <w:t xml:space="preserve"> also</w:t>
      </w:r>
      <w:r w:rsidR="000B108D" w:rsidRPr="000B108D">
        <w:rPr>
          <w:lang w:eastAsia="en-US"/>
        </w:rPr>
        <w:t xml:space="preserve"> model how service systems can uphold the rights and inherent dignity of people with disability by providing tailored supports that meet their individual needs, something which other service systems can learn from.</w:t>
      </w:r>
    </w:p>
    <w:p w14:paraId="53415949" w14:textId="77777777" w:rsidR="00005A76" w:rsidRPr="006B1CE4" w:rsidRDefault="00005A76" w:rsidP="00005A76">
      <w:pPr>
        <w:pStyle w:val="Heading1"/>
        <w:spacing w:before="240"/>
        <w:rPr>
          <w:sz w:val="28"/>
          <w:szCs w:val="24"/>
        </w:rPr>
      </w:pPr>
      <w:r w:rsidRPr="006B1CE4">
        <w:rPr>
          <w:sz w:val="28"/>
          <w:szCs w:val="24"/>
        </w:rPr>
        <w:t>Recommendations</w:t>
      </w:r>
    </w:p>
    <w:p w14:paraId="0D0B35C4" w14:textId="1F47059A" w:rsidR="00005A76" w:rsidRDefault="00005A76" w:rsidP="00005A76">
      <w:pPr>
        <w:rPr>
          <w:b/>
          <w:bCs/>
          <w:lang w:eastAsia="en-US"/>
        </w:rPr>
      </w:pPr>
      <w:r>
        <w:rPr>
          <w:b/>
          <w:bCs/>
          <w:lang w:eastAsia="en-US"/>
        </w:rPr>
        <w:t>4. Ensure access to essential supports</w:t>
      </w:r>
    </w:p>
    <w:p w14:paraId="002B2560" w14:textId="77777777" w:rsidR="0006487C" w:rsidRPr="0006487C" w:rsidRDefault="0006487C" w:rsidP="00A17FBE">
      <w:pPr>
        <w:pStyle w:val="ListParagraph"/>
        <w:numPr>
          <w:ilvl w:val="0"/>
          <w:numId w:val="47"/>
        </w:numPr>
        <w:ind w:hanging="357"/>
        <w:rPr>
          <w:b/>
          <w:bCs/>
          <w:lang w:eastAsia="en-US"/>
        </w:rPr>
      </w:pPr>
      <w:r w:rsidRPr="0006487C">
        <w:rPr>
          <w:b/>
          <w:bCs/>
          <w:lang w:eastAsia="en-US"/>
        </w:rPr>
        <w:t xml:space="preserve">Australia’s social security system must accept greater responsibility for ensuring that all members of society, including people living with disability, have access to an acceptable standard of living. </w:t>
      </w:r>
      <w:proofErr w:type="gramStart"/>
      <w:r w:rsidRPr="0006487C">
        <w:rPr>
          <w:b/>
          <w:bCs/>
          <w:lang w:eastAsia="en-US"/>
        </w:rPr>
        <w:t>In light of</w:t>
      </w:r>
      <w:proofErr w:type="gramEnd"/>
      <w:r w:rsidRPr="0006487C">
        <w:rPr>
          <w:b/>
          <w:bCs/>
          <w:lang w:eastAsia="en-US"/>
        </w:rPr>
        <w:t xml:space="preserve"> the economic benefits of improved financial security;</w:t>
      </w:r>
    </w:p>
    <w:p w14:paraId="12458FBF" w14:textId="2B49BC67" w:rsidR="0006487C" w:rsidRPr="0006487C" w:rsidRDefault="0006487C" w:rsidP="00A17FBE">
      <w:pPr>
        <w:numPr>
          <w:ilvl w:val="0"/>
          <w:numId w:val="32"/>
        </w:numPr>
        <w:ind w:hanging="357"/>
        <w:contextualSpacing/>
        <w:rPr>
          <w:b/>
          <w:bCs/>
          <w:lang w:eastAsia="en-US"/>
        </w:rPr>
      </w:pPr>
      <w:r w:rsidRPr="0006487C">
        <w:rPr>
          <w:b/>
          <w:bCs/>
          <w:lang w:eastAsia="en-US"/>
        </w:rPr>
        <w:t>Increase the monetary value of the Disability Support Pension;</w:t>
      </w:r>
    </w:p>
    <w:p w14:paraId="11A84AE3" w14:textId="3C3980C8" w:rsidR="0006487C" w:rsidRPr="0006487C" w:rsidRDefault="0006487C" w:rsidP="00A17FBE">
      <w:pPr>
        <w:numPr>
          <w:ilvl w:val="0"/>
          <w:numId w:val="32"/>
        </w:numPr>
        <w:ind w:hanging="357"/>
        <w:contextualSpacing/>
        <w:rPr>
          <w:b/>
          <w:bCs/>
          <w:lang w:eastAsia="en-US"/>
        </w:rPr>
      </w:pPr>
      <w:r w:rsidRPr="0006487C">
        <w:rPr>
          <w:b/>
          <w:bCs/>
          <w:lang w:eastAsia="en-US"/>
        </w:rPr>
        <w:t xml:space="preserve">Ensure </w:t>
      </w:r>
      <w:r w:rsidR="000452BA">
        <w:rPr>
          <w:b/>
          <w:bCs/>
          <w:lang w:eastAsia="en-US"/>
        </w:rPr>
        <w:t>the DSP</w:t>
      </w:r>
      <w:r w:rsidR="00B05E3B">
        <w:rPr>
          <w:b/>
          <w:bCs/>
          <w:lang w:eastAsia="en-US"/>
        </w:rPr>
        <w:t xml:space="preserve"> </w:t>
      </w:r>
      <w:r w:rsidRPr="0006487C">
        <w:rPr>
          <w:b/>
          <w:bCs/>
          <w:lang w:eastAsia="en-US"/>
        </w:rPr>
        <w:t>remains a constant safety net rather than one that is taken away when recipients try to participate in employment to the best of their abilities;</w:t>
      </w:r>
    </w:p>
    <w:p w14:paraId="0A2FC989" w14:textId="610E9B90" w:rsidR="0006487C" w:rsidRPr="0006487C" w:rsidRDefault="0006487C" w:rsidP="00A17FBE">
      <w:pPr>
        <w:numPr>
          <w:ilvl w:val="0"/>
          <w:numId w:val="32"/>
        </w:numPr>
        <w:ind w:hanging="357"/>
        <w:contextualSpacing/>
        <w:rPr>
          <w:b/>
          <w:bCs/>
          <w:lang w:eastAsia="en-US"/>
        </w:rPr>
      </w:pPr>
      <w:r w:rsidRPr="0006487C">
        <w:rPr>
          <w:b/>
          <w:bCs/>
          <w:lang w:eastAsia="en-US"/>
        </w:rPr>
        <w:t>Reform the way in which eligibility for the Disability Support Pension is assessed. For example, reinstat</w:t>
      </w:r>
      <w:r w:rsidR="0010774C">
        <w:rPr>
          <w:b/>
          <w:bCs/>
          <w:lang w:eastAsia="en-US"/>
        </w:rPr>
        <w:t>e the</w:t>
      </w:r>
      <w:r w:rsidRPr="0006487C">
        <w:rPr>
          <w:b/>
          <w:bCs/>
          <w:lang w:eastAsia="en-US"/>
        </w:rPr>
        <w:t xml:space="preserve"> medical evidence template for General Practitioners and remov</w:t>
      </w:r>
      <w:r w:rsidR="00A9344E">
        <w:rPr>
          <w:b/>
          <w:bCs/>
          <w:lang w:eastAsia="en-US"/>
        </w:rPr>
        <w:t>e the</w:t>
      </w:r>
      <w:r w:rsidRPr="0006487C">
        <w:rPr>
          <w:b/>
          <w:bCs/>
          <w:lang w:eastAsia="en-US"/>
        </w:rPr>
        <w:t xml:space="preserve"> arbitrary requirement that eligible recipients </w:t>
      </w:r>
      <w:r w:rsidR="00A9344E">
        <w:rPr>
          <w:b/>
          <w:bCs/>
          <w:lang w:eastAsia="en-US"/>
        </w:rPr>
        <w:t>need</w:t>
      </w:r>
      <w:r w:rsidRPr="0006487C">
        <w:rPr>
          <w:b/>
          <w:bCs/>
          <w:lang w:eastAsia="en-US"/>
        </w:rPr>
        <w:t xml:space="preserve"> 20 points on a single Impairment Table to avoid complet</w:t>
      </w:r>
      <w:r w:rsidR="00A9344E">
        <w:rPr>
          <w:b/>
          <w:bCs/>
          <w:lang w:eastAsia="en-US"/>
        </w:rPr>
        <w:t>ing</w:t>
      </w:r>
      <w:r w:rsidRPr="0006487C">
        <w:rPr>
          <w:b/>
          <w:bCs/>
          <w:lang w:eastAsia="en-US"/>
        </w:rPr>
        <w:t xml:space="preserve"> a program of support</w:t>
      </w:r>
      <w:r w:rsidR="00D12061">
        <w:rPr>
          <w:b/>
          <w:bCs/>
          <w:lang w:eastAsia="en-US"/>
        </w:rPr>
        <w:t>.</w:t>
      </w:r>
    </w:p>
    <w:p w14:paraId="3DFF7645" w14:textId="11581141" w:rsidR="0006487C" w:rsidRPr="0006487C" w:rsidRDefault="0006487C" w:rsidP="00A17FBE">
      <w:pPr>
        <w:pStyle w:val="ListParagraph"/>
        <w:numPr>
          <w:ilvl w:val="0"/>
          <w:numId w:val="47"/>
        </w:numPr>
        <w:ind w:hanging="357"/>
        <w:rPr>
          <w:b/>
          <w:bCs/>
          <w:lang w:eastAsia="en-US"/>
        </w:rPr>
      </w:pPr>
      <w:r w:rsidRPr="0006487C">
        <w:rPr>
          <w:b/>
          <w:bCs/>
          <w:lang w:eastAsia="en-US"/>
        </w:rPr>
        <w:t>Ensure the NDIS is properly resourced</w:t>
      </w:r>
      <w:r w:rsidR="00A9344E">
        <w:rPr>
          <w:b/>
          <w:bCs/>
          <w:lang w:eastAsia="en-US"/>
        </w:rPr>
        <w:t xml:space="preserve"> into the future</w:t>
      </w:r>
      <w:r w:rsidRPr="0006487C">
        <w:rPr>
          <w:b/>
          <w:bCs/>
          <w:lang w:eastAsia="en-US"/>
        </w:rPr>
        <w:t xml:space="preserve"> and fully accessible</w:t>
      </w:r>
      <w:r w:rsidR="001D3538">
        <w:rPr>
          <w:b/>
          <w:bCs/>
          <w:lang w:eastAsia="en-US"/>
        </w:rPr>
        <w:t xml:space="preserve"> and operational</w:t>
      </w:r>
      <w:r w:rsidRPr="0006487C">
        <w:rPr>
          <w:b/>
          <w:bCs/>
          <w:lang w:eastAsia="en-US"/>
        </w:rPr>
        <w:t xml:space="preserve"> to eligible Australians with disability. This could be achieved by</w:t>
      </w:r>
      <w:r w:rsidR="00FE10DE">
        <w:rPr>
          <w:b/>
          <w:bCs/>
          <w:lang w:eastAsia="en-US"/>
        </w:rPr>
        <w:t>, among other things</w:t>
      </w:r>
      <w:r w:rsidRPr="0006487C">
        <w:rPr>
          <w:b/>
          <w:bCs/>
          <w:lang w:eastAsia="en-US"/>
        </w:rPr>
        <w:t>:</w:t>
      </w:r>
    </w:p>
    <w:p w14:paraId="0C690F0B" w14:textId="16DB16E5" w:rsidR="0006487C" w:rsidRPr="0006487C" w:rsidRDefault="0006487C" w:rsidP="00A17FBE">
      <w:pPr>
        <w:numPr>
          <w:ilvl w:val="0"/>
          <w:numId w:val="33"/>
        </w:numPr>
        <w:ind w:hanging="357"/>
        <w:contextualSpacing/>
        <w:rPr>
          <w:b/>
          <w:bCs/>
          <w:lang w:eastAsia="en-US"/>
        </w:rPr>
      </w:pPr>
      <w:r w:rsidRPr="0006487C">
        <w:rPr>
          <w:b/>
          <w:bCs/>
          <w:lang w:eastAsia="en-US"/>
        </w:rPr>
        <w:t>Considering an increased Medicare levy to ensure long-term funding</w:t>
      </w:r>
      <w:r w:rsidR="00D12061">
        <w:rPr>
          <w:b/>
          <w:bCs/>
          <w:lang w:eastAsia="en-US"/>
        </w:rPr>
        <w:t>;</w:t>
      </w:r>
    </w:p>
    <w:p w14:paraId="3572C222" w14:textId="71282E5F" w:rsidR="0006487C" w:rsidRPr="0006487C" w:rsidRDefault="0006487C" w:rsidP="00A17FBE">
      <w:pPr>
        <w:numPr>
          <w:ilvl w:val="0"/>
          <w:numId w:val="33"/>
        </w:numPr>
        <w:ind w:hanging="357"/>
        <w:contextualSpacing/>
        <w:rPr>
          <w:b/>
          <w:bCs/>
          <w:lang w:eastAsia="en-US"/>
        </w:rPr>
      </w:pPr>
      <w:r w:rsidRPr="0006487C">
        <w:rPr>
          <w:b/>
          <w:bCs/>
          <w:lang w:eastAsia="en-US"/>
        </w:rPr>
        <w:t>Ongoing and increased funding of programs such as the ART (Access and Referral Team) program</w:t>
      </w:r>
      <w:r w:rsidR="00D12061">
        <w:rPr>
          <w:b/>
          <w:bCs/>
          <w:lang w:eastAsia="en-US"/>
        </w:rPr>
        <w:t>;</w:t>
      </w:r>
    </w:p>
    <w:p w14:paraId="0E8E617B" w14:textId="48F81F3B" w:rsidR="0006487C" w:rsidRPr="0006487C" w:rsidRDefault="0006487C" w:rsidP="00A17FBE">
      <w:pPr>
        <w:numPr>
          <w:ilvl w:val="0"/>
          <w:numId w:val="33"/>
        </w:numPr>
        <w:ind w:hanging="357"/>
        <w:contextualSpacing/>
        <w:rPr>
          <w:b/>
          <w:bCs/>
          <w:lang w:eastAsia="en-US"/>
        </w:rPr>
      </w:pPr>
      <w:r w:rsidRPr="0006487C">
        <w:rPr>
          <w:b/>
          <w:bCs/>
          <w:lang w:eastAsia="en-US"/>
        </w:rPr>
        <w:t>Requir</w:t>
      </w:r>
      <w:r w:rsidR="00FE40E0">
        <w:rPr>
          <w:b/>
          <w:bCs/>
          <w:lang w:eastAsia="en-US"/>
        </w:rPr>
        <w:t>ing</w:t>
      </w:r>
      <w:r w:rsidRPr="0006487C">
        <w:rPr>
          <w:b/>
          <w:bCs/>
          <w:lang w:eastAsia="en-US"/>
        </w:rPr>
        <w:t xml:space="preserve"> the National Disability Insurance Agency (NDIA) to update its Operational Guidelines and practices following decisions made in the Administrative Appeals Tribunal (AAT),</w:t>
      </w:r>
      <w:r w:rsidR="00A17FBE">
        <w:rPr>
          <w:b/>
          <w:bCs/>
          <w:lang w:eastAsia="en-US"/>
        </w:rPr>
        <w:t xml:space="preserve"> and</w:t>
      </w:r>
    </w:p>
    <w:p w14:paraId="073E57F8" w14:textId="5D81A31F" w:rsidR="0006487C" w:rsidRPr="0006487C" w:rsidRDefault="0006487C" w:rsidP="00A17FBE">
      <w:pPr>
        <w:numPr>
          <w:ilvl w:val="0"/>
          <w:numId w:val="33"/>
        </w:numPr>
        <w:ind w:hanging="357"/>
        <w:contextualSpacing/>
        <w:rPr>
          <w:b/>
          <w:bCs/>
          <w:lang w:eastAsia="en-US"/>
        </w:rPr>
      </w:pPr>
      <w:r w:rsidRPr="0006487C">
        <w:rPr>
          <w:b/>
          <w:bCs/>
          <w:lang w:eastAsia="en-US"/>
        </w:rPr>
        <w:t>Introduc</w:t>
      </w:r>
      <w:r w:rsidR="00FE40E0">
        <w:rPr>
          <w:b/>
          <w:bCs/>
          <w:lang w:eastAsia="en-US"/>
        </w:rPr>
        <w:t>ing</w:t>
      </w:r>
      <w:r w:rsidRPr="0006487C">
        <w:rPr>
          <w:b/>
          <w:bCs/>
          <w:lang w:eastAsia="en-US"/>
        </w:rPr>
        <w:t xml:space="preserve"> a targeted action plan to improve the availability of disability support services in regional and remote parts of Australia.</w:t>
      </w:r>
    </w:p>
    <w:p w14:paraId="78E02540" w14:textId="77777777" w:rsidR="004D7DF0" w:rsidRPr="00406FE2" w:rsidRDefault="004D7DF0" w:rsidP="009912A9">
      <w:pPr>
        <w:rPr>
          <w:lang w:eastAsia="en-US"/>
        </w:rPr>
      </w:pPr>
    </w:p>
    <w:p w14:paraId="4F940DC0" w14:textId="3DFDA1C5" w:rsidR="009912A9" w:rsidRDefault="009912A9" w:rsidP="009912A9">
      <w:pPr>
        <w:pStyle w:val="Heading1"/>
        <w:spacing w:before="240"/>
      </w:pPr>
      <w:r>
        <w:t>5. Introduce stronger safeguards that will protect against abuse</w:t>
      </w:r>
    </w:p>
    <w:p w14:paraId="1AFE3C4C" w14:textId="4821CAB9" w:rsidR="00D3221B" w:rsidRDefault="00053FF0" w:rsidP="00D3221B">
      <w:pPr>
        <w:rPr>
          <w:lang w:eastAsia="en-US"/>
        </w:rPr>
      </w:pPr>
      <w:r>
        <w:rPr>
          <w:lang w:eastAsia="en-US"/>
        </w:rPr>
        <w:t xml:space="preserve">This Royal Commission has heard extensive evidence of violence, abuse, </w:t>
      </w:r>
      <w:r w:rsidR="00FE0512">
        <w:rPr>
          <w:lang w:eastAsia="en-US"/>
        </w:rPr>
        <w:t>neglect,</w:t>
      </w:r>
      <w:r>
        <w:rPr>
          <w:lang w:eastAsia="en-US"/>
        </w:rPr>
        <w:t xml:space="preserve"> and exploitation </w:t>
      </w:r>
      <w:r w:rsidR="00FE0512">
        <w:rPr>
          <w:lang w:eastAsia="en-US"/>
        </w:rPr>
        <w:t xml:space="preserve">of people with disability </w:t>
      </w:r>
      <w:r>
        <w:rPr>
          <w:lang w:eastAsia="en-US"/>
        </w:rPr>
        <w:t xml:space="preserve">occurring </w:t>
      </w:r>
      <w:r w:rsidR="00735877">
        <w:rPr>
          <w:lang w:eastAsia="en-US"/>
        </w:rPr>
        <w:t>in the absence of sufficient scrutiny</w:t>
      </w:r>
      <w:r w:rsidR="00DC765F">
        <w:rPr>
          <w:lang w:eastAsia="en-US"/>
        </w:rPr>
        <w:t>.</w:t>
      </w:r>
      <w:r w:rsidR="00442984">
        <w:rPr>
          <w:lang w:eastAsia="en-US"/>
        </w:rPr>
        <w:t xml:space="preserve"> T</w:t>
      </w:r>
      <w:r w:rsidR="00BB5FE4">
        <w:rPr>
          <w:lang w:eastAsia="en-US"/>
        </w:rPr>
        <w:t>he inadequacies of current oversight mechanisms</w:t>
      </w:r>
      <w:r w:rsidR="008F1AC0">
        <w:rPr>
          <w:lang w:eastAsia="en-US"/>
        </w:rPr>
        <w:t xml:space="preserve"> </w:t>
      </w:r>
      <w:r w:rsidR="00CE1FA4">
        <w:rPr>
          <w:lang w:eastAsia="en-US"/>
        </w:rPr>
        <w:t xml:space="preserve">in </w:t>
      </w:r>
      <w:r w:rsidR="004B6490">
        <w:rPr>
          <w:lang w:eastAsia="en-US"/>
        </w:rPr>
        <w:t xml:space="preserve">identifying and protecting against </w:t>
      </w:r>
      <w:r w:rsidR="00823D68">
        <w:rPr>
          <w:lang w:eastAsia="en-US"/>
        </w:rPr>
        <w:t xml:space="preserve">the </w:t>
      </w:r>
      <w:r w:rsidR="004B6490">
        <w:rPr>
          <w:lang w:eastAsia="en-US"/>
        </w:rPr>
        <w:t xml:space="preserve">mistreatment of people with disability </w:t>
      </w:r>
      <w:r w:rsidR="003E3C03">
        <w:rPr>
          <w:lang w:eastAsia="en-US"/>
        </w:rPr>
        <w:t xml:space="preserve">was a significant factor in </w:t>
      </w:r>
      <w:r w:rsidR="00155843">
        <w:rPr>
          <w:lang w:eastAsia="en-US"/>
        </w:rPr>
        <w:t>the establishment of the</w:t>
      </w:r>
      <w:r w:rsidR="00626DBF">
        <w:rPr>
          <w:lang w:eastAsia="en-US"/>
        </w:rPr>
        <w:t xml:space="preserve"> Royal Commission</w:t>
      </w:r>
      <w:r w:rsidR="00F93D8D">
        <w:rPr>
          <w:lang w:eastAsia="en-US"/>
        </w:rPr>
        <w:t xml:space="preserve"> </w:t>
      </w:r>
      <w:r w:rsidR="003E3C03">
        <w:rPr>
          <w:lang w:eastAsia="en-US"/>
        </w:rPr>
        <w:t>and ha</w:t>
      </w:r>
      <w:r w:rsidR="002657C6">
        <w:rPr>
          <w:lang w:eastAsia="en-US"/>
        </w:rPr>
        <w:t>s</w:t>
      </w:r>
      <w:r w:rsidR="003E3C03">
        <w:rPr>
          <w:lang w:eastAsia="en-US"/>
        </w:rPr>
        <w:t xml:space="preserve"> been a strong focus</w:t>
      </w:r>
      <w:r w:rsidR="00A7786C">
        <w:rPr>
          <w:lang w:eastAsia="en-US"/>
        </w:rPr>
        <w:t xml:space="preserve"> throughout the duration of the</w:t>
      </w:r>
      <w:r w:rsidR="004A4145">
        <w:rPr>
          <w:lang w:eastAsia="en-US"/>
        </w:rPr>
        <w:t xml:space="preserve"> Commission</w:t>
      </w:r>
      <w:r w:rsidR="00626DBF">
        <w:rPr>
          <w:lang w:eastAsia="en-US"/>
        </w:rPr>
        <w:t>.</w:t>
      </w:r>
      <w:r w:rsidR="00E244D3">
        <w:rPr>
          <w:lang w:eastAsia="en-US"/>
        </w:rPr>
        <w:t xml:space="preserve"> </w:t>
      </w:r>
    </w:p>
    <w:p w14:paraId="282876BB" w14:textId="77777777" w:rsidR="00C66D1B" w:rsidRDefault="00C66D1B" w:rsidP="00C66D1B">
      <w:pPr>
        <w:pStyle w:val="Heading2"/>
        <w:spacing w:before="240"/>
        <w:ind w:left="0"/>
        <w:rPr>
          <w:lang w:eastAsia="en-US"/>
        </w:rPr>
      </w:pPr>
      <w:r>
        <w:rPr>
          <w:lang w:eastAsia="en-US"/>
        </w:rPr>
        <w:t>Ensure quality and safe disability supports</w:t>
      </w:r>
    </w:p>
    <w:p w14:paraId="79D983DB" w14:textId="04C6CBD5" w:rsidR="00C66D1B" w:rsidRDefault="0038030C" w:rsidP="00CD4C1C">
      <w:pPr>
        <w:rPr>
          <w:lang w:eastAsia="en-US"/>
        </w:rPr>
      </w:pPr>
      <w:r>
        <w:rPr>
          <w:lang w:eastAsia="en-US"/>
        </w:rPr>
        <w:t xml:space="preserve">While the NDIS has </w:t>
      </w:r>
      <w:r w:rsidR="009A37F3">
        <w:rPr>
          <w:lang w:eastAsia="en-US"/>
        </w:rPr>
        <w:t xml:space="preserve">brought about positive change to the way in which many people with disability now access disability supports, </w:t>
      </w:r>
      <w:r w:rsidR="00925F34">
        <w:rPr>
          <w:lang w:eastAsia="en-US"/>
        </w:rPr>
        <w:t xml:space="preserve">some of the supports </w:t>
      </w:r>
      <w:r w:rsidR="00386A85">
        <w:rPr>
          <w:lang w:eastAsia="en-US"/>
        </w:rPr>
        <w:t xml:space="preserve">are </w:t>
      </w:r>
      <w:r w:rsidR="00925F34">
        <w:rPr>
          <w:lang w:eastAsia="en-US"/>
        </w:rPr>
        <w:t>poor</w:t>
      </w:r>
      <w:r w:rsidR="00EB34C9">
        <w:rPr>
          <w:lang w:eastAsia="en-US"/>
        </w:rPr>
        <w:t xml:space="preserve"> in</w:t>
      </w:r>
      <w:r w:rsidR="00925F34">
        <w:rPr>
          <w:lang w:eastAsia="en-US"/>
        </w:rPr>
        <w:t xml:space="preserve"> quality and/or </w:t>
      </w:r>
      <w:r w:rsidR="00386A85">
        <w:rPr>
          <w:lang w:eastAsia="en-US"/>
        </w:rPr>
        <w:t>are deliver</w:t>
      </w:r>
      <w:r w:rsidR="00C66D1B">
        <w:rPr>
          <w:lang w:eastAsia="en-US"/>
        </w:rPr>
        <w:t>ed in a</w:t>
      </w:r>
      <w:r w:rsidR="00925F34">
        <w:rPr>
          <w:lang w:eastAsia="en-US"/>
        </w:rPr>
        <w:t>n</w:t>
      </w:r>
      <w:r w:rsidR="00C66D1B">
        <w:rPr>
          <w:lang w:eastAsia="en-US"/>
        </w:rPr>
        <w:t xml:space="preserve"> </w:t>
      </w:r>
      <w:r w:rsidR="00925F34">
        <w:rPr>
          <w:lang w:eastAsia="en-US"/>
        </w:rPr>
        <w:t>un</w:t>
      </w:r>
      <w:r w:rsidR="00C66D1B">
        <w:rPr>
          <w:lang w:eastAsia="en-US"/>
        </w:rPr>
        <w:t>safe manner, as the tragic death of Anne Marie Smi</w:t>
      </w:r>
      <w:r w:rsidR="00C66D1B" w:rsidRPr="00925D71">
        <w:rPr>
          <w:lang w:eastAsia="en-US"/>
        </w:rPr>
        <w:t>th</w:t>
      </w:r>
      <w:r w:rsidR="00320A47">
        <w:rPr>
          <w:lang w:eastAsia="en-US"/>
        </w:rPr>
        <w:t xml:space="preserve"> exemplifies</w:t>
      </w:r>
      <w:r w:rsidR="00C66D1B">
        <w:rPr>
          <w:lang w:eastAsia="en-US"/>
        </w:rPr>
        <w:t>.</w:t>
      </w:r>
      <w:r w:rsidR="00925D71">
        <w:rPr>
          <w:rStyle w:val="FootnoteReference"/>
          <w:lang w:eastAsia="en-US"/>
        </w:rPr>
        <w:footnoteReference w:id="52"/>
      </w:r>
      <w:r w:rsidR="00C66D1B">
        <w:rPr>
          <w:lang w:eastAsia="en-US"/>
        </w:rPr>
        <w:t xml:space="preserve"> </w:t>
      </w:r>
      <w:r w:rsidR="00C66D1B" w:rsidRPr="007E7C22">
        <w:rPr>
          <w:lang w:eastAsia="en-US"/>
        </w:rPr>
        <w:t xml:space="preserve">Due to the market-based philosophy </w:t>
      </w:r>
      <w:r w:rsidR="00320A47">
        <w:rPr>
          <w:lang w:eastAsia="en-US"/>
        </w:rPr>
        <w:t>of the scheme</w:t>
      </w:r>
      <w:r w:rsidR="00C66D1B" w:rsidRPr="007E7C22">
        <w:rPr>
          <w:lang w:eastAsia="en-US"/>
        </w:rPr>
        <w:t>, participants and service providers are free to make decisions in accordance with their own interests. Whilst this theoretically facilitates increased choice and control for participants, it also enables service providers to put their own needs ahead of the people they support and, in some situations, this has resulted in the exploitation of people with disability.</w:t>
      </w:r>
      <w:r w:rsidR="00C66D1B">
        <w:rPr>
          <w:lang w:eastAsia="en-US"/>
        </w:rPr>
        <w:t xml:space="preserve"> For example, the </w:t>
      </w:r>
      <w:r w:rsidR="0013060D">
        <w:rPr>
          <w:lang w:eastAsia="en-US"/>
        </w:rPr>
        <w:t>many</w:t>
      </w:r>
      <w:r w:rsidR="00C66D1B">
        <w:rPr>
          <w:lang w:eastAsia="en-US"/>
        </w:rPr>
        <w:t xml:space="preserve"> NDIS participants whose service providers have made applications for guardianship and administration appointments in situations where the service provider has a conflict of interest and </w:t>
      </w:r>
      <w:r w:rsidR="0013060D">
        <w:rPr>
          <w:lang w:eastAsia="en-US"/>
        </w:rPr>
        <w:t xml:space="preserve">potential </w:t>
      </w:r>
      <w:r w:rsidR="00C66D1B">
        <w:rPr>
          <w:lang w:eastAsia="en-US"/>
        </w:rPr>
        <w:t>to gain financially from a participant’s funding.</w:t>
      </w:r>
      <w:r w:rsidR="00C66D1B">
        <w:rPr>
          <w:rStyle w:val="FootnoteReference"/>
          <w:lang w:eastAsia="en-US"/>
        </w:rPr>
        <w:footnoteReference w:id="53"/>
      </w:r>
    </w:p>
    <w:p w14:paraId="7ECAA4DE" w14:textId="6C6463E9" w:rsidR="00A56179" w:rsidRDefault="00A56179" w:rsidP="00A56179">
      <w:pPr>
        <w:rPr>
          <w:lang w:eastAsia="en-US"/>
        </w:rPr>
      </w:pPr>
      <w:r>
        <w:rPr>
          <w:lang w:eastAsia="en-US"/>
        </w:rPr>
        <w:t>The extent to which the NDIS Quality and Safeguards Commission provide</w:t>
      </w:r>
      <w:r w:rsidR="0017332F">
        <w:rPr>
          <w:lang w:eastAsia="en-US"/>
        </w:rPr>
        <w:t>s</w:t>
      </w:r>
      <w:r>
        <w:rPr>
          <w:lang w:eastAsia="en-US"/>
        </w:rPr>
        <w:t xml:space="preserve"> effective oversight of NDIS</w:t>
      </w:r>
      <w:r w:rsidR="0013060D">
        <w:rPr>
          <w:lang w:eastAsia="en-US"/>
        </w:rPr>
        <w:t>-</w:t>
      </w:r>
      <w:r>
        <w:rPr>
          <w:lang w:eastAsia="en-US"/>
        </w:rPr>
        <w:t>funded supports is severely limited by its establishment as a regulatory body with primarily reactive</w:t>
      </w:r>
      <w:r w:rsidR="0013060D">
        <w:rPr>
          <w:lang w:eastAsia="en-US"/>
        </w:rPr>
        <w:t>,</w:t>
      </w:r>
      <w:r>
        <w:rPr>
          <w:lang w:eastAsia="en-US"/>
        </w:rPr>
        <w:t xml:space="preserve"> rather than proactive</w:t>
      </w:r>
      <w:r w:rsidR="0013060D">
        <w:rPr>
          <w:lang w:eastAsia="en-US"/>
        </w:rPr>
        <w:t>,</w:t>
      </w:r>
      <w:r>
        <w:rPr>
          <w:lang w:eastAsia="en-US"/>
        </w:rPr>
        <w:t xml:space="preserve"> powers.</w:t>
      </w:r>
      <w:r w:rsidRPr="004B0BF6">
        <w:t xml:space="preserve"> </w:t>
      </w:r>
      <w:r w:rsidRPr="004B0BF6">
        <w:rPr>
          <w:lang w:eastAsia="en-US"/>
        </w:rPr>
        <w:t xml:space="preserve">This essentially passive role, which has been </w:t>
      </w:r>
      <w:r w:rsidR="0013060D">
        <w:rPr>
          <w:lang w:eastAsia="en-US"/>
        </w:rPr>
        <w:t>reinforced</w:t>
      </w:r>
      <w:r w:rsidR="0013060D" w:rsidRPr="004B0BF6">
        <w:rPr>
          <w:lang w:eastAsia="en-US"/>
        </w:rPr>
        <w:t xml:space="preserve"> </w:t>
      </w:r>
      <w:r w:rsidRPr="004B0BF6">
        <w:rPr>
          <w:lang w:eastAsia="en-US"/>
        </w:rPr>
        <w:t>by the high volume of complaints received, limits the Commission’s capacity to properly utilise its investigative powers.</w:t>
      </w:r>
      <w:r>
        <w:rPr>
          <w:lang w:eastAsia="en-US"/>
        </w:rPr>
        <w:t xml:space="preserve">  </w:t>
      </w:r>
    </w:p>
    <w:p w14:paraId="54E6524B" w14:textId="3F45423C" w:rsidR="0024105E" w:rsidRDefault="0024105E" w:rsidP="0024105E">
      <w:pPr>
        <w:rPr>
          <w:lang w:eastAsia="en-US"/>
        </w:rPr>
      </w:pPr>
      <w:r w:rsidRPr="00A47B8F">
        <w:rPr>
          <w:lang w:eastAsia="en-US"/>
        </w:rPr>
        <w:t>Given the nature of the market and the vulnerability of its consumers, the need for robust accountability measures is critical. Participants need to be able to trust that dishonest service providers who fail to act in accordance with the NDIS Code of Conduct will be held to account</w:t>
      </w:r>
      <w:r w:rsidR="00597865">
        <w:rPr>
          <w:lang w:eastAsia="en-US"/>
        </w:rPr>
        <w:t>.</w:t>
      </w:r>
      <w:r w:rsidRPr="00A47B8F">
        <w:rPr>
          <w:lang w:eastAsia="en-US"/>
        </w:rPr>
        <w:t xml:space="preserve"> Without a strong oversight mechanism, or ‘big stick’ that </w:t>
      </w:r>
      <w:r w:rsidR="0013060D">
        <w:rPr>
          <w:lang w:eastAsia="en-US"/>
        </w:rPr>
        <w:t>maintains</w:t>
      </w:r>
      <w:r w:rsidRPr="00A47B8F">
        <w:rPr>
          <w:lang w:eastAsia="en-US"/>
        </w:rPr>
        <w:t xml:space="preserve"> standards of service delivery through enforcement measures and proactive compliance strategies, the </w:t>
      </w:r>
      <w:r w:rsidR="0013060D">
        <w:rPr>
          <w:lang w:eastAsia="en-US"/>
        </w:rPr>
        <w:t>quality</w:t>
      </w:r>
      <w:r w:rsidR="0013060D" w:rsidRPr="00A47B8F">
        <w:rPr>
          <w:lang w:eastAsia="en-US"/>
        </w:rPr>
        <w:t xml:space="preserve"> </w:t>
      </w:r>
      <w:r w:rsidRPr="00A47B8F">
        <w:rPr>
          <w:lang w:eastAsia="en-US"/>
        </w:rPr>
        <w:t xml:space="preserve">of a participant’s </w:t>
      </w:r>
      <w:r w:rsidR="00631AB2">
        <w:rPr>
          <w:lang w:eastAsia="en-US"/>
        </w:rPr>
        <w:t>service provision</w:t>
      </w:r>
      <w:r w:rsidRPr="00A47B8F">
        <w:rPr>
          <w:lang w:eastAsia="en-US"/>
        </w:rPr>
        <w:t xml:space="preserve"> </w:t>
      </w:r>
      <w:r w:rsidR="00631AB2">
        <w:rPr>
          <w:lang w:eastAsia="en-US"/>
        </w:rPr>
        <w:t>can</w:t>
      </w:r>
      <w:r w:rsidR="0013060D" w:rsidRPr="00A47B8F">
        <w:rPr>
          <w:lang w:eastAsia="en-US"/>
        </w:rPr>
        <w:t xml:space="preserve"> </w:t>
      </w:r>
      <w:r w:rsidRPr="00A47B8F">
        <w:rPr>
          <w:lang w:eastAsia="en-US"/>
        </w:rPr>
        <w:t>depend upon whether they happen to encounter a safe and ethical service provider.</w:t>
      </w:r>
    </w:p>
    <w:p w14:paraId="20186157" w14:textId="4ED41560" w:rsidR="00CD0AE2" w:rsidRDefault="00237C44" w:rsidP="004E3125">
      <w:pPr>
        <w:rPr>
          <w:lang w:eastAsia="en-US"/>
        </w:rPr>
      </w:pPr>
      <w:r w:rsidRPr="00237C44">
        <w:rPr>
          <w:lang w:eastAsia="en-US"/>
        </w:rPr>
        <w:t>The risks to consumers in a market where service providers are inadequately held to account will be greater still</w:t>
      </w:r>
      <w:r w:rsidR="000E4E62">
        <w:rPr>
          <w:lang w:eastAsia="en-US"/>
        </w:rPr>
        <w:t xml:space="preserve"> when jurisdictions such as Queensland proceed with their</w:t>
      </w:r>
      <w:r w:rsidR="008A4B91">
        <w:rPr>
          <w:lang w:eastAsia="en-US"/>
        </w:rPr>
        <w:t xml:space="preserve"> stated</w:t>
      </w:r>
      <w:r w:rsidR="000E4E62">
        <w:rPr>
          <w:lang w:eastAsia="en-US"/>
        </w:rPr>
        <w:t xml:space="preserve"> intention to</w:t>
      </w:r>
      <w:r w:rsidRPr="00237C44">
        <w:rPr>
          <w:lang w:eastAsia="en-US"/>
        </w:rPr>
        <w:t xml:space="preserve"> withdraw as a provider of last resort in relation to Positive Behaviour Support Plans (</w:t>
      </w:r>
      <w:r w:rsidRPr="00380CD5">
        <w:rPr>
          <w:lang w:eastAsia="en-US"/>
        </w:rPr>
        <w:t>PBSPs).</w:t>
      </w:r>
      <w:r w:rsidR="002E4442">
        <w:rPr>
          <w:rStyle w:val="FootnoteReference"/>
          <w:lang w:eastAsia="en-US"/>
        </w:rPr>
        <w:footnoteReference w:id="54"/>
      </w:r>
      <w:r w:rsidR="00B430D5">
        <w:rPr>
          <w:lang w:eastAsia="en-US"/>
        </w:rPr>
        <w:t xml:space="preserve"> </w:t>
      </w:r>
      <w:r w:rsidR="00D94E92" w:rsidRPr="00D94E92">
        <w:rPr>
          <w:lang w:eastAsia="en-US"/>
        </w:rPr>
        <w:t xml:space="preserve">It is one thing to remove the </w:t>
      </w:r>
      <w:r w:rsidR="002275FA">
        <w:rPr>
          <w:lang w:eastAsia="en-US"/>
        </w:rPr>
        <w:t xml:space="preserve">Queensland </w:t>
      </w:r>
      <w:r w:rsidR="00D94E92" w:rsidRPr="00D94E92">
        <w:rPr>
          <w:lang w:eastAsia="en-US"/>
        </w:rPr>
        <w:t>government’s statutory monopoly on the preparation of PBSPs for seclusion and containment</w:t>
      </w:r>
      <w:r w:rsidR="00D94E92">
        <w:rPr>
          <w:rStyle w:val="FootnoteReference"/>
          <w:lang w:eastAsia="en-US"/>
        </w:rPr>
        <w:footnoteReference w:id="55"/>
      </w:r>
      <w:r w:rsidR="00D94E92" w:rsidRPr="00D94E92">
        <w:rPr>
          <w:lang w:eastAsia="en-US"/>
        </w:rPr>
        <w:t xml:space="preserve">, but it is another entirely to withdraw as a provider of last resort. </w:t>
      </w:r>
      <w:r w:rsidR="00AA0D6E">
        <w:rPr>
          <w:lang w:eastAsia="en-US"/>
        </w:rPr>
        <w:t>The inability of the NDIS market to</w:t>
      </w:r>
      <w:r w:rsidR="00CD0AE2">
        <w:rPr>
          <w:lang w:eastAsia="en-US"/>
        </w:rPr>
        <w:t xml:space="preserve"> provide high quality, timely, evidenced-</w:t>
      </w:r>
      <w:r w:rsidR="00C35765">
        <w:rPr>
          <w:lang w:eastAsia="en-US"/>
        </w:rPr>
        <w:t>based,</w:t>
      </w:r>
      <w:r w:rsidR="00CD0AE2">
        <w:rPr>
          <w:lang w:eastAsia="en-US"/>
        </w:rPr>
        <w:t xml:space="preserve"> and innovative PBSPs has been </w:t>
      </w:r>
      <w:r w:rsidR="0013060D">
        <w:rPr>
          <w:lang w:eastAsia="en-US"/>
        </w:rPr>
        <w:t xml:space="preserve">demonstrated </w:t>
      </w:r>
      <w:r w:rsidR="00CD0AE2">
        <w:rPr>
          <w:lang w:eastAsia="en-US"/>
        </w:rPr>
        <w:t xml:space="preserve">in </w:t>
      </w:r>
      <w:r w:rsidR="004E07FC">
        <w:rPr>
          <w:lang w:eastAsia="en-US"/>
        </w:rPr>
        <w:t>inquiries</w:t>
      </w:r>
      <w:r w:rsidR="00CD0AE2">
        <w:rPr>
          <w:lang w:eastAsia="en-US"/>
        </w:rPr>
        <w:t xml:space="preserve"> such as the Queensland Productivity Commission’s inquiry into the NDIS marke</w:t>
      </w:r>
      <w:r w:rsidR="00CD0AE2" w:rsidRPr="00AD291A">
        <w:rPr>
          <w:lang w:eastAsia="en-US"/>
        </w:rPr>
        <w:t>t</w:t>
      </w:r>
      <w:r w:rsidR="004B4B1C">
        <w:rPr>
          <w:lang w:eastAsia="en-US"/>
        </w:rPr>
        <w:t>.</w:t>
      </w:r>
      <w:r w:rsidR="000C3E6B">
        <w:rPr>
          <w:rStyle w:val="FootnoteReference"/>
          <w:lang w:eastAsia="en-US"/>
        </w:rPr>
        <w:footnoteReference w:id="56"/>
      </w:r>
      <w:r w:rsidR="004B4B1C">
        <w:rPr>
          <w:lang w:eastAsia="en-US"/>
        </w:rPr>
        <w:t xml:space="preserve"> </w:t>
      </w:r>
      <w:r w:rsidR="00C35765" w:rsidRPr="00C35765">
        <w:rPr>
          <w:lang w:eastAsia="en-US"/>
        </w:rPr>
        <w:t xml:space="preserve">The grave nature of </w:t>
      </w:r>
      <w:r w:rsidR="00C35765">
        <w:rPr>
          <w:lang w:eastAsia="en-US"/>
        </w:rPr>
        <w:t>Restrictive Practices</w:t>
      </w:r>
      <w:r w:rsidR="00C35765" w:rsidRPr="00C35765">
        <w:rPr>
          <w:lang w:eastAsia="en-US"/>
        </w:rPr>
        <w:t xml:space="preserve"> </w:t>
      </w:r>
      <w:proofErr w:type="gramStart"/>
      <w:r w:rsidR="00C35765" w:rsidRPr="00C35765">
        <w:rPr>
          <w:lang w:eastAsia="en-US"/>
        </w:rPr>
        <w:t>require</w:t>
      </w:r>
      <w:proofErr w:type="gramEnd"/>
      <w:r w:rsidR="00C35765" w:rsidRPr="00C35765">
        <w:rPr>
          <w:lang w:eastAsia="en-US"/>
        </w:rPr>
        <w:t xml:space="preserve"> a safety net that the free operation of the NDIS market </w:t>
      </w:r>
      <w:r w:rsidR="0013060D">
        <w:rPr>
          <w:lang w:eastAsia="en-US"/>
        </w:rPr>
        <w:t>can</w:t>
      </w:r>
      <w:r w:rsidR="00C35765" w:rsidRPr="00C35765">
        <w:rPr>
          <w:lang w:eastAsia="en-US"/>
        </w:rPr>
        <w:t xml:space="preserve">not </w:t>
      </w:r>
      <w:r w:rsidR="0013060D">
        <w:rPr>
          <w:lang w:eastAsia="en-US"/>
        </w:rPr>
        <w:t xml:space="preserve">always </w:t>
      </w:r>
      <w:r w:rsidR="00C35765" w:rsidRPr="00C35765">
        <w:rPr>
          <w:lang w:eastAsia="en-US"/>
        </w:rPr>
        <w:t>provide</w:t>
      </w:r>
      <w:r w:rsidR="0013060D">
        <w:rPr>
          <w:lang w:eastAsia="en-US"/>
        </w:rPr>
        <w:t>. P</w:t>
      </w:r>
      <w:r w:rsidR="00C35765" w:rsidRPr="00C35765">
        <w:rPr>
          <w:lang w:eastAsia="en-US"/>
        </w:rPr>
        <w:t xml:space="preserve">eople with disability subject to such practices require a level of certainty that they can access </w:t>
      </w:r>
      <w:r w:rsidR="0013060D">
        <w:rPr>
          <w:lang w:eastAsia="en-US"/>
        </w:rPr>
        <w:t xml:space="preserve">appropriate supports, including </w:t>
      </w:r>
      <w:r w:rsidR="00C35765" w:rsidRPr="00C35765">
        <w:rPr>
          <w:lang w:eastAsia="en-US"/>
        </w:rPr>
        <w:t>PBSPs from a government provider if the market cannot provide o</w:t>
      </w:r>
      <w:r w:rsidR="00C35765" w:rsidRPr="00B20374">
        <w:rPr>
          <w:lang w:eastAsia="en-US"/>
        </w:rPr>
        <w:t>ne</w:t>
      </w:r>
      <w:r w:rsidR="00C35765" w:rsidRPr="00C35765">
        <w:rPr>
          <w:lang w:eastAsia="en-US"/>
        </w:rPr>
        <w:t>.</w:t>
      </w:r>
      <w:r w:rsidR="00003611">
        <w:rPr>
          <w:rStyle w:val="FootnoteReference"/>
          <w:lang w:eastAsia="en-US"/>
        </w:rPr>
        <w:footnoteReference w:id="57"/>
      </w:r>
      <w:r w:rsidR="0013060D">
        <w:rPr>
          <w:lang w:eastAsia="en-US"/>
        </w:rPr>
        <w:t xml:space="preserve"> The provision of these last resort services should be regarded as an obligation of government </w:t>
      </w:r>
      <w:proofErr w:type="gramStart"/>
      <w:r w:rsidR="0014680D">
        <w:rPr>
          <w:lang w:eastAsia="en-US"/>
        </w:rPr>
        <w:t>similar to</w:t>
      </w:r>
      <w:proofErr w:type="gramEnd"/>
      <w:r w:rsidR="0014680D">
        <w:rPr>
          <w:lang w:eastAsia="en-US"/>
        </w:rPr>
        <w:t xml:space="preserve"> </w:t>
      </w:r>
      <w:r w:rsidR="0013060D">
        <w:rPr>
          <w:lang w:eastAsia="en-US"/>
        </w:rPr>
        <w:t xml:space="preserve">the provision of </w:t>
      </w:r>
      <w:r w:rsidR="0014680D">
        <w:rPr>
          <w:lang w:eastAsia="en-US"/>
        </w:rPr>
        <w:t xml:space="preserve">public </w:t>
      </w:r>
      <w:r w:rsidR="0013060D">
        <w:rPr>
          <w:lang w:eastAsia="en-US"/>
        </w:rPr>
        <w:t xml:space="preserve">health services. </w:t>
      </w:r>
    </w:p>
    <w:p w14:paraId="28621C9D" w14:textId="501B66D1" w:rsidR="00E03E72" w:rsidRDefault="00237C44" w:rsidP="004E3125">
      <w:pPr>
        <w:rPr>
          <w:lang w:eastAsia="en-US"/>
        </w:rPr>
      </w:pPr>
      <w:r w:rsidRPr="00237C44">
        <w:rPr>
          <w:lang w:eastAsia="en-US"/>
        </w:rPr>
        <w:t>Further, conflict</w:t>
      </w:r>
      <w:r w:rsidR="004E3125">
        <w:rPr>
          <w:lang w:eastAsia="en-US"/>
        </w:rPr>
        <w:t>s</w:t>
      </w:r>
      <w:r w:rsidRPr="00237C44">
        <w:rPr>
          <w:lang w:eastAsia="en-US"/>
        </w:rPr>
        <w:t xml:space="preserve"> of interest inherent in many NDIS transactions, </w:t>
      </w:r>
      <w:r w:rsidR="00B430D5">
        <w:rPr>
          <w:lang w:eastAsia="en-US"/>
        </w:rPr>
        <w:t>such</w:t>
      </w:r>
      <w:r w:rsidR="00A31341">
        <w:rPr>
          <w:lang w:eastAsia="en-US"/>
        </w:rPr>
        <w:t xml:space="preserve"> as when participants access service provision and support coordination from the same provider, continue to</w:t>
      </w:r>
      <w:r w:rsidR="004E3125">
        <w:rPr>
          <w:lang w:eastAsia="en-US"/>
        </w:rPr>
        <w:t xml:space="preserve"> leave people with disability </w:t>
      </w:r>
      <w:r w:rsidR="00925221">
        <w:rPr>
          <w:lang w:eastAsia="en-US"/>
        </w:rPr>
        <w:t xml:space="preserve">at an unacceptable risk of </w:t>
      </w:r>
      <w:r w:rsidR="004E3125">
        <w:rPr>
          <w:lang w:eastAsia="en-US"/>
        </w:rPr>
        <w:t>exploitation</w:t>
      </w:r>
      <w:r w:rsidRPr="00237C44">
        <w:rPr>
          <w:lang w:eastAsia="en-US"/>
        </w:rPr>
        <w:t xml:space="preserve">. </w:t>
      </w:r>
      <w:r w:rsidR="00DE116D">
        <w:rPr>
          <w:lang w:eastAsia="en-US"/>
        </w:rPr>
        <w:t>QAI is also aware that</w:t>
      </w:r>
      <w:r w:rsidR="00E03E72">
        <w:rPr>
          <w:lang w:eastAsia="en-US"/>
        </w:rPr>
        <w:t xml:space="preserve"> some NDIS service providers </w:t>
      </w:r>
      <w:r w:rsidR="000F27F7">
        <w:rPr>
          <w:lang w:eastAsia="en-US"/>
        </w:rPr>
        <w:t>have ask</w:t>
      </w:r>
      <w:r w:rsidR="00F96FDB">
        <w:rPr>
          <w:lang w:eastAsia="en-US"/>
        </w:rPr>
        <w:t>ed</w:t>
      </w:r>
      <w:r w:rsidR="000F27F7">
        <w:rPr>
          <w:lang w:eastAsia="en-US"/>
        </w:rPr>
        <w:t xml:space="preserve"> NDIS participants to sign </w:t>
      </w:r>
      <w:r w:rsidR="00DE116D">
        <w:rPr>
          <w:lang w:eastAsia="en-US"/>
        </w:rPr>
        <w:t>clause</w:t>
      </w:r>
      <w:r w:rsidR="000F27F7">
        <w:rPr>
          <w:lang w:eastAsia="en-US"/>
        </w:rPr>
        <w:t>s within their service agreements</w:t>
      </w:r>
      <w:r w:rsidR="00DE116D">
        <w:rPr>
          <w:lang w:eastAsia="en-US"/>
        </w:rPr>
        <w:t xml:space="preserve"> that</w:t>
      </w:r>
      <w:r w:rsidR="000F27F7">
        <w:rPr>
          <w:lang w:eastAsia="en-US"/>
        </w:rPr>
        <w:t xml:space="preserve"> waiv</w:t>
      </w:r>
      <w:r w:rsidR="00DE116D">
        <w:rPr>
          <w:lang w:eastAsia="en-US"/>
        </w:rPr>
        <w:t>e</w:t>
      </w:r>
      <w:r w:rsidR="000F27F7">
        <w:rPr>
          <w:lang w:eastAsia="en-US"/>
        </w:rPr>
        <w:t xml:space="preserve"> their rights under consumer protection laws</w:t>
      </w:r>
      <w:r w:rsidR="00DE116D">
        <w:rPr>
          <w:lang w:eastAsia="en-US"/>
        </w:rPr>
        <w:t>.</w:t>
      </w:r>
    </w:p>
    <w:p w14:paraId="4FB907D8" w14:textId="65269A4B" w:rsidR="001347ED" w:rsidRDefault="00DE0A28" w:rsidP="001347ED">
      <w:pPr>
        <w:rPr>
          <w:lang w:eastAsia="en-US"/>
        </w:rPr>
      </w:pPr>
      <w:r>
        <w:rPr>
          <w:lang w:eastAsia="en-US"/>
        </w:rPr>
        <w:t>The</w:t>
      </w:r>
      <w:r w:rsidR="00303C0B">
        <w:rPr>
          <w:lang w:eastAsia="en-US"/>
        </w:rPr>
        <w:t>re is a critical</w:t>
      </w:r>
      <w:r>
        <w:rPr>
          <w:lang w:eastAsia="en-US"/>
        </w:rPr>
        <w:t xml:space="preserve"> need for stronger safeguards in the NDIS</w:t>
      </w:r>
      <w:r w:rsidR="00303C0B">
        <w:rPr>
          <w:lang w:eastAsia="en-US"/>
        </w:rPr>
        <w:t>.</w:t>
      </w:r>
      <w:r w:rsidR="0015207A">
        <w:rPr>
          <w:lang w:eastAsia="en-US"/>
        </w:rPr>
        <w:t xml:space="preserve"> For example, th</w:t>
      </w:r>
      <w:r w:rsidR="0015207A" w:rsidRPr="0015207A">
        <w:rPr>
          <w:lang w:eastAsia="en-US"/>
        </w:rPr>
        <w:t xml:space="preserve">e </w:t>
      </w:r>
      <w:r w:rsidR="00947D79">
        <w:rPr>
          <w:lang w:eastAsia="en-US"/>
        </w:rPr>
        <w:t xml:space="preserve">NDIS </w:t>
      </w:r>
      <w:r w:rsidR="0015207A" w:rsidRPr="0015207A">
        <w:rPr>
          <w:lang w:eastAsia="en-US"/>
        </w:rPr>
        <w:t>Q</w:t>
      </w:r>
      <w:r w:rsidR="00563BF8">
        <w:rPr>
          <w:lang w:eastAsia="en-US"/>
        </w:rPr>
        <w:t xml:space="preserve">uality and </w:t>
      </w:r>
      <w:r w:rsidR="0015207A" w:rsidRPr="0015207A">
        <w:rPr>
          <w:lang w:eastAsia="en-US"/>
        </w:rPr>
        <w:t>S</w:t>
      </w:r>
      <w:r w:rsidR="00563BF8">
        <w:rPr>
          <w:lang w:eastAsia="en-US"/>
        </w:rPr>
        <w:t>afeguards</w:t>
      </w:r>
      <w:r w:rsidR="0015207A" w:rsidRPr="0015207A">
        <w:rPr>
          <w:lang w:eastAsia="en-US"/>
        </w:rPr>
        <w:t xml:space="preserve"> Commission</w:t>
      </w:r>
      <w:r w:rsidR="00563BF8">
        <w:rPr>
          <w:lang w:eastAsia="en-US"/>
        </w:rPr>
        <w:t xml:space="preserve"> </w:t>
      </w:r>
      <w:r w:rsidR="00B73F95">
        <w:rPr>
          <w:lang w:eastAsia="en-US"/>
        </w:rPr>
        <w:t>could</w:t>
      </w:r>
      <w:r w:rsidR="0015207A" w:rsidRPr="0015207A">
        <w:rPr>
          <w:lang w:eastAsia="en-US"/>
        </w:rPr>
        <w:t xml:space="preserve"> improve </w:t>
      </w:r>
      <w:r w:rsidR="00563BF8">
        <w:rPr>
          <w:lang w:eastAsia="en-US"/>
        </w:rPr>
        <w:t>its</w:t>
      </w:r>
      <w:r w:rsidR="0015207A" w:rsidRPr="0015207A">
        <w:rPr>
          <w:lang w:eastAsia="en-US"/>
        </w:rPr>
        <w:t xml:space="preserve"> complaint handling processes, impose consequential enforcement measures that successfully deter stakeholders from breaching the Code of Conduct or registration requirements, proactively monitor situations where conflicts of interests are occurring and make warm referrals to advocacy services on behalf of participants when a complaint is registered with the Commission.</w:t>
      </w:r>
      <w:r w:rsidR="00B73F95">
        <w:rPr>
          <w:lang w:eastAsia="en-US"/>
        </w:rPr>
        <w:t xml:space="preserve"> </w:t>
      </w:r>
    </w:p>
    <w:p w14:paraId="418B68D9" w14:textId="37C65BB5" w:rsidR="00B955B6" w:rsidRDefault="001A48F8" w:rsidP="00B92BB4">
      <w:pPr>
        <w:pStyle w:val="Heading2"/>
        <w:spacing w:before="240"/>
        <w:ind w:left="0"/>
        <w:rPr>
          <w:lang w:eastAsia="en-US"/>
        </w:rPr>
      </w:pPr>
      <w:r>
        <w:rPr>
          <w:lang w:eastAsia="en-US"/>
        </w:rPr>
        <w:t>Protect people in detention</w:t>
      </w:r>
    </w:p>
    <w:p w14:paraId="2434999E" w14:textId="5707A554" w:rsidR="00C36A4C" w:rsidRDefault="00C36A4C" w:rsidP="00C36A4C">
      <w:pPr>
        <w:rPr>
          <w:lang w:eastAsia="en-US"/>
        </w:rPr>
      </w:pPr>
      <w:r w:rsidRPr="00F96E65">
        <w:rPr>
          <w:lang w:eastAsia="en-US"/>
        </w:rPr>
        <w:t xml:space="preserve">QAI holds grave concerns regarding some of the physical and psychological conditions that people deprived of their liberty </w:t>
      </w:r>
      <w:r w:rsidR="0014680D">
        <w:rPr>
          <w:lang w:eastAsia="en-US"/>
        </w:rPr>
        <w:t>experience</w:t>
      </w:r>
      <w:r w:rsidRPr="00F96E65">
        <w:rPr>
          <w:lang w:eastAsia="en-US"/>
        </w:rPr>
        <w:t xml:space="preserve"> when detained in certain Queensland-government funded institutions</w:t>
      </w:r>
      <w:r>
        <w:rPr>
          <w:lang w:eastAsia="en-US"/>
        </w:rPr>
        <w:t xml:space="preserve">, such as the Queensland Forensic Disability Service and the Rockhampton Mental Health Inpatient Unit. </w:t>
      </w:r>
      <w:r w:rsidRPr="008D0496">
        <w:rPr>
          <w:lang w:eastAsia="en-US"/>
        </w:rPr>
        <w:t>Conditions observed directly by QAI staff, along with anecdotal reports from our clients</w:t>
      </w:r>
      <w:r w:rsidR="0017798D">
        <w:rPr>
          <w:lang w:eastAsia="en-US"/>
        </w:rPr>
        <w:t xml:space="preserve"> and other stakeholders</w:t>
      </w:r>
      <w:r w:rsidRPr="008D0496">
        <w:rPr>
          <w:lang w:eastAsia="en-US"/>
        </w:rPr>
        <w:t xml:space="preserve">, raise concerns of potential torture and cruel, </w:t>
      </w:r>
      <w:proofErr w:type="gramStart"/>
      <w:r w:rsidRPr="008D0496">
        <w:rPr>
          <w:lang w:eastAsia="en-US"/>
        </w:rPr>
        <w:t>inhuman</w:t>
      </w:r>
      <w:proofErr w:type="gramEnd"/>
      <w:r w:rsidRPr="008D0496">
        <w:rPr>
          <w:lang w:eastAsia="en-US"/>
        </w:rPr>
        <w:t xml:space="preserve"> and degrading treatment or punishment of people with disability deprived of their liberty in these institutions</w:t>
      </w:r>
      <w:r>
        <w:rPr>
          <w:lang w:eastAsia="en-US"/>
        </w:rPr>
        <w:t>, and t</w:t>
      </w:r>
      <w:r w:rsidRPr="008D0496">
        <w:rPr>
          <w:lang w:eastAsia="en-US"/>
        </w:rPr>
        <w:t>hey provide further evidence of the systemic abuse, neglect, and exploitation of people with disability in Australian society.</w:t>
      </w:r>
      <w:r w:rsidR="001B5CD8">
        <w:rPr>
          <w:lang w:eastAsia="en-US"/>
        </w:rPr>
        <w:t xml:space="preserve"> </w:t>
      </w:r>
    </w:p>
    <w:p w14:paraId="7684B202" w14:textId="7CCF58E7" w:rsidR="00B12019" w:rsidRDefault="00FA1CAC" w:rsidP="0082767B">
      <w:pPr>
        <w:rPr>
          <w:lang w:eastAsia="en-US"/>
        </w:rPr>
      </w:pPr>
      <w:r>
        <w:rPr>
          <w:lang w:eastAsia="en-US"/>
        </w:rPr>
        <w:t>People who are deprived of their liberty and</w:t>
      </w:r>
      <w:r w:rsidR="000616A3">
        <w:rPr>
          <w:lang w:eastAsia="en-US"/>
        </w:rPr>
        <w:t xml:space="preserve"> </w:t>
      </w:r>
      <w:r w:rsidR="001B5CD8">
        <w:rPr>
          <w:lang w:eastAsia="en-US"/>
        </w:rPr>
        <w:t xml:space="preserve">who </w:t>
      </w:r>
      <w:r w:rsidR="000616A3">
        <w:rPr>
          <w:lang w:eastAsia="en-US"/>
        </w:rPr>
        <w:t>are</w:t>
      </w:r>
      <w:r>
        <w:rPr>
          <w:lang w:eastAsia="en-US"/>
        </w:rPr>
        <w:t xml:space="preserve"> held in places of detention, out of sight from the broader community, are the most vulnerable to abuse and mistreatment</w:t>
      </w:r>
      <w:r w:rsidR="008F1AC0">
        <w:rPr>
          <w:lang w:eastAsia="en-US"/>
        </w:rPr>
        <w:t>.</w:t>
      </w:r>
      <w:r>
        <w:rPr>
          <w:lang w:eastAsia="en-US"/>
        </w:rPr>
        <w:t xml:space="preserve"> </w:t>
      </w:r>
      <w:r w:rsidR="00830A3C">
        <w:rPr>
          <w:lang w:eastAsia="en-US"/>
        </w:rPr>
        <w:t xml:space="preserve">In acknowledgement of this, </w:t>
      </w:r>
      <w:r w:rsidR="00735665">
        <w:rPr>
          <w:lang w:eastAsia="en-US"/>
        </w:rPr>
        <w:t xml:space="preserve">Australia and many other countries </w:t>
      </w:r>
      <w:r w:rsidR="00236D27">
        <w:rPr>
          <w:lang w:eastAsia="en-US"/>
        </w:rPr>
        <w:t>have ratified the Optional Protocol to the Convention Against Torture (OPCAT)</w:t>
      </w:r>
      <w:r w:rsidR="001E5D30">
        <w:rPr>
          <w:lang w:eastAsia="en-US"/>
        </w:rPr>
        <w:t>. OPCAT</w:t>
      </w:r>
      <w:r w:rsidR="00236D27">
        <w:rPr>
          <w:lang w:eastAsia="en-US"/>
        </w:rPr>
        <w:t xml:space="preserve"> </w:t>
      </w:r>
      <w:r w:rsidR="00C00A87">
        <w:rPr>
          <w:lang w:eastAsia="en-US"/>
        </w:rPr>
        <w:t>requires the</w:t>
      </w:r>
      <w:r w:rsidR="00BD255E">
        <w:rPr>
          <w:lang w:eastAsia="en-US"/>
        </w:rPr>
        <w:t xml:space="preserve"> introduc</w:t>
      </w:r>
      <w:r w:rsidR="00C00A87">
        <w:rPr>
          <w:lang w:eastAsia="en-US"/>
        </w:rPr>
        <w:t>tion of</w:t>
      </w:r>
      <w:r w:rsidR="00BD255E">
        <w:rPr>
          <w:lang w:eastAsia="en-US"/>
        </w:rPr>
        <w:t xml:space="preserve"> a National Prevent</w:t>
      </w:r>
      <w:r w:rsidR="00596316">
        <w:rPr>
          <w:lang w:eastAsia="en-US"/>
        </w:rPr>
        <w:t>ive Mechanism (NPM) that will conduct inspections of places of detention</w:t>
      </w:r>
      <w:r w:rsidR="007A0056">
        <w:rPr>
          <w:lang w:eastAsia="en-US"/>
        </w:rPr>
        <w:t xml:space="preserve"> to ensure </w:t>
      </w:r>
      <w:r w:rsidR="008C073D">
        <w:rPr>
          <w:lang w:eastAsia="en-US"/>
        </w:rPr>
        <w:t>compl</w:t>
      </w:r>
      <w:r w:rsidR="00430779">
        <w:rPr>
          <w:lang w:eastAsia="en-US"/>
        </w:rPr>
        <w:t>iance</w:t>
      </w:r>
      <w:r w:rsidR="008C073D">
        <w:rPr>
          <w:lang w:eastAsia="en-US"/>
        </w:rPr>
        <w:t xml:space="preserve"> with</w:t>
      </w:r>
      <w:r w:rsidR="00B353D2">
        <w:rPr>
          <w:lang w:eastAsia="en-US"/>
        </w:rPr>
        <w:t xml:space="preserve"> the Convention Against Torture </w:t>
      </w:r>
      <w:r w:rsidR="00FB7D9F">
        <w:rPr>
          <w:lang w:eastAsia="en-US"/>
        </w:rPr>
        <w:t xml:space="preserve">(CAT) </w:t>
      </w:r>
      <w:r w:rsidR="00B353D2">
        <w:rPr>
          <w:lang w:eastAsia="en-US"/>
        </w:rPr>
        <w:t>and prevent the mistreatment of people in detention.</w:t>
      </w:r>
      <w:r w:rsidR="00C4700E">
        <w:rPr>
          <w:lang w:eastAsia="en-US"/>
        </w:rPr>
        <w:t xml:space="preserve"> </w:t>
      </w:r>
    </w:p>
    <w:p w14:paraId="2D510B0D" w14:textId="68A7FD05" w:rsidR="00313E6D" w:rsidRDefault="00C00A87" w:rsidP="00313E6D">
      <w:pPr>
        <w:rPr>
          <w:lang w:eastAsia="en-US"/>
        </w:rPr>
      </w:pPr>
      <w:r>
        <w:rPr>
          <w:lang w:eastAsia="en-US"/>
        </w:rPr>
        <w:t xml:space="preserve">An effective and disability-aware implementation </w:t>
      </w:r>
      <w:r w:rsidR="00751447">
        <w:rPr>
          <w:lang w:eastAsia="en-US"/>
        </w:rPr>
        <w:t xml:space="preserve">of OPCAT is </w:t>
      </w:r>
      <w:r w:rsidR="00002276">
        <w:rPr>
          <w:lang w:eastAsia="en-US"/>
        </w:rPr>
        <w:t>essential</w:t>
      </w:r>
      <w:r w:rsidR="00D364CF">
        <w:rPr>
          <w:lang w:eastAsia="en-US"/>
        </w:rPr>
        <w:t xml:space="preserve"> given</w:t>
      </w:r>
      <w:r w:rsidR="00751447">
        <w:rPr>
          <w:lang w:eastAsia="en-US"/>
        </w:rPr>
        <w:t xml:space="preserve"> the significant over-representation of people with disability in all places of detention</w:t>
      </w:r>
      <w:r w:rsidR="00D32DF8">
        <w:rPr>
          <w:lang w:eastAsia="en-US"/>
        </w:rPr>
        <w:t xml:space="preserve"> and the higher rates of violence experienced by people with disability in those settin</w:t>
      </w:r>
      <w:r w:rsidR="00D32DF8" w:rsidRPr="000A6DB7">
        <w:rPr>
          <w:lang w:eastAsia="en-US"/>
        </w:rPr>
        <w:t>gs</w:t>
      </w:r>
      <w:r w:rsidR="00D32DF8">
        <w:rPr>
          <w:lang w:eastAsia="en-US"/>
        </w:rPr>
        <w:t>.</w:t>
      </w:r>
      <w:r w:rsidR="000A6DB7">
        <w:rPr>
          <w:rStyle w:val="FootnoteReference"/>
          <w:lang w:eastAsia="en-US"/>
        </w:rPr>
        <w:footnoteReference w:id="58"/>
      </w:r>
      <w:r w:rsidR="00173993">
        <w:rPr>
          <w:lang w:eastAsia="en-US"/>
        </w:rPr>
        <w:t xml:space="preserve"> People with disability who are detained are </w:t>
      </w:r>
      <w:r w:rsidR="00F720BC" w:rsidRPr="00F720BC">
        <w:rPr>
          <w:lang w:eastAsia="en-US"/>
        </w:rPr>
        <w:t>subject</w:t>
      </w:r>
      <w:r w:rsidR="00173993">
        <w:rPr>
          <w:lang w:eastAsia="en-US"/>
        </w:rPr>
        <w:t>ed</w:t>
      </w:r>
      <w:r w:rsidR="00F720BC" w:rsidRPr="00F720BC">
        <w:rPr>
          <w:lang w:eastAsia="en-US"/>
        </w:rPr>
        <w:t xml:space="preserve"> to disability-specific types of torture and ill-treatment, such as the use of Restrictive Practices</w:t>
      </w:r>
      <w:r w:rsidR="00173993">
        <w:rPr>
          <w:lang w:eastAsia="en-US"/>
        </w:rPr>
        <w:t>,</w:t>
      </w:r>
      <w:r w:rsidR="00D93135">
        <w:rPr>
          <w:lang w:eastAsia="en-US"/>
        </w:rPr>
        <w:t xml:space="preserve"> and</w:t>
      </w:r>
      <w:r w:rsidR="00F720BC" w:rsidRPr="00F720BC">
        <w:rPr>
          <w:lang w:eastAsia="en-US"/>
        </w:rPr>
        <w:t xml:space="preserve"> </w:t>
      </w:r>
      <w:r w:rsidR="00173993">
        <w:rPr>
          <w:lang w:eastAsia="en-US"/>
        </w:rPr>
        <w:t>can be</w:t>
      </w:r>
      <w:r w:rsidR="00F720BC" w:rsidRPr="00F720BC">
        <w:rPr>
          <w:lang w:eastAsia="en-US"/>
        </w:rPr>
        <w:t xml:space="preserve"> subject</w:t>
      </w:r>
      <w:r w:rsidR="00173993">
        <w:rPr>
          <w:lang w:eastAsia="en-US"/>
        </w:rPr>
        <w:t>ed</w:t>
      </w:r>
      <w:r w:rsidR="00F720BC" w:rsidRPr="00F720BC">
        <w:rPr>
          <w:lang w:eastAsia="en-US"/>
        </w:rPr>
        <w:t xml:space="preserve"> to disability-specific types of detention, such as </w:t>
      </w:r>
      <w:r w:rsidR="00F96E65">
        <w:rPr>
          <w:lang w:eastAsia="en-US"/>
        </w:rPr>
        <w:t xml:space="preserve">being </w:t>
      </w:r>
      <w:r w:rsidR="00F720BC" w:rsidRPr="00F720BC">
        <w:rPr>
          <w:lang w:eastAsia="en-US"/>
        </w:rPr>
        <w:t>held in mental health wards and forensic disability centres.</w:t>
      </w:r>
      <w:r w:rsidR="00E00A91">
        <w:rPr>
          <w:lang w:eastAsia="en-US"/>
        </w:rPr>
        <w:t xml:space="preserve"> Yet Australia (and Queensland) has made</w:t>
      </w:r>
      <w:r w:rsidR="006E462D">
        <w:rPr>
          <w:lang w:eastAsia="en-US"/>
        </w:rPr>
        <w:t xml:space="preserve"> a concerning lack of</w:t>
      </w:r>
      <w:r w:rsidR="00E00A91">
        <w:rPr>
          <w:lang w:eastAsia="en-US"/>
        </w:rPr>
        <w:t xml:space="preserve"> progress </w:t>
      </w:r>
      <w:r w:rsidR="00F17F78">
        <w:rPr>
          <w:lang w:eastAsia="en-US"/>
        </w:rPr>
        <w:t>in</w:t>
      </w:r>
      <w:r w:rsidR="00E00A91">
        <w:rPr>
          <w:lang w:eastAsia="en-US"/>
        </w:rPr>
        <w:t xml:space="preserve"> implementing OPCAT</w:t>
      </w:r>
      <w:r w:rsidR="006E462D">
        <w:rPr>
          <w:lang w:eastAsia="en-US"/>
        </w:rPr>
        <w:t>. T</w:t>
      </w:r>
      <w:r w:rsidR="00F05FA4">
        <w:rPr>
          <w:lang w:eastAsia="en-US"/>
        </w:rPr>
        <w:t xml:space="preserve">he little progress made does not include disability specific places of detention within the </w:t>
      </w:r>
      <w:r w:rsidR="00957358">
        <w:rPr>
          <w:lang w:eastAsia="en-US"/>
        </w:rPr>
        <w:t xml:space="preserve">operation </w:t>
      </w:r>
      <w:r w:rsidR="00F05FA4">
        <w:rPr>
          <w:lang w:eastAsia="en-US"/>
        </w:rPr>
        <w:t xml:space="preserve">of the </w:t>
      </w:r>
      <w:r w:rsidR="00957358">
        <w:rPr>
          <w:lang w:eastAsia="en-US"/>
        </w:rPr>
        <w:t>proposed</w:t>
      </w:r>
      <w:r w:rsidR="00F05FA4">
        <w:rPr>
          <w:lang w:eastAsia="en-US"/>
        </w:rPr>
        <w:t xml:space="preserve"> NPM</w:t>
      </w:r>
      <w:r w:rsidR="004C5989">
        <w:rPr>
          <w:lang w:eastAsia="en-US"/>
        </w:rPr>
        <w:t>,</w:t>
      </w:r>
      <w:r w:rsidR="00313E6D" w:rsidRPr="00313E6D">
        <w:rPr>
          <w:lang w:eastAsia="en-US"/>
        </w:rPr>
        <w:t xml:space="preserve"> </w:t>
      </w:r>
      <w:r w:rsidR="00957358">
        <w:rPr>
          <w:lang w:eastAsia="en-US"/>
        </w:rPr>
        <w:t xml:space="preserve">with the former </w:t>
      </w:r>
      <w:r w:rsidR="00313E6D">
        <w:rPr>
          <w:lang w:eastAsia="en-US"/>
        </w:rPr>
        <w:t>Australia</w:t>
      </w:r>
      <w:r w:rsidR="00957358">
        <w:rPr>
          <w:lang w:eastAsia="en-US"/>
        </w:rPr>
        <w:t xml:space="preserve">n Government </w:t>
      </w:r>
      <w:r w:rsidR="00313E6D">
        <w:rPr>
          <w:lang w:eastAsia="en-US"/>
        </w:rPr>
        <w:t>adopt</w:t>
      </w:r>
      <w:r w:rsidR="00957358">
        <w:rPr>
          <w:lang w:eastAsia="en-US"/>
        </w:rPr>
        <w:t>ing</w:t>
      </w:r>
      <w:r w:rsidR="00313E6D">
        <w:rPr>
          <w:lang w:eastAsia="en-US"/>
        </w:rPr>
        <w:t xml:space="preserve"> a ‘primary vs secondary’ </w:t>
      </w:r>
      <w:r w:rsidR="0038759C">
        <w:rPr>
          <w:lang w:eastAsia="en-US"/>
        </w:rPr>
        <w:t xml:space="preserve">approach to </w:t>
      </w:r>
      <w:r w:rsidR="00957358">
        <w:rPr>
          <w:lang w:eastAsia="en-US"/>
        </w:rPr>
        <w:t xml:space="preserve">the definition of </w:t>
      </w:r>
      <w:r w:rsidR="00313E6D">
        <w:rPr>
          <w:lang w:eastAsia="en-US"/>
        </w:rPr>
        <w:t>places of detention</w:t>
      </w:r>
      <w:r w:rsidR="00DD2297">
        <w:rPr>
          <w:lang w:eastAsia="en-US"/>
        </w:rPr>
        <w:t>,</w:t>
      </w:r>
      <w:r w:rsidR="00313E6D">
        <w:rPr>
          <w:lang w:eastAsia="en-US"/>
        </w:rPr>
        <w:t xml:space="preserve"> </w:t>
      </w:r>
      <w:r w:rsidR="00582419">
        <w:rPr>
          <w:lang w:eastAsia="en-US"/>
        </w:rPr>
        <w:t>despite this</w:t>
      </w:r>
      <w:r w:rsidR="00313E6D">
        <w:rPr>
          <w:lang w:eastAsia="en-US"/>
        </w:rPr>
        <w:t xml:space="preserve"> not </w:t>
      </w:r>
      <w:r w:rsidR="00582419">
        <w:rPr>
          <w:lang w:eastAsia="en-US"/>
        </w:rPr>
        <w:t xml:space="preserve">being </w:t>
      </w:r>
      <w:r w:rsidR="00957358">
        <w:rPr>
          <w:lang w:eastAsia="en-US"/>
        </w:rPr>
        <w:t xml:space="preserve">consistent with </w:t>
      </w:r>
      <w:r w:rsidR="00313E6D">
        <w:rPr>
          <w:lang w:eastAsia="en-US"/>
        </w:rPr>
        <w:t xml:space="preserve">OPCAT and recently </w:t>
      </w:r>
      <w:r w:rsidR="00957358">
        <w:rPr>
          <w:lang w:eastAsia="en-US"/>
        </w:rPr>
        <w:t xml:space="preserve">being </w:t>
      </w:r>
      <w:r w:rsidR="00CA0BE6">
        <w:rPr>
          <w:lang w:eastAsia="en-US"/>
        </w:rPr>
        <w:t>the subject of criticism</w:t>
      </w:r>
      <w:r w:rsidR="00313E6D">
        <w:rPr>
          <w:lang w:eastAsia="en-US"/>
        </w:rPr>
        <w:t xml:space="preserve"> by the United Nations </w:t>
      </w:r>
      <w:r w:rsidR="00D658AD">
        <w:rPr>
          <w:lang w:eastAsia="en-US"/>
        </w:rPr>
        <w:t>Committee Against</w:t>
      </w:r>
      <w:r w:rsidR="00313E6D">
        <w:rPr>
          <w:lang w:eastAsia="en-US"/>
        </w:rPr>
        <w:t xml:space="preserve"> Torture.</w:t>
      </w:r>
      <w:r w:rsidR="005660BE">
        <w:rPr>
          <w:rStyle w:val="FootnoteReference"/>
          <w:lang w:eastAsia="en-US"/>
        </w:rPr>
        <w:footnoteReference w:id="59"/>
      </w:r>
    </w:p>
    <w:p w14:paraId="1D943F28" w14:textId="6C456612" w:rsidR="00A971E6" w:rsidRDefault="0070560B" w:rsidP="009912A9">
      <w:pPr>
        <w:rPr>
          <w:lang w:eastAsia="en-US"/>
        </w:rPr>
      </w:pPr>
      <w:r w:rsidRPr="0070560B">
        <w:rPr>
          <w:lang w:eastAsia="en-US"/>
        </w:rPr>
        <w:t xml:space="preserve">The implementation of OPCAT </w:t>
      </w:r>
      <w:r w:rsidR="00A962A3">
        <w:rPr>
          <w:lang w:eastAsia="en-US"/>
        </w:rPr>
        <w:t xml:space="preserve">in Australia </w:t>
      </w:r>
      <w:r w:rsidRPr="0070560B">
        <w:rPr>
          <w:lang w:eastAsia="en-US"/>
        </w:rPr>
        <w:t>is at risk of failing to meet the needs of people with disability unless specific changes are made</w:t>
      </w:r>
      <w:r w:rsidR="00935A7B">
        <w:rPr>
          <w:lang w:eastAsia="en-US"/>
        </w:rPr>
        <w:t>. OPCAT represents a</w:t>
      </w:r>
      <w:r w:rsidR="00847528">
        <w:rPr>
          <w:lang w:eastAsia="en-US"/>
        </w:rPr>
        <w:t xml:space="preserve"> unique</w:t>
      </w:r>
      <w:r w:rsidR="00FD79B9">
        <w:rPr>
          <w:lang w:eastAsia="en-US"/>
        </w:rPr>
        <w:t xml:space="preserve"> opportunity to improve safeguards </w:t>
      </w:r>
      <w:r w:rsidR="009E3FED">
        <w:rPr>
          <w:lang w:eastAsia="en-US"/>
        </w:rPr>
        <w:t xml:space="preserve">for </w:t>
      </w:r>
      <w:r w:rsidR="00847528">
        <w:rPr>
          <w:lang w:eastAsia="en-US"/>
        </w:rPr>
        <w:t xml:space="preserve">people who are deprived of their liberty, </w:t>
      </w:r>
      <w:r w:rsidR="00512B61">
        <w:rPr>
          <w:lang w:eastAsia="en-US"/>
        </w:rPr>
        <w:t xml:space="preserve">which disproportionately </w:t>
      </w:r>
      <w:r w:rsidR="001956EC">
        <w:rPr>
          <w:lang w:eastAsia="en-US"/>
        </w:rPr>
        <w:t>includes</w:t>
      </w:r>
      <w:r w:rsidR="00512B61">
        <w:rPr>
          <w:lang w:eastAsia="en-US"/>
        </w:rPr>
        <w:t xml:space="preserve"> people with a disability, yet </w:t>
      </w:r>
      <w:r w:rsidR="00A971E6">
        <w:rPr>
          <w:lang w:eastAsia="en-US"/>
        </w:rPr>
        <w:t>Australia’s failure t</w:t>
      </w:r>
      <w:r w:rsidR="00E05752">
        <w:rPr>
          <w:lang w:eastAsia="en-US"/>
        </w:rPr>
        <w:t xml:space="preserve">o establish an independent, </w:t>
      </w:r>
      <w:r w:rsidR="006955C6">
        <w:rPr>
          <w:lang w:eastAsia="en-US"/>
        </w:rPr>
        <w:t>effective,</w:t>
      </w:r>
      <w:r w:rsidR="00E05752">
        <w:rPr>
          <w:lang w:eastAsia="en-US"/>
        </w:rPr>
        <w:t xml:space="preserve"> and well-resourced network of NPMs ahead of the deadline in January 2023</w:t>
      </w:r>
      <w:r w:rsidR="00D415CA">
        <w:rPr>
          <w:lang w:eastAsia="en-US"/>
        </w:rPr>
        <w:t xml:space="preserve"> </w:t>
      </w:r>
      <w:r w:rsidR="00364791">
        <w:rPr>
          <w:lang w:eastAsia="en-US"/>
        </w:rPr>
        <w:t>is causing the Committee Against Torture ‘serious concern</w:t>
      </w:r>
      <w:r w:rsidR="006955C6">
        <w:rPr>
          <w:lang w:eastAsia="en-US"/>
        </w:rPr>
        <w:t>.</w:t>
      </w:r>
      <w:r w:rsidR="00364791">
        <w:rPr>
          <w:lang w:eastAsia="en-US"/>
        </w:rPr>
        <w:t>’</w:t>
      </w:r>
      <w:r w:rsidR="006955C6">
        <w:rPr>
          <w:rStyle w:val="FootnoteReference"/>
          <w:lang w:eastAsia="en-US"/>
        </w:rPr>
        <w:footnoteReference w:id="60"/>
      </w:r>
      <w:r w:rsidR="00D658AD">
        <w:rPr>
          <w:lang w:eastAsia="en-US"/>
        </w:rPr>
        <w:t xml:space="preserve"> This follows a failed visit by the Subcommittee on the Prevention </w:t>
      </w:r>
      <w:r w:rsidR="00481523">
        <w:rPr>
          <w:lang w:eastAsia="en-US"/>
        </w:rPr>
        <w:t>of</w:t>
      </w:r>
      <w:r w:rsidR="00D658AD">
        <w:rPr>
          <w:lang w:eastAsia="en-US"/>
        </w:rPr>
        <w:t xml:space="preserve"> Torture</w:t>
      </w:r>
      <w:r w:rsidR="00481523">
        <w:rPr>
          <w:lang w:eastAsia="en-US"/>
        </w:rPr>
        <w:t xml:space="preserve"> to Australia in October 2022</w:t>
      </w:r>
      <w:r w:rsidR="008B1E16">
        <w:rPr>
          <w:lang w:eastAsia="en-US"/>
        </w:rPr>
        <w:t xml:space="preserve"> </w:t>
      </w:r>
      <w:r w:rsidR="00957358">
        <w:rPr>
          <w:lang w:eastAsia="en-US"/>
        </w:rPr>
        <w:t>when</w:t>
      </w:r>
      <w:r w:rsidR="008B1E16">
        <w:rPr>
          <w:lang w:eastAsia="en-US"/>
        </w:rPr>
        <w:t xml:space="preserve"> the </w:t>
      </w:r>
      <w:r w:rsidR="00514AE7">
        <w:rPr>
          <w:lang w:eastAsia="en-US"/>
        </w:rPr>
        <w:t>C</w:t>
      </w:r>
      <w:r w:rsidR="008B1E16">
        <w:rPr>
          <w:lang w:eastAsia="en-US"/>
        </w:rPr>
        <w:t xml:space="preserve">ommittee </w:t>
      </w:r>
      <w:r w:rsidR="00514AE7">
        <w:rPr>
          <w:lang w:eastAsia="en-US"/>
        </w:rPr>
        <w:t xml:space="preserve">was </w:t>
      </w:r>
      <w:r w:rsidR="008B1E16">
        <w:rPr>
          <w:lang w:eastAsia="en-US"/>
        </w:rPr>
        <w:t xml:space="preserve">forced to suspend </w:t>
      </w:r>
      <w:r w:rsidR="00514AE7">
        <w:rPr>
          <w:lang w:eastAsia="en-US"/>
        </w:rPr>
        <w:t xml:space="preserve">its </w:t>
      </w:r>
      <w:r w:rsidR="008B1E16">
        <w:rPr>
          <w:lang w:eastAsia="en-US"/>
        </w:rPr>
        <w:t xml:space="preserve">visit due to being </w:t>
      </w:r>
      <w:r w:rsidR="00F1759A">
        <w:rPr>
          <w:lang w:eastAsia="en-US"/>
        </w:rPr>
        <w:t>deni</w:t>
      </w:r>
      <w:r w:rsidR="008B1E16">
        <w:rPr>
          <w:lang w:eastAsia="en-US"/>
        </w:rPr>
        <w:t>ed access to several places of detention in Queensland and New South Wal</w:t>
      </w:r>
      <w:r w:rsidR="008B1E16" w:rsidRPr="00DF5D86">
        <w:rPr>
          <w:lang w:eastAsia="en-US"/>
        </w:rPr>
        <w:t>es</w:t>
      </w:r>
      <w:r w:rsidR="008B1E16">
        <w:rPr>
          <w:lang w:eastAsia="en-US"/>
        </w:rPr>
        <w:t>.</w:t>
      </w:r>
      <w:r w:rsidR="00DF5D86">
        <w:rPr>
          <w:rStyle w:val="FootnoteReference"/>
          <w:lang w:eastAsia="en-US"/>
        </w:rPr>
        <w:footnoteReference w:id="61"/>
      </w:r>
    </w:p>
    <w:p w14:paraId="1180FF22" w14:textId="7FE1412D" w:rsidR="00A0621A" w:rsidRDefault="0070560B" w:rsidP="009912A9">
      <w:pPr>
        <w:rPr>
          <w:lang w:eastAsia="en-US"/>
        </w:rPr>
      </w:pPr>
      <w:r w:rsidRPr="0070560B">
        <w:rPr>
          <w:lang w:eastAsia="en-US"/>
        </w:rPr>
        <w:t>Until</w:t>
      </w:r>
      <w:r w:rsidR="00E0003A">
        <w:rPr>
          <w:lang w:eastAsia="en-US"/>
        </w:rPr>
        <w:t xml:space="preserve"> </w:t>
      </w:r>
      <w:r w:rsidR="00A20F8E">
        <w:rPr>
          <w:lang w:eastAsia="en-US"/>
        </w:rPr>
        <w:t>Australia’s</w:t>
      </w:r>
      <w:r w:rsidR="00957358">
        <w:rPr>
          <w:lang w:eastAsia="en-US"/>
        </w:rPr>
        <w:t xml:space="preserve"> </w:t>
      </w:r>
      <w:r w:rsidR="00E0003A">
        <w:rPr>
          <w:lang w:eastAsia="en-US"/>
        </w:rPr>
        <w:t xml:space="preserve">OCPAT </w:t>
      </w:r>
      <w:r w:rsidR="00957358">
        <w:rPr>
          <w:lang w:eastAsia="en-US"/>
        </w:rPr>
        <w:t xml:space="preserve">implementation </w:t>
      </w:r>
      <w:r w:rsidR="00E0003A">
        <w:rPr>
          <w:lang w:eastAsia="en-US"/>
        </w:rPr>
        <w:t>includes the monitoring of disability</w:t>
      </w:r>
      <w:r w:rsidR="00CF40B8">
        <w:rPr>
          <w:lang w:eastAsia="en-US"/>
        </w:rPr>
        <w:t>-</w:t>
      </w:r>
      <w:r w:rsidR="00E0003A">
        <w:rPr>
          <w:lang w:eastAsia="en-US"/>
        </w:rPr>
        <w:t xml:space="preserve">specific places of detention </w:t>
      </w:r>
      <w:r w:rsidR="00957358">
        <w:rPr>
          <w:lang w:eastAsia="en-US"/>
        </w:rPr>
        <w:t>using</w:t>
      </w:r>
      <w:r w:rsidR="00E0003A">
        <w:rPr>
          <w:lang w:eastAsia="en-US"/>
        </w:rPr>
        <w:t xml:space="preserve"> a disability-aware approach,</w:t>
      </w:r>
      <w:r w:rsidRPr="0070560B">
        <w:rPr>
          <w:lang w:eastAsia="en-US"/>
        </w:rPr>
        <w:t xml:space="preserve"> people with disability will continue to experience, and be at risk of, violence, abuse, neglect, and exploitation in these settings.</w:t>
      </w:r>
    </w:p>
    <w:p w14:paraId="4E20084E" w14:textId="29A5B79B" w:rsidR="00005997" w:rsidRDefault="00005997" w:rsidP="009912A9">
      <w:pPr>
        <w:rPr>
          <w:lang w:eastAsia="en-US"/>
        </w:rPr>
      </w:pPr>
      <w:r>
        <w:rPr>
          <w:lang w:eastAsia="en-US"/>
        </w:rPr>
        <w:t>QAI has produced a position statement with six recommendations for effective OPCAT implementation</w:t>
      </w:r>
      <w:r w:rsidR="00CB7DD9">
        <w:rPr>
          <w:lang w:eastAsia="en-US"/>
        </w:rPr>
        <w:t xml:space="preserve"> in Australi</w:t>
      </w:r>
      <w:r w:rsidR="00CB7DD9" w:rsidRPr="00084010">
        <w:rPr>
          <w:lang w:eastAsia="en-US"/>
        </w:rPr>
        <w:t>a</w:t>
      </w:r>
      <w:r w:rsidR="00CB7DD9">
        <w:rPr>
          <w:lang w:eastAsia="en-US"/>
        </w:rPr>
        <w:t xml:space="preserve">. </w:t>
      </w:r>
      <w:r w:rsidR="008F0652">
        <w:rPr>
          <w:lang w:eastAsia="en-US"/>
        </w:rPr>
        <w:t>It calls for</w:t>
      </w:r>
      <w:r w:rsidR="00B06EDD">
        <w:rPr>
          <w:lang w:eastAsia="en-US"/>
        </w:rPr>
        <w:t>;</w:t>
      </w:r>
      <w:r w:rsidR="00CB7DD9">
        <w:rPr>
          <w:lang w:eastAsia="en-US"/>
        </w:rPr>
        <w:t xml:space="preserve"> </w:t>
      </w:r>
      <w:r w:rsidR="005E5961">
        <w:rPr>
          <w:lang w:eastAsia="en-US"/>
        </w:rPr>
        <w:t xml:space="preserve">OPCAT </w:t>
      </w:r>
      <w:r w:rsidR="00957358">
        <w:rPr>
          <w:lang w:eastAsia="en-US"/>
        </w:rPr>
        <w:t>monitoring and reporting obligations to extend</w:t>
      </w:r>
      <w:r w:rsidR="005E5961">
        <w:rPr>
          <w:lang w:eastAsia="en-US"/>
        </w:rPr>
        <w:t xml:space="preserve"> to all places of detention;</w:t>
      </w:r>
      <w:r w:rsidR="00477218">
        <w:rPr>
          <w:lang w:eastAsia="en-US"/>
        </w:rPr>
        <w:t xml:space="preserve"> the appointment of the Australian</w:t>
      </w:r>
      <w:r w:rsidR="00DA7099">
        <w:rPr>
          <w:lang w:eastAsia="en-US"/>
        </w:rPr>
        <w:t xml:space="preserve"> and Queensland</w:t>
      </w:r>
      <w:r w:rsidR="00477218">
        <w:rPr>
          <w:lang w:eastAsia="en-US"/>
        </w:rPr>
        <w:t xml:space="preserve"> Human Rights Commission</w:t>
      </w:r>
      <w:r w:rsidR="00DA7099">
        <w:rPr>
          <w:lang w:eastAsia="en-US"/>
        </w:rPr>
        <w:t>s</w:t>
      </w:r>
      <w:r w:rsidR="00477218">
        <w:rPr>
          <w:lang w:eastAsia="en-US"/>
        </w:rPr>
        <w:t xml:space="preserve"> to lead and coordinate the NPM</w:t>
      </w:r>
      <w:r w:rsidR="00DA7099">
        <w:rPr>
          <w:lang w:eastAsia="en-US"/>
        </w:rPr>
        <w:t>s for Australia and Queensland respectively;</w:t>
      </w:r>
      <w:r w:rsidR="00080A9C">
        <w:rPr>
          <w:lang w:eastAsia="en-US"/>
        </w:rPr>
        <w:t xml:space="preserve"> formal collaborations with Civil Society Organisations; formal collaborations with people with lived experience of detention in monitoring activities; </w:t>
      </w:r>
      <w:r w:rsidR="001144FD">
        <w:rPr>
          <w:lang w:eastAsia="en-US"/>
        </w:rPr>
        <w:t>the p</w:t>
      </w:r>
      <w:r w:rsidR="00080A9C">
        <w:rPr>
          <w:lang w:eastAsia="en-US"/>
        </w:rPr>
        <w:t>rovi</w:t>
      </w:r>
      <w:r w:rsidR="001144FD">
        <w:rPr>
          <w:lang w:eastAsia="en-US"/>
        </w:rPr>
        <w:t>sion of culturally and disability inclusive information</w:t>
      </w:r>
      <w:r w:rsidR="00080A9C">
        <w:rPr>
          <w:lang w:eastAsia="en-US"/>
        </w:rPr>
        <w:t xml:space="preserve"> to people in detention</w:t>
      </w:r>
      <w:r w:rsidR="00A4133A">
        <w:rPr>
          <w:lang w:eastAsia="en-US"/>
        </w:rPr>
        <w:t>;</w:t>
      </w:r>
      <w:r w:rsidR="00080A9C">
        <w:rPr>
          <w:lang w:eastAsia="en-US"/>
        </w:rPr>
        <w:t xml:space="preserve"> </w:t>
      </w:r>
      <w:r w:rsidR="00CF280B">
        <w:rPr>
          <w:lang w:eastAsia="en-US"/>
        </w:rPr>
        <w:t>and</w:t>
      </w:r>
      <w:r w:rsidR="00080A9C">
        <w:rPr>
          <w:lang w:eastAsia="en-US"/>
        </w:rPr>
        <w:t xml:space="preserve"> </w:t>
      </w:r>
      <w:r w:rsidR="00572C88">
        <w:rPr>
          <w:lang w:eastAsia="en-US"/>
        </w:rPr>
        <w:t>the enactment of</w:t>
      </w:r>
      <w:r w:rsidR="00080A9C">
        <w:rPr>
          <w:lang w:eastAsia="en-US"/>
        </w:rPr>
        <w:t xml:space="preserve"> OPCAT compliant legislation at</w:t>
      </w:r>
      <w:r w:rsidR="00A4133A">
        <w:rPr>
          <w:lang w:eastAsia="en-US"/>
        </w:rPr>
        <w:t xml:space="preserve"> both</w:t>
      </w:r>
      <w:r w:rsidR="00080A9C">
        <w:rPr>
          <w:lang w:eastAsia="en-US"/>
        </w:rPr>
        <w:t xml:space="preserve"> the federal and state/territory </w:t>
      </w:r>
      <w:r w:rsidR="00080A9C" w:rsidRPr="00287660">
        <w:rPr>
          <w:lang w:eastAsia="en-US"/>
        </w:rPr>
        <w:t>levels.</w:t>
      </w:r>
      <w:r w:rsidR="00287660">
        <w:rPr>
          <w:rStyle w:val="FootnoteReference"/>
          <w:lang w:eastAsia="en-US"/>
        </w:rPr>
        <w:footnoteReference w:id="62"/>
      </w:r>
      <w:r w:rsidR="00C9689F">
        <w:rPr>
          <w:lang w:eastAsia="en-US"/>
        </w:rPr>
        <w:t xml:space="preserve"> </w:t>
      </w:r>
    </w:p>
    <w:p w14:paraId="0098F133" w14:textId="3DA91BA8" w:rsidR="001A48F8" w:rsidRDefault="00E86095" w:rsidP="0073509D">
      <w:pPr>
        <w:pStyle w:val="Heading2"/>
        <w:spacing w:before="240"/>
        <w:ind w:left="0"/>
        <w:rPr>
          <w:lang w:eastAsia="en-US"/>
        </w:rPr>
      </w:pPr>
      <w:r>
        <w:rPr>
          <w:lang w:eastAsia="en-US"/>
        </w:rPr>
        <w:t>I</w:t>
      </w:r>
      <w:r w:rsidR="0073509D">
        <w:rPr>
          <w:lang w:eastAsia="en-US"/>
        </w:rPr>
        <w:t xml:space="preserve">ndependent </w:t>
      </w:r>
      <w:r w:rsidR="00945433">
        <w:rPr>
          <w:lang w:eastAsia="en-US"/>
        </w:rPr>
        <w:t xml:space="preserve">disability </w:t>
      </w:r>
      <w:r w:rsidR="0073509D">
        <w:rPr>
          <w:lang w:eastAsia="en-US"/>
        </w:rPr>
        <w:t>advocacy</w:t>
      </w:r>
    </w:p>
    <w:p w14:paraId="49CF5228" w14:textId="238EC1C6" w:rsidR="002D3A78" w:rsidRDefault="00EE3338" w:rsidP="009912A9">
      <w:pPr>
        <w:rPr>
          <w:lang w:eastAsia="en-US"/>
        </w:rPr>
      </w:pPr>
      <w:r>
        <w:rPr>
          <w:lang w:eastAsia="en-US"/>
        </w:rPr>
        <w:t xml:space="preserve">Another critical safeguard </w:t>
      </w:r>
      <w:r w:rsidR="002D3A78">
        <w:rPr>
          <w:lang w:eastAsia="en-US"/>
        </w:rPr>
        <w:t>that helps to identify and protect against violence, abuse, neglect, and exploitation of people with disability is a well-resourced, independent disability advocacy sector.</w:t>
      </w:r>
      <w:r w:rsidR="00EA4D92">
        <w:rPr>
          <w:lang w:eastAsia="en-US"/>
        </w:rPr>
        <w:t xml:space="preserve"> </w:t>
      </w:r>
      <w:r w:rsidR="002E3474">
        <w:rPr>
          <w:lang w:eastAsia="en-US"/>
        </w:rPr>
        <w:t>As the Queensland Public Advocate recently stated, “</w:t>
      </w:r>
      <w:r w:rsidR="00F14EB1">
        <w:rPr>
          <w:lang w:eastAsia="en-US"/>
        </w:rPr>
        <w:t>i</w:t>
      </w:r>
      <w:r w:rsidR="002E3474">
        <w:rPr>
          <w:lang w:eastAsia="en-US"/>
        </w:rPr>
        <w:t>ndividual advocacy is a critical safeguard for at-risk adults as advocates can support people to navigate complex systems, make complaints and raise concerns, ensure that their rights and wellbeing are protected, and that their preferences are heard.”</w:t>
      </w:r>
      <w:r w:rsidR="003B4F6A">
        <w:rPr>
          <w:rStyle w:val="FootnoteReference"/>
          <w:lang w:eastAsia="en-US"/>
        </w:rPr>
        <w:footnoteReference w:id="63"/>
      </w:r>
      <w:r w:rsidR="003B4F6A">
        <w:rPr>
          <w:lang w:eastAsia="en-US"/>
        </w:rPr>
        <w:t xml:space="preserve"> </w:t>
      </w:r>
      <w:r w:rsidR="00EA4D92">
        <w:rPr>
          <w:lang w:eastAsia="en-US"/>
        </w:rPr>
        <w:t>Independent disability advocates</w:t>
      </w:r>
      <w:r w:rsidR="009428BC">
        <w:rPr>
          <w:lang w:eastAsia="en-US"/>
        </w:rPr>
        <w:t xml:space="preserve"> work alongside</w:t>
      </w:r>
      <w:r w:rsidR="00FE737D">
        <w:rPr>
          <w:lang w:eastAsia="en-US"/>
        </w:rPr>
        <w:t xml:space="preserve"> people facing disadvantage to promote, protect and defend human rights by supporting the person’s will and preferences to be upheld</w:t>
      </w:r>
      <w:r w:rsidR="00F91611">
        <w:rPr>
          <w:lang w:eastAsia="en-US"/>
        </w:rPr>
        <w:t xml:space="preserve">. This </w:t>
      </w:r>
      <w:r w:rsidR="004C3BBB">
        <w:rPr>
          <w:lang w:eastAsia="en-US"/>
        </w:rPr>
        <w:t xml:space="preserve">can </w:t>
      </w:r>
      <w:r w:rsidR="00F91611">
        <w:rPr>
          <w:lang w:eastAsia="en-US"/>
        </w:rPr>
        <w:t>i</w:t>
      </w:r>
      <w:r w:rsidR="00EC4516">
        <w:rPr>
          <w:lang w:eastAsia="en-US"/>
        </w:rPr>
        <w:t>nclude</w:t>
      </w:r>
      <w:r w:rsidR="00F91611">
        <w:rPr>
          <w:lang w:eastAsia="en-US"/>
        </w:rPr>
        <w:t xml:space="preserve"> </w:t>
      </w:r>
      <w:r w:rsidR="00957358">
        <w:rPr>
          <w:lang w:eastAsia="en-US"/>
        </w:rPr>
        <w:t>provision of</w:t>
      </w:r>
      <w:r w:rsidR="00F91611">
        <w:rPr>
          <w:lang w:eastAsia="en-US"/>
        </w:rPr>
        <w:t xml:space="preserve"> </w:t>
      </w:r>
      <w:r w:rsidR="00B63F47">
        <w:rPr>
          <w:lang w:eastAsia="en-US"/>
        </w:rPr>
        <w:t>supported decision-making</w:t>
      </w:r>
      <w:r w:rsidR="00CF1777">
        <w:rPr>
          <w:lang w:eastAsia="en-US"/>
        </w:rPr>
        <w:t xml:space="preserve"> </w:t>
      </w:r>
      <w:r w:rsidR="00F31EBB">
        <w:rPr>
          <w:lang w:eastAsia="en-US"/>
        </w:rPr>
        <w:t>and</w:t>
      </w:r>
      <w:r w:rsidR="007B4ED5">
        <w:rPr>
          <w:lang w:eastAsia="en-US"/>
        </w:rPr>
        <w:t xml:space="preserve"> </w:t>
      </w:r>
      <w:r w:rsidR="00A00181">
        <w:rPr>
          <w:lang w:eastAsia="en-US"/>
        </w:rPr>
        <w:t>can in</w:t>
      </w:r>
      <w:r w:rsidR="00CB5C02">
        <w:rPr>
          <w:lang w:eastAsia="en-US"/>
        </w:rPr>
        <w:t>volve</w:t>
      </w:r>
      <w:r w:rsidR="007B4ED5">
        <w:rPr>
          <w:lang w:eastAsia="en-US"/>
        </w:rPr>
        <w:t xml:space="preserve"> </w:t>
      </w:r>
      <w:r w:rsidR="005E358B">
        <w:rPr>
          <w:lang w:eastAsia="en-US"/>
        </w:rPr>
        <w:t xml:space="preserve">assisting </w:t>
      </w:r>
      <w:r w:rsidR="00CB5C02">
        <w:rPr>
          <w:lang w:eastAsia="en-US"/>
        </w:rPr>
        <w:t>a</w:t>
      </w:r>
      <w:r w:rsidR="005E358B">
        <w:rPr>
          <w:lang w:eastAsia="en-US"/>
        </w:rPr>
        <w:t xml:space="preserve"> person to hold government departments and other entities to account.</w:t>
      </w:r>
      <w:r w:rsidR="00A00181">
        <w:rPr>
          <w:lang w:eastAsia="en-US"/>
        </w:rPr>
        <w:t xml:space="preserve"> </w:t>
      </w:r>
    </w:p>
    <w:p w14:paraId="092B27C7" w14:textId="007F805A" w:rsidR="00AC4F45" w:rsidRDefault="00C84BC2" w:rsidP="00232DDC">
      <w:pPr>
        <w:rPr>
          <w:lang w:eastAsia="en-US"/>
        </w:rPr>
      </w:pPr>
      <w:r>
        <w:rPr>
          <w:lang w:eastAsia="en-US"/>
        </w:rPr>
        <w:t xml:space="preserve">However, </w:t>
      </w:r>
      <w:r w:rsidR="00CB5C02">
        <w:rPr>
          <w:lang w:eastAsia="en-US"/>
        </w:rPr>
        <w:t xml:space="preserve">funding for disability advocacy is </w:t>
      </w:r>
      <w:r w:rsidR="00CF63DB">
        <w:rPr>
          <w:lang w:eastAsia="en-US"/>
        </w:rPr>
        <w:t xml:space="preserve">notoriously </w:t>
      </w:r>
      <w:r w:rsidR="00FA0A5A">
        <w:rPr>
          <w:lang w:eastAsia="en-US"/>
        </w:rPr>
        <w:t xml:space="preserve">fragmented, short-term, and perpetually inadequate, </w:t>
      </w:r>
      <w:r w:rsidR="00885D9B">
        <w:rPr>
          <w:lang w:eastAsia="en-US"/>
        </w:rPr>
        <w:t>meaning that many people with disability who require a</w:t>
      </w:r>
      <w:r w:rsidR="00BB168E">
        <w:rPr>
          <w:lang w:eastAsia="en-US"/>
        </w:rPr>
        <w:t xml:space="preserve">dvocacy are either unaware of its existence, </w:t>
      </w:r>
      <w:r w:rsidR="00B251F3">
        <w:rPr>
          <w:lang w:eastAsia="en-US"/>
        </w:rPr>
        <w:t xml:space="preserve">or </w:t>
      </w:r>
      <w:r w:rsidR="00E709EC">
        <w:rPr>
          <w:lang w:eastAsia="en-US"/>
        </w:rPr>
        <w:t xml:space="preserve">are </w:t>
      </w:r>
      <w:r w:rsidR="00BB168E">
        <w:rPr>
          <w:lang w:eastAsia="en-US"/>
        </w:rPr>
        <w:t>unable to access it</w:t>
      </w:r>
      <w:r w:rsidR="00B251F3">
        <w:rPr>
          <w:lang w:eastAsia="en-US"/>
        </w:rPr>
        <w:t xml:space="preserve">. In Queensland, recent changes to the distribution of disability advocacy funding </w:t>
      </w:r>
      <w:r w:rsidR="00EF29DF">
        <w:rPr>
          <w:lang w:eastAsia="en-US"/>
        </w:rPr>
        <w:t xml:space="preserve">across the </w:t>
      </w:r>
      <w:r w:rsidR="007F56E4">
        <w:rPr>
          <w:lang w:eastAsia="en-US"/>
        </w:rPr>
        <w:t>s</w:t>
      </w:r>
      <w:r w:rsidR="00EF29DF">
        <w:rPr>
          <w:lang w:eastAsia="en-US"/>
        </w:rPr>
        <w:t>tate have</w:t>
      </w:r>
      <w:r w:rsidR="00B251F3">
        <w:rPr>
          <w:lang w:eastAsia="en-US"/>
        </w:rPr>
        <w:t xml:space="preserve"> led to an effective reduction in the availability of disability advocates and their capacity to support people experiencing violence</w:t>
      </w:r>
      <w:r w:rsidR="00295FB7">
        <w:rPr>
          <w:lang w:eastAsia="en-US"/>
        </w:rPr>
        <w:t xml:space="preserve">, abuse, </w:t>
      </w:r>
      <w:r w:rsidR="00357230">
        <w:rPr>
          <w:lang w:eastAsia="en-US"/>
        </w:rPr>
        <w:t>neglect,</w:t>
      </w:r>
      <w:r w:rsidR="00295FB7">
        <w:rPr>
          <w:lang w:eastAsia="en-US"/>
        </w:rPr>
        <w:t xml:space="preserve"> and exploitation. </w:t>
      </w:r>
      <w:r w:rsidR="00232DDC">
        <w:rPr>
          <w:lang w:eastAsia="en-US"/>
        </w:rPr>
        <w:t xml:space="preserve">Since the establishment of the Queensland Independent Disability Advocacy Network </w:t>
      </w:r>
      <w:r w:rsidR="009D71B0">
        <w:rPr>
          <w:lang w:eastAsia="en-US"/>
        </w:rPr>
        <w:t xml:space="preserve">(QIDAN) </w:t>
      </w:r>
      <w:r w:rsidR="00453A67">
        <w:rPr>
          <w:lang w:eastAsia="en-US"/>
        </w:rPr>
        <w:t>in</w:t>
      </w:r>
      <w:r w:rsidR="00232DDC">
        <w:rPr>
          <w:lang w:eastAsia="en-US"/>
        </w:rPr>
        <w:t xml:space="preserve"> January 2022, </w:t>
      </w:r>
      <w:r w:rsidR="009D71B0">
        <w:rPr>
          <w:lang w:eastAsia="en-US"/>
        </w:rPr>
        <w:t>in just its first few months</w:t>
      </w:r>
      <w:r w:rsidR="00D40C4F">
        <w:rPr>
          <w:lang w:eastAsia="en-US"/>
        </w:rPr>
        <w:t>,</w:t>
      </w:r>
      <w:r w:rsidR="00453A67">
        <w:rPr>
          <w:lang w:eastAsia="en-US"/>
        </w:rPr>
        <w:t xml:space="preserve"> </w:t>
      </w:r>
      <w:r w:rsidR="00232DDC">
        <w:rPr>
          <w:lang w:eastAsia="en-US"/>
        </w:rPr>
        <w:t>QIDAN member organisations had to turn away hundreds of requests for advocacy due to lack of capacity and resourcin</w:t>
      </w:r>
      <w:r w:rsidR="00232DDC" w:rsidRPr="00D45681">
        <w:rPr>
          <w:lang w:eastAsia="en-US"/>
        </w:rPr>
        <w:t>g</w:t>
      </w:r>
      <w:r w:rsidR="00232DDC">
        <w:rPr>
          <w:lang w:eastAsia="en-US"/>
        </w:rPr>
        <w:t>.</w:t>
      </w:r>
      <w:r w:rsidR="00D45681">
        <w:rPr>
          <w:rStyle w:val="FootnoteReference"/>
          <w:lang w:eastAsia="en-US"/>
        </w:rPr>
        <w:footnoteReference w:id="64"/>
      </w:r>
      <w:r w:rsidR="00E356FC">
        <w:rPr>
          <w:lang w:eastAsia="en-US"/>
        </w:rPr>
        <w:t xml:space="preserve"> </w:t>
      </w:r>
      <w:r w:rsidR="00AC4F45">
        <w:rPr>
          <w:lang w:eastAsia="en-US"/>
        </w:rPr>
        <w:t xml:space="preserve">Additionally, many QIDAN member organisations </w:t>
      </w:r>
      <w:r w:rsidR="00957358">
        <w:rPr>
          <w:lang w:eastAsia="en-US"/>
        </w:rPr>
        <w:t xml:space="preserve">service communities across </w:t>
      </w:r>
      <w:r w:rsidR="00AC4F45">
        <w:rPr>
          <w:lang w:eastAsia="en-US"/>
        </w:rPr>
        <w:t>hundreds of square k</w:t>
      </w:r>
      <w:r w:rsidR="00394787">
        <w:rPr>
          <w:lang w:eastAsia="en-US"/>
        </w:rPr>
        <w:t>ilometres with very limited resources fo</w:t>
      </w:r>
      <w:r w:rsidR="002E60D3">
        <w:rPr>
          <w:lang w:eastAsia="en-US"/>
        </w:rPr>
        <w:t>r</w:t>
      </w:r>
      <w:r w:rsidR="00394787">
        <w:rPr>
          <w:lang w:eastAsia="en-US"/>
        </w:rPr>
        <w:t xml:space="preserve"> outreach and regional and remote engagement.</w:t>
      </w:r>
      <w:r w:rsidR="00F40C91">
        <w:rPr>
          <w:rStyle w:val="FootnoteReference"/>
          <w:lang w:eastAsia="en-US"/>
        </w:rPr>
        <w:footnoteReference w:id="65"/>
      </w:r>
      <w:r w:rsidR="00394787">
        <w:rPr>
          <w:lang w:eastAsia="en-US"/>
        </w:rPr>
        <w:t xml:space="preserve"> </w:t>
      </w:r>
      <w:r w:rsidR="00B46194">
        <w:rPr>
          <w:lang w:eastAsia="en-US"/>
        </w:rPr>
        <w:t>People with disability also do</w:t>
      </w:r>
      <w:r w:rsidR="00957358">
        <w:rPr>
          <w:lang w:eastAsia="en-US"/>
        </w:rPr>
        <w:t xml:space="preserve"> </w:t>
      </w:r>
      <w:r w:rsidR="00B46194">
        <w:rPr>
          <w:lang w:eastAsia="en-US"/>
        </w:rPr>
        <w:t>n</w:t>
      </w:r>
      <w:r w:rsidR="00957358">
        <w:rPr>
          <w:lang w:eastAsia="en-US"/>
        </w:rPr>
        <w:t>o</w:t>
      </w:r>
      <w:r w:rsidR="00B46194">
        <w:rPr>
          <w:lang w:eastAsia="en-US"/>
        </w:rPr>
        <w:t xml:space="preserve">t always have </w:t>
      </w:r>
      <w:r w:rsidR="0084175A">
        <w:rPr>
          <w:lang w:eastAsia="en-US"/>
        </w:rPr>
        <w:t xml:space="preserve">literal </w:t>
      </w:r>
      <w:r w:rsidR="00B46194">
        <w:rPr>
          <w:lang w:eastAsia="en-US"/>
        </w:rPr>
        <w:t xml:space="preserve">access to phones, emails, or computers or the internet, </w:t>
      </w:r>
      <w:r w:rsidR="0084175A">
        <w:rPr>
          <w:lang w:eastAsia="en-US"/>
        </w:rPr>
        <w:t xml:space="preserve">or find these methods of communication inaccessible, </w:t>
      </w:r>
      <w:r w:rsidR="00B46194">
        <w:rPr>
          <w:lang w:eastAsia="en-US"/>
        </w:rPr>
        <w:t xml:space="preserve">making the need for </w:t>
      </w:r>
      <w:r w:rsidR="00F40C91">
        <w:rPr>
          <w:lang w:eastAsia="en-US"/>
        </w:rPr>
        <w:t>face-to-face</w:t>
      </w:r>
      <w:r w:rsidR="00B37499">
        <w:rPr>
          <w:lang w:eastAsia="en-US"/>
        </w:rPr>
        <w:t xml:space="preserve"> advocacy support</w:t>
      </w:r>
      <w:r w:rsidR="00B46194">
        <w:rPr>
          <w:lang w:eastAsia="en-US"/>
        </w:rPr>
        <w:t xml:space="preserve"> even</w:t>
      </w:r>
      <w:r w:rsidR="002E60D3">
        <w:rPr>
          <w:lang w:eastAsia="en-US"/>
        </w:rPr>
        <w:t xml:space="preserve"> more critical</w:t>
      </w:r>
      <w:r w:rsidR="00510495">
        <w:rPr>
          <w:lang w:eastAsia="en-US"/>
        </w:rPr>
        <w:t>,</w:t>
      </w:r>
      <w:r w:rsidR="00B46194">
        <w:rPr>
          <w:lang w:eastAsia="en-US"/>
        </w:rPr>
        <w:t xml:space="preserve"> yet</w:t>
      </w:r>
      <w:r w:rsidR="002E60D3">
        <w:rPr>
          <w:lang w:eastAsia="en-US"/>
        </w:rPr>
        <w:t xml:space="preserve"> increasingly</w:t>
      </w:r>
      <w:r w:rsidR="00B871C4">
        <w:rPr>
          <w:lang w:eastAsia="en-US"/>
        </w:rPr>
        <w:t xml:space="preserve"> un</w:t>
      </w:r>
      <w:r w:rsidR="004C5CCA">
        <w:rPr>
          <w:lang w:eastAsia="en-US"/>
        </w:rPr>
        <w:t>achievable</w:t>
      </w:r>
      <w:r w:rsidR="00B871C4">
        <w:rPr>
          <w:lang w:eastAsia="en-US"/>
        </w:rPr>
        <w:t xml:space="preserve"> given the </w:t>
      </w:r>
      <w:r w:rsidR="00030A4B">
        <w:rPr>
          <w:lang w:eastAsia="en-US"/>
        </w:rPr>
        <w:t xml:space="preserve">limited </w:t>
      </w:r>
      <w:r w:rsidR="00B871C4">
        <w:rPr>
          <w:lang w:eastAsia="en-US"/>
        </w:rPr>
        <w:t>funding.</w:t>
      </w:r>
    </w:p>
    <w:p w14:paraId="538BD903" w14:textId="6C21BD68" w:rsidR="00AD3EA7" w:rsidRDefault="0014551E" w:rsidP="00BE5EAF">
      <w:pPr>
        <w:rPr>
          <w:lang w:eastAsia="en-US"/>
        </w:rPr>
      </w:pPr>
      <w:r>
        <w:rPr>
          <w:lang w:eastAsia="en-US"/>
        </w:rPr>
        <w:t xml:space="preserve">Instability in the advocacy sector due to insufficient and short-term funding cycles has a direct impact on the lives of people </w:t>
      </w:r>
      <w:r w:rsidR="00527CA5">
        <w:rPr>
          <w:lang w:eastAsia="en-US"/>
        </w:rPr>
        <w:t xml:space="preserve">with </w:t>
      </w:r>
      <w:r w:rsidR="00357230">
        <w:rPr>
          <w:lang w:eastAsia="en-US"/>
        </w:rPr>
        <w:t>disability</w:t>
      </w:r>
      <w:r w:rsidR="00BE5EAF">
        <w:rPr>
          <w:lang w:eastAsia="en-US"/>
        </w:rPr>
        <w:t xml:space="preserve">. The importance of independent advocacy is cited </w:t>
      </w:r>
      <w:r w:rsidR="00AD3EA7">
        <w:rPr>
          <w:lang w:eastAsia="en-US"/>
        </w:rPr>
        <w:t xml:space="preserve">in </w:t>
      </w:r>
      <w:r w:rsidR="00BE5EAF">
        <w:rPr>
          <w:lang w:eastAsia="en-US"/>
        </w:rPr>
        <w:t>most</w:t>
      </w:r>
      <w:r w:rsidR="00AD3EA7">
        <w:rPr>
          <w:lang w:eastAsia="en-US"/>
        </w:rPr>
        <w:t>, if not all</w:t>
      </w:r>
      <w:r w:rsidR="0077476E">
        <w:rPr>
          <w:lang w:eastAsia="en-US"/>
        </w:rPr>
        <w:t xml:space="preserve"> rel</w:t>
      </w:r>
      <w:r w:rsidR="00A84274">
        <w:rPr>
          <w:lang w:eastAsia="en-US"/>
        </w:rPr>
        <w:t>evant</w:t>
      </w:r>
      <w:r w:rsidR="0077476E">
        <w:rPr>
          <w:lang w:eastAsia="en-US"/>
        </w:rPr>
        <w:t xml:space="preserve"> </w:t>
      </w:r>
      <w:r w:rsidR="0077476E" w:rsidRPr="00601C16">
        <w:rPr>
          <w:lang w:eastAsia="en-US"/>
        </w:rPr>
        <w:t>inquiries</w:t>
      </w:r>
      <w:r w:rsidR="005D2969" w:rsidRPr="00601C16">
        <w:rPr>
          <w:rStyle w:val="FootnoteReference"/>
          <w:lang w:eastAsia="en-US"/>
        </w:rPr>
        <w:footnoteReference w:id="66"/>
      </w:r>
      <w:r w:rsidR="0077476E" w:rsidRPr="00601C16">
        <w:rPr>
          <w:lang w:eastAsia="en-US"/>
        </w:rPr>
        <w:t>,</w:t>
      </w:r>
      <w:r w:rsidR="0077476E">
        <w:rPr>
          <w:lang w:eastAsia="en-US"/>
        </w:rPr>
        <w:t xml:space="preserve"> yet </w:t>
      </w:r>
      <w:r w:rsidR="00357230">
        <w:rPr>
          <w:lang w:eastAsia="en-US"/>
        </w:rPr>
        <w:t>it</w:t>
      </w:r>
      <w:r w:rsidR="00A84274">
        <w:rPr>
          <w:lang w:eastAsia="en-US"/>
        </w:rPr>
        <w:t xml:space="preserve"> ha</w:t>
      </w:r>
      <w:r w:rsidR="00357230">
        <w:rPr>
          <w:lang w:eastAsia="en-US"/>
        </w:rPr>
        <w:t xml:space="preserve">s </w:t>
      </w:r>
      <w:r w:rsidR="0077476E">
        <w:rPr>
          <w:lang w:eastAsia="en-US"/>
        </w:rPr>
        <w:t>failed t</w:t>
      </w:r>
      <w:r w:rsidR="005C73A0">
        <w:rPr>
          <w:lang w:eastAsia="en-US"/>
        </w:rPr>
        <w:t>o attract the commitment</w:t>
      </w:r>
      <w:r w:rsidR="00A84274">
        <w:rPr>
          <w:lang w:eastAsia="en-US"/>
        </w:rPr>
        <w:t xml:space="preserve"> from state and federal </w:t>
      </w:r>
      <w:r w:rsidR="00A24E48">
        <w:rPr>
          <w:lang w:eastAsia="en-US"/>
        </w:rPr>
        <w:t xml:space="preserve">governments that it requires, </w:t>
      </w:r>
      <w:r w:rsidR="000114FB">
        <w:rPr>
          <w:lang w:eastAsia="en-US"/>
        </w:rPr>
        <w:t xml:space="preserve">forcing </w:t>
      </w:r>
      <w:r w:rsidR="0077476E">
        <w:rPr>
          <w:lang w:eastAsia="en-US"/>
        </w:rPr>
        <w:t xml:space="preserve">the sector to </w:t>
      </w:r>
      <w:r w:rsidR="008A51CE">
        <w:rPr>
          <w:lang w:eastAsia="en-US"/>
        </w:rPr>
        <w:t>use</w:t>
      </w:r>
      <w:r w:rsidR="0077476E">
        <w:rPr>
          <w:lang w:eastAsia="en-US"/>
        </w:rPr>
        <w:t xml:space="preserve"> already depleted resources to</w:t>
      </w:r>
      <w:r w:rsidR="008A51CE">
        <w:rPr>
          <w:lang w:eastAsia="en-US"/>
        </w:rPr>
        <w:t xml:space="preserve"> continuously</w:t>
      </w:r>
      <w:r w:rsidR="0077476E">
        <w:rPr>
          <w:lang w:eastAsia="en-US"/>
        </w:rPr>
        <w:t xml:space="preserve"> advocate for </w:t>
      </w:r>
      <w:r w:rsidR="00A24E48">
        <w:rPr>
          <w:lang w:eastAsia="en-US"/>
        </w:rPr>
        <w:t>its</w:t>
      </w:r>
      <w:r w:rsidR="0077476E">
        <w:rPr>
          <w:lang w:eastAsia="en-US"/>
        </w:rPr>
        <w:t xml:space="preserve"> ongoing existence. </w:t>
      </w:r>
    </w:p>
    <w:p w14:paraId="0F4C779B" w14:textId="2DC5BFB8" w:rsidR="00F40C91" w:rsidRDefault="00F84934" w:rsidP="003515FA">
      <w:pPr>
        <w:rPr>
          <w:lang w:eastAsia="en-US"/>
        </w:rPr>
      </w:pPr>
      <w:r>
        <w:rPr>
          <w:lang w:eastAsia="en-US"/>
        </w:rPr>
        <w:t>As</w:t>
      </w:r>
      <w:r w:rsidR="00F27339">
        <w:rPr>
          <w:lang w:eastAsia="en-US"/>
        </w:rPr>
        <w:t xml:space="preserve"> disability advocacy is a shared responsibility across all levels of government,</w:t>
      </w:r>
      <w:r>
        <w:rPr>
          <w:lang w:eastAsia="en-US"/>
        </w:rPr>
        <w:t xml:space="preserve"> </w:t>
      </w:r>
      <w:r w:rsidR="008A51CE">
        <w:rPr>
          <w:lang w:eastAsia="en-US"/>
        </w:rPr>
        <w:t>we</w:t>
      </w:r>
      <w:r>
        <w:rPr>
          <w:lang w:eastAsia="en-US"/>
        </w:rPr>
        <w:t xml:space="preserve"> need greater collaboration</w:t>
      </w:r>
      <w:r w:rsidR="00EA3094">
        <w:rPr>
          <w:lang w:eastAsia="en-US"/>
        </w:rPr>
        <w:t xml:space="preserve"> and investment</w:t>
      </w:r>
      <w:r>
        <w:rPr>
          <w:lang w:eastAsia="en-US"/>
        </w:rPr>
        <w:t xml:space="preserve"> between the</w:t>
      </w:r>
      <w:r w:rsidR="00F27339">
        <w:rPr>
          <w:lang w:eastAsia="en-US"/>
        </w:rPr>
        <w:t xml:space="preserve"> Commonwealth, </w:t>
      </w:r>
      <w:r w:rsidR="008A51CE">
        <w:rPr>
          <w:lang w:eastAsia="en-US"/>
        </w:rPr>
        <w:t>state,</w:t>
      </w:r>
      <w:r w:rsidR="00F27339">
        <w:rPr>
          <w:lang w:eastAsia="en-US"/>
        </w:rPr>
        <w:t xml:space="preserve"> and territory</w:t>
      </w:r>
      <w:r>
        <w:rPr>
          <w:lang w:eastAsia="en-US"/>
        </w:rPr>
        <w:t xml:space="preserve"> governments</w:t>
      </w:r>
      <w:r w:rsidR="004673A2">
        <w:rPr>
          <w:lang w:eastAsia="en-US"/>
        </w:rPr>
        <w:t xml:space="preserve">. </w:t>
      </w:r>
      <w:r w:rsidR="009E0F98">
        <w:rPr>
          <w:lang w:eastAsia="en-US"/>
        </w:rPr>
        <w:t xml:space="preserve">Despite </w:t>
      </w:r>
      <w:r w:rsidR="00FB2495">
        <w:rPr>
          <w:lang w:eastAsia="en-US"/>
        </w:rPr>
        <w:t xml:space="preserve">mistaken </w:t>
      </w:r>
      <w:r w:rsidR="00081548">
        <w:rPr>
          <w:lang w:eastAsia="en-US"/>
        </w:rPr>
        <w:t>beliefs to the contrary, t</w:t>
      </w:r>
      <w:r w:rsidR="004673A2">
        <w:rPr>
          <w:lang w:eastAsia="en-US"/>
        </w:rPr>
        <w:t>he introduction of the NDIS</w:t>
      </w:r>
      <w:r w:rsidR="00081548">
        <w:rPr>
          <w:lang w:eastAsia="en-US"/>
        </w:rPr>
        <w:t xml:space="preserve"> </w:t>
      </w:r>
      <w:r w:rsidR="00A23FD1">
        <w:rPr>
          <w:lang w:eastAsia="en-US"/>
        </w:rPr>
        <w:t>doe</w:t>
      </w:r>
      <w:r w:rsidR="00081548">
        <w:rPr>
          <w:lang w:eastAsia="en-US"/>
        </w:rPr>
        <w:t>s</w:t>
      </w:r>
      <w:r w:rsidR="004673A2">
        <w:rPr>
          <w:lang w:eastAsia="en-US"/>
        </w:rPr>
        <w:t xml:space="preserve"> not absolve state and territory </w:t>
      </w:r>
      <w:r w:rsidR="009E0F98">
        <w:rPr>
          <w:lang w:eastAsia="en-US"/>
        </w:rPr>
        <w:t>governments</w:t>
      </w:r>
      <w:r w:rsidR="004673A2">
        <w:rPr>
          <w:lang w:eastAsia="en-US"/>
        </w:rPr>
        <w:t xml:space="preserve"> </w:t>
      </w:r>
      <w:r w:rsidR="009350A8">
        <w:rPr>
          <w:lang w:eastAsia="en-US"/>
        </w:rPr>
        <w:t xml:space="preserve">of </w:t>
      </w:r>
      <w:r w:rsidR="004673A2">
        <w:rPr>
          <w:lang w:eastAsia="en-US"/>
        </w:rPr>
        <w:t xml:space="preserve">their responsibilities to fund disability advocacy, as </w:t>
      </w:r>
      <w:r w:rsidR="00B56935">
        <w:rPr>
          <w:lang w:eastAsia="en-US"/>
        </w:rPr>
        <w:t>most</w:t>
      </w:r>
      <w:r w:rsidR="004673A2">
        <w:rPr>
          <w:lang w:eastAsia="en-US"/>
        </w:rPr>
        <w:t xml:space="preserve"> people with disability are ineligible for the NDIS and</w:t>
      </w:r>
      <w:r w:rsidR="003C2A88">
        <w:rPr>
          <w:lang w:eastAsia="en-US"/>
        </w:rPr>
        <w:t xml:space="preserve"> continue to</w:t>
      </w:r>
      <w:r w:rsidR="004673A2">
        <w:rPr>
          <w:lang w:eastAsia="en-US"/>
        </w:rPr>
        <w:t xml:space="preserve"> </w:t>
      </w:r>
      <w:r w:rsidR="00B56935">
        <w:rPr>
          <w:lang w:eastAsia="en-US"/>
        </w:rPr>
        <w:t xml:space="preserve">primarily </w:t>
      </w:r>
      <w:r w:rsidR="004673A2">
        <w:rPr>
          <w:lang w:eastAsia="en-US"/>
        </w:rPr>
        <w:t>rely upon state funded services.</w:t>
      </w:r>
      <w:r w:rsidR="00D07513">
        <w:rPr>
          <w:rStyle w:val="FootnoteReference"/>
          <w:lang w:eastAsia="en-US"/>
        </w:rPr>
        <w:footnoteReference w:id="67"/>
      </w:r>
      <w:r w:rsidR="004673A2">
        <w:rPr>
          <w:lang w:eastAsia="en-US"/>
        </w:rPr>
        <w:t xml:space="preserve"> </w:t>
      </w:r>
      <w:r w:rsidR="009350A8">
        <w:rPr>
          <w:lang w:eastAsia="en-US"/>
        </w:rPr>
        <w:t xml:space="preserve">Further, many people with disability require advocacy support to engage with agencies that are operated by state and territory governments, such as education, </w:t>
      </w:r>
      <w:r w:rsidR="00F56347">
        <w:rPr>
          <w:lang w:eastAsia="en-US"/>
        </w:rPr>
        <w:t>transport,</w:t>
      </w:r>
      <w:r w:rsidR="009350A8">
        <w:rPr>
          <w:lang w:eastAsia="en-US"/>
        </w:rPr>
        <w:t xml:space="preserve"> and the justice system. </w:t>
      </w:r>
      <w:r w:rsidR="00E001FD">
        <w:rPr>
          <w:lang w:eastAsia="en-US"/>
        </w:rPr>
        <w:t xml:space="preserve">Moreover, </w:t>
      </w:r>
      <w:r w:rsidR="009350A8">
        <w:rPr>
          <w:lang w:eastAsia="en-US"/>
        </w:rPr>
        <w:t>funding of</w:t>
      </w:r>
      <w:r w:rsidR="00E001FD">
        <w:rPr>
          <w:lang w:eastAsia="en-US"/>
        </w:rPr>
        <w:t xml:space="preserve"> a</w:t>
      </w:r>
      <w:r w:rsidR="00616C3B">
        <w:rPr>
          <w:lang w:eastAsia="en-US"/>
        </w:rPr>
        <w:t>dvocacy</w:t>
      </w:r>
      <w:r w:rsidR="00B56935">
        <w:rPr>
          <w:lang w:eastAsia="en-US"/>
        </w:rPr>
        <w:t xml:space="preserve"> support</w:t>
      </w:r>
      <w:r w:rsidR="00616C3B">
        <w:rPr>
          <w:lang w:eastAsia="en-US"/>
        </w:rPr>
        <w:t xml:space="preserve"> </w:t>
      </w:r>
      <w:r w:rsidR="00B36AC0">
        <w:rPr>
          <w:lang w:eastAsia="en-US"/>
        </w:rPr>
        <w:t xml:space="preserve">for people engaging with the </w:t>
      </w:r>
      <w:r w:rsidR="00616C3B">
        <w:rPr>
          <w:lang w:eastAsia="en-US"/>
        </w:rPr>
        <w:t xml:space="preserve">NDIS </w:t>
      </w:r>
      <w:r w:rsidR="0018251D">
        <w:rPr>
          <w:lang w:eastAsia="en-US"/>
        </w:rPr>
        <w:t>is</w:t>
      </w:r>
      <w:r w:rsidR="009350A8">
        <w:rPr>
          <w:lang w:eastAsia="en-US"/>
        </w:rPr>
        <w:t>,</w:t>
      </w:r>
      <w:r w:rsidR="0018251D">
        <w:rPr>
          <w:lang w:eastAsia="en-US"/>
        </w:rPr>
        <w:t xml:space="preserve"> and </w:t>
      </w:r>
      <w:r w:rsidR="001E2A35">
        <w:rPr>
          <w:lang w:eastAsia="en-US"/>
        </w:rPr>
        <w:t>must be</w:t>
      </w:r>
      <w:r w:rsidR="009350A8">
        <w:rPr>
          <w:lang w:eastAsia="en-US"/>
        </w:rPr>
        <w:t>,</w:t>
      </w:r>
      <w:r w:rsidR="00B36AC0">
        <w:rPr>
          <w:lang w:eastAsia="en-US"/>
        </w:rPr>
        <w:t xml:space="preserve"> </w:t>
      </w:r>
      <w:r w:rsidR="00F2647C">
        <w:rPr>
          <w:lang w:eastAsia="en-US"/>
        </w:rPr>
        <w:t xml:space="preserve">an additional, not </w:t>
      </w:r>
      <w:r w:rsidR="00B36AC0">
        <w:rPr>
          <w:lang w:eastAsia="en-US"/>
        </w:rPr>
        <w:t>alternative</w:t>
      </w:r>
      <w:r w:rsidR="00FE3509">
        <w:rPr>
          <w:lang w:eastAsia="en-US"/>
        </w:rPr>
        <w:t>, funding</w:t>
      </w:r>
      <w:r w:rsidR="004A7E47">
        <w:rPr>
          <w:lang w:eastAsia="en-US"/>
        </w:rPr>
        <w:t xml:space="preserve"> </w:t>
      </w:r>
      <w:r w:rsidR="001E2A35">
        <w:rPr>
          <w:lang w:eastAsia="en-US"/>
        </w:rPr>
        <w:t>stream</w:t>
      </w:r>
      <w:r w:rsidR="00FE3509">
        <w:rPr>
          <w:lang w:eastAsia="en-US"/>
        </w:rPr>
        <w:t>.</w:t>
      </w:r>
    </w:p>
    <w:p w14:paraId="38EBA011" w14:textId="013D1975" w:rsidR="003515FA" w:rsidRDefault="00003625" w:rsidP="003515FA">
      <w:pPr>
        <w:rPr>
          <w:lang w:eastAsia="en-US"/>
        </w:rPr>
      </w:pPr>
      <w:r>
        <w:rPr>
          <w:lang w:eastAsia="en-US"/>
        </w:rPr>
        <w:t xml:space="preserve">QAI </w:t>
      </w:r>
      <w:r w:rsidR="008F7130">
        <w:rPr>
          <w:lang w:eastAsia="en-US"/>
        </w:rPr>
        <w:t>agrees with</w:t>
      </w:r>
      <w:r>
        <w:rPr>
          <w:lang w:eastAsia="en-US"/>
        </w:rPr>
        <w:t xml:space="preserve"> the</w:t>
      </w:r>
      <w:r w:rsidR="00A51A05" w:rsidRPr="00A51A05">
        <w:rPr>
          <w:lang w:eastAsia="en-US"/>
        </w:rPr>
        <w:t xml:space="preserve"> </w:t>
      </w:r>
      <w:r w:rsidR="00A51A05">
        <w:rPr>
          <w:lang w:eastAsia="en-US"/>
        </w:rPr>
        <w:t>Queensland Public Advocate’s</w:t>
      </w:r>
      <w:r>
        <w:rPr>
          <w:lang w:eastAsia="en-US"/>
        </w:rPr>
        <w:t xml:space="preserve"> recommendation </w:t>
      </w:r>
      <w:r w:rsidR="00A51A05">
        <w:rPr>
          <w:lang w:eastAsia="en-US"/>
        </w:rPr>
        <w:t xml:space="preserve">that state and federal governments </w:t>
      </w:r>
      <w:r w:rsidR="008F7130">
        <w:rPr>
          <w:lang w:eastAsia="en-US"/>
        </w:rPr>
        <w:t xml:space="preserve">should </w:t>
      </w:r>
      <w:r w:rsidR="00A51A05">
        <w:rPr>
          <w:lang w:eastAsia="en-US"/>
        </w:rPr>
        <w:t xml:space="preserve">introduce </w:t>
      </w:r>
      <w:r w:rsidR="00D0108A">
        <w:rPr>
          <w:lang w:eastAsia="en-US"/>
        </w:rPr>
        <w:t>five yearly funding cycles</w:t>
      </w:r>
      <w:r w:rsidR="00BE15DC">
        <w:rPr>
          <w:lang w:eastAsia="en-US"/>
        </w:rPr>
        <w:t xml:space="preserve"> in order to provide much needed certainty for the sector</w:t>
      </w:r>
      <w:r w:rsidR="00D0108A">
        <w:rPr>
          <w:lang w:eastAsia="en-US"/>
        </w:rPr>
        <w:t>.</w:t>
      </w:r>
      <w:r w:rsidR="00B80605">
        <w:rPr>
          <w:rStyle w:val="FootnoteReference"/>
          <w:lang w:eastAsia="en-US"/>
        </w:rPr>
        <w:footnoteReference w:id="68"/>
      </w:r>
      <w:r w:rsidR="00A51A05">
        <w:rPr>
          <w:lang w:eastAsia="en-US"/>
        </w:rPr>
        <w:t xml:space="preserve"> </w:t>
      </w:r>
      <w:r w:rsidR="00CC1D4F">
        <w:rPr>
          <w:lang w:eastAsia="en-US"/>
        </w:rPr>
        <w:t>T</w:t>
      </w:r>
      <w:r w:rsidR="000A673E">
        <w:rPr>
          <w:lang w:eastAsia="en-US"/>
        </w:rPr>
        <w:t xml:space="preserve">he </w:t>
      </w:r>
      <w:r w:rsidR="009D4F6B">
        <w:rPr>
          <w:lang w:eastAsia="en-US"/>
        </w:rPr>
        <w:t>sector</w:t>
      </w:r>
      <w:r w:rsidR="00CC1D4F">
        <w:rPr>
          <w:lang w:eastAsia="en-US"/>
        </w:rPr>
        <w:t xml:space="preserve"> must also</w:t>
      </w:r>
      <w:r w:rsidR="009D4F6B">
        <w:rPr>
          <w:lang w:eastAsia="en-US"/>
        </w:rPr>
        <w:t xml:space="preserve"> be sufficiently resource</w:t>
      </w:r>
      <w:r w:rsidR="00CC1D4F">
        <w:rPr>
          <w:lang w:eastAsia="en-US"/>
        </w:rPr>
        <w:t>d to</w:t>
      </w:r>
      <w:r w:rsidR="009D4F6B">
        <w:rPr>
          <w:lang w:eastAsia="en-US"/>
        </w:rPr>
        <w:t xml:space="preserve"> provide local advocates with</w:t>
      </w:r>
      <w:r w:rsidR="003515FA">
        <w:rPr>
          <w:lang w:eastAsia="en-US"/>
        </w:rPr>
        <w:t xml:space="preserve"> knowledge of local problems and supports, </w:t>
      </w:r>
      <w:r w:rsidR="009D4F6B">
        <w:rPr>
          <w:lang w:eastAsia="en-US"/>
        </w:rPr>
        <w:t>in order</w:t>
      </w:r>
      <w:r w:rsidR="003515FA">
        <w:rPr>
          <w:lang w:eastAsia="en-US"/>
        </w:rPr>
        <w:t xml:space="preserve"> to provid</w:t>
      </w:r>
      <w:r w:rsidR="009D4F6B">
        <w:rPr>
          <w:lang w:eastAsia="en-US"/>
        </w:rPr>
        <w:t>e</w:t>
      </w:r>
      <w:r w:rsidR="003515FA">
        <w:rPr>
          <w:lang w:eastAsia="en-US"/>
        </w:rPr>
        <w:t xml:space="preserve"> advocacy in a manner</w:t>
      </w:r>
      <w:r w:rsidR="009D4F6B">
        <w:rPr>
          <w:lang w:eastAsia="en-US"/>
        </w:rPr>
        <w:t xml:space="preserve"> that</w:t>
      </w:r>
      <w:r w:rsidR="003515FA">
        <w:rPr>
          <w:lang w:eastAsia="en-US"/>
        </w:rPr>
        <w:t xml:space="preserve"> is trauma-informed and effective.</w:t>
      </w:r>
      <w:r w:rsidR="009D4F6B">
        <w:rPr>
          <w:rStyle w:val="FootnoteReference"/>
          <w:lang w:eastAsia="en-US"/>
        </w:rPr>
        <w:footnoteReference w:id="69"/>
      </w:r>
      <w:r w:rsidR="00D43B05">
        <w:rPr>
          <w:lang w:eastAsia="en-US"/>
        </w:rPr>
        <w:t xml:space="preserve"> QAI </w:t>
      </w:r>
      <w:r w:rsidR="00D813B2">
        <w:rPr>
          <w:lang w:eastAsia="en-US"/>
        </w:rPr>
        <w:t xml:space="preserve">also </w:t>
      </w:r>
      <w:r w:rsidR="00E36295">
        <w:rPr>
          <w:lang w:eastAsia="en-US"/>
        </w:rPr>
        <w:t>support</w:t>
      </w:r>
      <w:r w:rsidR="00D43B05">
        <w:rPr>
          <w:lang w:eastAsia="en-US"/>
        </w:rPr>
        <w:t>s</w:t>
      </w:r>
      <w:r w:rsidR="0032058B">
        <w:rPr>
          <w:lang w:eastAsia="en-US"/>
        </w:rPr>
        <w:t xml:space="preserve"> DANA’s</w:t>
      </w:r>
      <w:r w:rsidR="00060B73">
        <w:rPr>
          <w:lang w:eastAsia="en-US"/>
        </w:rPr>
        <w:t xml:space="preserve"> submission </w:t>
      </w:r>
      <w:r w:rsidR="007C10BF">
        <w:rPr>
          <w:lang w:eastAsia="en-US"/>
        </w:rPr>
        <w:t xml:space="preserve">on </w:t>
      </w:r>
      <w:r w:rsidR="00446AAB">
        <w:rPr>
          <w:lang w:eastAsia="en-US"/>
        </w:rPr>
        <w:t xml:space="preserve">Independent Disability Advocacy to the Disability Royal Commission and </w:t>
      </w:r>
      <w:r w:rsidR="00C31FFB">
        <w:rPr>
          <w:lang w:eastAsia="en-US"/>
        </w:rPr>
        <w:t>endorse</w:t>
      </w:r>
      <w:r w:rsidR="00D813B2">
        <w:rPr>
          <w:lang w:eastAsia="en-US"/>
        </w:rPr>
        <w:t>s</w:t>
      </w:r>
      <w:r w:rsidR="00C31FFB">
        <w:rPr>
          <w:lang w:eastAsia="en-US"/>
        </w:rPr>
        <w:t xml:space="preserve"> </w:t>
      </w:r>
      <w:r w:rsidR="00446AAB">
        <w:rPr>
          <w:lang w:eastAsia="en-US"/>
        </w:rPr>
        <w:t>the detailed recommendations contained therein.</w:t>
      </w:r>
      <w:r w:rsidR="00152977">
        <w:rPr>
          <w:rStyle w:val="FootnoteReference"/>
          <w:lang w:eastAsia="en-US"/>
        </w:rPr>
        <w:footnoteReference w:id="70"/>
      </w:r>
    </w:p>
    <w:p w14:paraId="3F8D0C5E" w14:textId="0904C043" w:rsidR="00480A16" w:rsidRDefault="00635FD5" w:rsidP="0089783C">
      <w:pPr>
        <w:pStyle w:val="Heading2"/>
        <w:spacing w:before="240"/>
        <w:ind w:left="0"/>
        <w:rPr>
          <w:lang w:eastAsia="en-US"/>
        </w:rPr>
      </w:pPr>
      <w:r>
        <w:rPr>
          <w:lang w:eastAsia="en-US"/>
        </w:rPr>
        <w:t>N</w:t>
      </w:r>
      <w:r w:rsidR="0089783C">
        <w:rPr>
          <w:lang w:eastAsia="en-US"/>
        </w:rPr>
        <w:t>ational human rights legislation</w:t>
      </w:r>
    </w:p>
    <w:p w14:paraId="0DBC56F2" w14:textId="652DA400" w:rsidR="00FE0BA4" w:rsidRDefault="00A91F7D" w:rsidP="00FE0BA4">
      <w:pPr>
        <w:rPr>
          <w:lang w:eastAsia="en-US"/>
        </w:rPr>
      </w:pPr>
      <w:r>
        <w:rPr>
          <w:lang w:eastAsia="en-US"/>
        </w:rPr>
        <w:t xml:space="preserve">Human rights legislation has an invaluable role to play in safeguarding against violence, abuse, </w:t>
      </w:r>
      <w:r w:rsidR="008A6FD2">
        <w:rPr>
          <w:lang w:eastAsia="en-US"/>
        </w:rPr>
        <w:t>neglect,</w:t>
      </w:r>
      <w:r w:rsidR="00D05078">
        <w:rPr>
          <w:lang w:eastAsia="en-US"/>
        </w:rPr>
        <w:t xml:space="preserve"> and exploitation.</w:t>
      </w:r>
      <w:r w:rsidR="00B9410C">
        <w:rPr>
          <w:lang w:eastAsia="en-US"/>
        </w:rPr>
        <w:t xml:space="preserve"> A</w:t>
      </w:r>
      <w:r w:rsidR="001D6D91">
        <w:rPr>
          <w:lang w:eastAsia="en-US"/>
        </w:rPr>
        <w:t xml:space="preserve"> re</w:t>
      </w:r>
      <w:r w:rsidR="005570BB">
        <w:rPr>
          <w:lang w:eastAsia="en-US"/>
        </w:rPr>
        <w:t>cent re</w:t>
      </w:r>
      <w:r w:rsidR="001D6D91">
        <w:rPr>
          <w:lang w:eastAsia="en-US"/>
        </w:rPr>
        <w:t>port by the Human Rights Law Centre</w:t>
      </w:r>
      <w:r w:rsidR="007820AC">
        <w:rPr>
          <w:lang w:eastAsia="en-US"/>
        </w:rPr>
        <w:t xml:space="preserve"> found</w:t>
      </w:r>
      <w:r w:rsidR="00554C14">
        <w:rPr>
          <w:lang w:eastAsia="en-US"/>
        </w:rPr>
        <w:t xml:space="preserve"> that </w:t>
      </w:r>
      <w:r w:rsidR="008C4A84">
        <w:rPr>
          <w:lang w:eastAsia="en-US"/>
        </w:rPr>
        <w:t xml:space="preserve">human rights laws in Victoria, Queensland and the ACT have all made concrete improvements to </w:t>
      </w:r>
      <w:r w:rsidR="007668AB">
        <w:rPr>
          <w:lang w:eastAsia="en-US"/>
        </w:rPr>
        <w:t>people</w:t>
      </w:r>
      <w:r w:rsidR="005570BB">
        <w:rPr>
          <w:lang w:eastAsia="en-US"/>
        </w:rPr>
        <w:t>’s l</w:t>
      </w:r>
      <w:r w:rsidR="007668AB">
        <w:rPr>
          <w:lang w:eastAsia="en-US"/>
        </w:rPr>
        <w:t>iv</w:t>
      </w:r>
      <w:r w:rsidR="005570BB">
        <w:rPr>
          <w:lang w:eastAsia="en-US"/>
        </w:rPr>
        <w:t>es</w:t>
      </w:r>
      <w:r w:rsidR="00550F6C">
        <w:rPr>
          <w:lang w:eastAsia="en-US"/>
        </w:rPr>
        <w:t xml:space="preserve">. </w:t>
      </w:r>
      <w:r w:rsidR="008A6FD2">
        <w:rPr>
          <w:lang w:eastAsia="en-US"/>
        </w:rPr>
        <w:t>The repor</w:t>
      </w:r>
      <w:r w:rsidR="003021BE">
        <w:rPr>
          <w:lang w:eastAsia="en-US"/>
        </w:rPr>
        <w:t>t d</w:t>
      </w:r>
      <w:r w:rsidR="00437EB8">
        <w:rPr>
          <w:lang w:eastAsia="en-US"/>
        </w:rPr>
        <w:t>escribes</w:t>
      </w:r>
      <w:r w:rsidR="00EB79E7">
        <w:rPr>
          <w:lang w:eastAsia="en-US"/>
        </w:rPr>
        <w:t xml:space="preserve"> 101 cases where the laws helped to uphold or </w:t>
      </w:r>
      <w:r w:rsidR="005B65CC">
        <w:rPr>
          <w:lang w:eastAsia="en-US"/>
        </w:rPr>
        <w:t xml:space="preserve">prevent unreasonable restrictions on </w:t>
      </w:r>
      <w:r w:rsidR="005D6991">
        <w:rPr>
          <w:lang w:eastAsia="en-US"/>
        </w:rPr>
        <w:t>human rights</w:t>
      </w:r>
      <w:r w:rsidR="00826A7B">
        <w:rPr>
          <w:lang w:eastAsia="en-US"/>
        </w:rPr>
        <w:t>, including examples that specifically concerned the treatment of people with disability.</w:t>
      </w:r>
      <w:r w:rsidR="00FE0BA4" w:rsidRPr="00FE0BA4">
        <w:rPr>
          <w:lang w:eastAsia="en-US"/>
        </w:rPr>
        <w:t xml:space="preserve"> </w:t>
      </w:r>
      <w:r w:rsidR="00FE0BA4">
        <w:rPr>
          <w:lang w:eastAsia="en-US"/>
        </w:rPr>
        <w:t xml:space="preserve">For example, the </w:t>
      </w:r>
      <w:r w:rsidR="00FE0BA4" w:rsidRPr="00827653">
        <w:rPr>
          <w:i/>
          <w:lang w:eastAsia="en-US"/>
        </w:rPr>
        <w:t>Human Rights Act</w:t>
      </w:r>
      <w:r w:rsidR="00F528F3">
        <w:rPr>
          <w:i/>
          <w:iCs/>
          <w:lang w:eastAsia="en-US"/>
        </w:rPr>
        <w:t xml:space="preserve"> 2019</w:t>
      </w:r>
      <w:r w:rsidR="00FE0BA4">
        <w:rPr>
          <w:lang w:eastAsia="en-US"/>
        </w:rPr>
        <w:t xml:space="preserve"> in Queensland was used to assist a couple with disabilities to avoid losing custody of their child, and instead access support to build practical and parenting skills to ensure their child was not removed from their care.</w:t>
      </w:r>
      <w:r w:rsidR="00FE0BA4">
        <w:rPr>
          <w:rStyle w:val="FootnoteReference"/>
          <w:lang w:eastAsia="en-US"/>
        </w:rPr>
        <w:footnoteReference w:id="71"/>
      </w:r>
      <w:r w:rsidR="00FE0BA4">
        <w:rPr>
          <w:lang w:eastAsia="en-US"/>
        </w:rPr>
        <w:t xml:space="preserve"> It also showed how human rights laws had helped to create accessible and inclusive communities. For example, when escalators at a train station were replaced by steep, inaccessible stairs, an older resident of the community made a human rights complaint which was resolved through a conciliation process that led to agreement that escalators would be installed as part of the station upgrade.</w:t>
      </w:r>
      <w:r w:rsidR="00FE0BA4">
        <w:rPr>
          <w:rStyle w:val="FootnoteReference"/>
          <w:lang w:eastAsia="en-US"/>
        </w:rPr>
        <w:footnoteReference w:id="72"/>
      </w:r>
    </w:p>
    <w:p w14:paraId="5EFF7232" w14:textId="3BC8EEEF" w:rsidR="00A03F92" w:rsidRDefault="00AA073E" w:rsidP="009050FD">
      <w:pPr>
        <w:rPr>
          <w:lang w:eastAsia="en-US"/>
        </w:rPr>
      </w:pPr>
      <w:r>
        <w:rPr>
          <w:lang w:eastAsia="en-US"/>
        </w:rPr>
        <w:t xml:space="preserve">According to the </w:t>
      </w:r>
      <w:r w:rsidR="008B2D53">
        <w:rPr>
          <w:lang w:eastAsia="en-US"/>
        </w:rPr>
        <w:t>Human Rights Law Centre</w:t>
      </w:r>
      <w:r>
        <w:rPr>
          <w:lang w:eastAsia="en-US"/>
        </w:rPr>
        <w:t>, “charters of human rights help to level the playing field by promoting respect for human rights and by giving people power to take action if their rights are breached.”</w:t>
      </w:r>
      <w:r>
        <w:rPr>
          <w:rStyle w:val="FootnoteReference"/>
          <w:lang w:eastAsia="en-US"/>
        </w:rPr>
        <w:footnoteReference w:id="73"/>
      </w:r>
      <w:r w:rsidR="008B2D53">
        <w:rPr>
          <w:lang w:eastAsia="en-US"/>
        </w:rPr>
        <w:t xml:space="preserve"> </w:t>
      </w:r>
      <w:r w:rsidR="0084565A">
        <w:rPr>
          <w:lang w:eastAsia="en-US"/>
        </w:rPr>
        <w:t>Australia is the only western democracy without a national charter or similar law.</w:t>
      </w:r>
      <w:r w:rsidR="0084565A">
        <w:rPr>
          <w:rStyle w:val="FootnoteReference"/>
          <w:lang w:eastAsia="en-US"/>
        </w:rPr>
        <w:footnoteReference w:id="74"/>
      </w:r>
      <w:r w:rsidR="00E963E3">
        <w:rPr>
          <w:lang w:eastAsia="en-US"/>
        </w:rPr>
        <w:t xml:space="preserve"> </w:t>
      </w:r>
      <w:r w:rsidR="009050FD">
        <w:rPr>
          <w:lang w:eastAsia="en-US"/>
        </w:rPr>
        <w:t xml:space="preserve">Relying on state and territories to enact human rights </w:t>
      </w:r>
      <w:r w:rsidR="008B2D53">
        <w:rPr>
          <w:lang w:eastAsia="en-US"/>
        </w:rPr>
        <w:t>legislation</w:t>
      </w:r>
      <w:r w:rsidR="009050FD">
        <w:rPr>
          <w:lang w:eastAsia="en-US"/>
        </w:rPr>
        <w:t xml:space="preserve"> means that</w:t>
      </w:r>
      <w:r w:rsidR="00DB5619">
        <w:rPr>
          <w:lang w:eastAsia="en-US"/>
        </w:rPr>
        <w:t xml:space="preserve"> access to justice and human rights protection</w:t>
      </w:r>
      <w:r w:rsidR="009A591E">
        <w:rPr>
          <w:lang w:eastAsia="en-US"/>
        </w:rPr>
        <w:t>s</w:t>
      </w:r>
      <w:r w:rsidR="00DB5619">
        <w:rPr>
          <w:lang w:eastAsia="en-US"/>
        </w:rPr>
        <w:t xml:space="preserve"> </w:t>
      </w:r>
      <w:r w:rsidR="00E963E3">
        <w:rPr>
          <w:lang w:eastAsia="en-US"/>
        </w:rPr>
        <w:t>is</w:t>
      </w:r>
      <w:r w:rsidR="00C41BEB">
        <w:rPr>
          <w:lang w:eastAsia="en-US"/>
        </w:rPr>
        <w:t xml:space="preserve"> inconsistent and</w:t>
      </w:r>
      <w:r w:rsidR="009A591E">
        <w:rPr>
          <w:lang w:eastAsia="en-US"/>
        </w:rPr>
        <w:t xml:space="preserve"> dependent upon a person’s</w:t>
      </w:r>
      <w:r w:rsidR="00DB5619">
        <w:rPr>
          <w:lang w:eastAsia="en-US"/>
        </w:rPr>
        <w:t xml:space="preserve"> location rather than</w:t>
      </w:r>
      <w:r w:rsidR="009A591E">
        <w:rPr>
          <w:lang w:eastAsia="en-US"/>
        </w:rPr>
        <w:t xml:space="preserve"> </w:t>
      </w:r>
      <w:r w:rsidR="00BE489A">
        <w:rPr>
          <w:lang w:eastAsia="en-US"/>
        </w:rPr>
        <w:t>a</w:t>
      </w:r>
      <w:r w:rsidR="00DB5619">
        <w:rPr>
          <w:lang w:eastAsia="en-US"/>
        </w:rPr>
        <w:t xml:space="preserve"> </w:t>
      </w:r>
      <w:r w:rsidR="009A591E">
        <w:rPr>
          <w:lang w:eastAsia="en-US"/>
        </w:rPr>
        <w:t>universally a</w:t>
      </w:r>
      <w:r w:rsidR="00BE489A">
        <w:rPr>
          <w:lang w:eastAsia="en-US"/>
        </w:rPr>
        <w:t>ccessible right</w:t>
      </w:r>
      <w:r w:rsidR="00A163D2">
        <w:rPr>
          <w:lang w:eastAsia="en-US"/>
        </w:rPr>
        <w:t xml:space="preserve"> </w:t>
      </w:r>
      <w:r w:rsidR="00FB6FD9">
        <w:rPr>
          <w:lang w:eastAsia="en-US"/>
        </w:rPr>
        <w:t>for</w:t>
      </w:r>
      <w:r w:rsidR="009A591E">
        <w:rPr>
          <w:lang w:eastAsia="en-US"/>
        </w:rPr>
        <w:t xml:space="preserve"> all Australians</w:t>
      </w:r>
      <w:r w:rsidR="008956B7">
        <w:rPr>
          <w:lang w:eastAsia="en-US"/>
        </w:rPr>
        <w:t xml:space="preserve"> that is consistent with the concept </w:t>
      </w:r>
      <w:r w:rsidR="00E83264">
        <w:rPr>
          <w:lang w:eastAsia="en-US"/>
        </w:rPr>
        <w:t xml:space="preserve">of all human beings being born equal and possessing </w:t>
      </w:r>
      <w:r w:rsidR="001351BB">
        <w:rPr>
          <w:lang w:eastAsia="en-US"/>
        </w:rPr>
        <w:t>inalienable</w:t>
      </w:r>
      <w:r w:rsidR="00E83264">
        <w:rPr>
          <w:lang w:eastAsia="en-US"/>
        </w:rPr>
        <w:t xml:space="preserve"> rights</w:t>
      </w:r>
      <w:r w:rsidR="009A591E">
        <w:rPr>
          <w:lang w:eastAsia="en-US"/>
        </w:rPr>
        <w:t xml:space="preserve">. </w:t>
      </w:r>
      <w:r w:rsidR="00A03F92">
        <w:rPr>
          <w:lang w:eastAsia="en-US"/>
        </w:rPr>
        <w:t>It means that human rights considerations are not embedded into all administrative decision-making</w:t>
      </w:r>
      <w:r w:rsidR="00081C7F">
        <w:rPr>
          <w:lang w:eastAsia="en-US"/>
        </w:rPr>
        <w:t xml:space="preserve"> by</w:t>
      </w:r>
      <w:r w:rsidR="00C425C4">
        <w:rPr>
          <w:lang w:eastAsia="en-US"/>
        </w:rPr>
        <w:t xml:space="preserve"> Australian</w:t>
      </w:r>
      <w:r w:rsidR="00081C7F">
        <w:rPr>
          <w:lang w:eastAsia="en-US"/>
        </w:rPr>
        <w:t xml:space="preserve"> public authorities.</w:t>
      </w:r>
      <w:r w:rsidR="00D5166D">
        <w:rPr>
          <w:lang w:eastAsia="en-US"/>
        </w:rPr>
        <w:t xml:space="preserve"> And it</w:t>
      </w:r>
      <w:r w:rsidR="00081C7F">
        <w:rPr>
          <w:lang w:eastAsia="en-US"/>
        </w:rPr>
        <w:t xml:space="preserve"> inhibits the development of a </w:t>
      </w:r>
      <w:r w:rsidR="00B35BDB">
        <w:rPr>
          <w:lang w:eastAsia="en-US"/>
        </w:rPr>
        <w:t xml:space="preserve">national </w:t>
      </w:r>
      <w:r w:rsidR="00081C7F">
        <w:rPr>
          <w:lang w:eastAsia="en-US"/>
        </w:rPr>
        <w:t xml:space="preserve">human </w:t>
      </w:r>
      <w:r w:rsidR="00685031">
        <w:rPr>
          <w:lang w:eastAsia="en-US"/>
        </w:rPr>
        <w:t>rights</w:t>
      </w:r>
      <w:r w:rsidR="00B35BDB">
        <w:rPr>
          <w:lang w:eastAsia="en-US"/>
        </w:rPr>
        <w:t xml:space="preserve">-focused </w:t>
      </w:r>
      <w:r w:rsidR="00685031">
        <w:rPr>
          <w:lang w:eastAsia="en-US"/>
        </w:rPr>
        <w:t xml:space="preserve">culture </w:t>
      </w:r>
      <w:r w:rsidR="00D5166D">
        <w:rPr>
          <w:lang w:eastAsia="en-US"/>
        </w:rPr>
        <w:t>due to</w:t>
      </w:r>
      <w:r w:rsidR="00685031">
        <w:rPr>
          <w:lang w:eastAsia="en-US"/>
        </w:rPr>
        <w:t xml:space="preserve"> fragmented human rights protections.</w:t>
      </w:r>
    </w:p>
    <w:p w14:paraId="0BCB5760" w14:textId="49E658AE" w:rsidR="00965C7F" w:rsidRDefault="00FB6FD9" w:rsidP="009912A9">
      <w:pPr>
        <w:rPr>
          <w:lang w:eastAsia="en-US"/>
        </w:rPr>
      </w:pPr>
      <w:r>
        <w:rPr>
          <w:lang w:eastAsia="en-US"/>
        </w:rPr>
        <w:t xml:space="preserve">Accordingly, </w:t>
      </w:r>
      <w:r w:rsidR="002E1164">
        <w:rPr>
          <w:lang w:eastAsia="en-US"/>
        </w:rPr>
        <w:t xml:space="preserve">QAI supports the national campaign for an Australian Charter of Human Rights. </w:t>
      </w:r>
      <w:r w:rsidR="00FA2AC5">
        <w:rPr>
          <w:lang w:eastAsia="en-US"/>
        </w:rPr>
        <w:t>A</w:t>
      </w:r>
      <w:r w:rsidR="006664CA">
        <w:rPr>
          <w:lang w:eastAsia="en-US"/>
        </w:rPr>
        <w:t xml:space="preserve"> national charter of human rights </w:t>
      </w:r>
      <w:r w:rsidR="007825FE">
        <w:rPr>
          <w:lang w:eastAsia="en-US"/>
        </w:rPr>
        <w:t xml:space="preserve">would </w:t>
      </w:r>
      <w:r w:rsidR="00685031">
        <w:rPr>
          <w:lang w:eastAsia="en-US"/>
        </w:rPr>
        <w:t>provide</w:t>
      </w:r>
      <w:r w:rsidR="007825FE">
        <w:rPr>
          <w:lang w:eastAsia="en-US"/>
        </w:rPr>
        <w:t xml:space="preserve"> an important safeguard against the violence, abuse, </w:t>
      </w:r>
      <w:r w:rsidR="001E2A35">
        <w:rPr>
          <w:lang w:eastAsia="en-US"/>
        </w:rPr>
        <w:t>neglect,</w:t>
      </w:r>
      <w:r w:rsidR="007825FE">
        <w:rPr>
          <w:lang w:eastAsia="en-US"/>
        </w:rPr>
        <w:t xml:space="preserve"> and exploitation of people with disability</w:t>
      </w:r>
      <w:r w:rsidR="00165A7E">
        <w:rPr>
          <w:lang w:eastAsia="en-US"/>
        </w:rPr>
        <w:t xml:space="preserve"> by ensuring</w:t>
      </w:r>
      <w:r w:rsidR="00627896">
        <w:rPr>
          <w:lang w:eastAsia="en-US"/>
        </w:rPr>
        <w:t xml:space="preserve"> all</w:t>
      </w:r>
      <w:r w:rsidR="00165A7E">
        <w:rPr>
          <w:lang w:eastAsia="en-US"/>
        </w:rPr>
        <w:t xml:space="preserve"> Australians with disability, regardless of where they live, have</w:t>
      </w:r>
      <w:r w:rsidR="00093792">
        <w:rPr>
          <w:lang w:eastAsia="en-US"/>
        </w:rPr>
        <w:t xml:space="preserve"> equal</w:t>
      </w:r>
      <w:r w:rsidR="00165A7E">
        <w:rPr>
          <w:lang w:eastAsia="en-US"/>
        </w:rPr>
        <w:t xml:space="preserve"> access</w:t>
      </w:r>
      <w:r w:rsidR="00627896">
        <w:rPr>
          <w:lang w:eastAsia="en-US"/>
        </w:rPr>
        <w:t xml:space="preserve"> to justice if their human rights are violated.</w:t>
      </w:r>
      <w:r w:rsidR="00093792">
        <w:rPr>
          <w:lang w:eastAsia="en-US"/>
        </w:rPr>
        <w:t xml:space="preserve"> </w:t>
      </w:r>
    </w:p>
    <w:p w14:paraId="7D906BBB" w14:textId="13D30173" w:rsidR="001D6D91" w:rsidRDefault="00536017" w:rsidP="00D961B4">
      <w:pPr>
        <w:pStyle w:val="Heading1"/>
        <w:spacing w:before="240"/>
        <w:rPr>
          <w:sz w:val="28"/>
          <w:szCs w:val="24"/>
        </w:rPr>
      </w:pPr>
      <w:r w:rsidRPr="006B1CE4">
        <w:rPr>
          <w:sz w:val="28"/>
          <w:szCs w:val="24"/>
        </w:rPr>
        <w:t>Recommendations</w:t>
      </w:r>
    </w:p>
    <w:p w14:paraId="7D1B73D1" w14:textId="60CC977C" w:rsidR="00D961B4" w:rsidRPr="00C50D98" w:rsidRDefault="00D961B4" w:rsidP="00D961B4">
      <w:pPr>
        <w:rPr>
          <w:b/>
          <w:bCs/>
          <w:lang w:eastAsia="en-US"/>
        </w:rPr>
      </w:pPr>
      <w:r w:rsidRPr="00C50D98">
        <w:rPr>
          <w:b/>
          <w:bCs/>
          <w:lang w:eastAsia="en-US"/>
        </w:rPr>
        <w:t xml:space="preserve">5. </w:t>
      </w:r>
      <w:r w:rsidR="00C50D98" w:rsidRPr="00C50D98">
        <w:rPr>
          <w:b/>
          <w:bCs/>
          <w:lang w:eastAsia="en-US"/>
        </w:rPr>
        <w:t>I</w:t>
      </w:r>
      <w:r w:rsidRPr="00C50D98">
        <w:rPr>
          <w:b/>
          <w:bCs/>
          <w:lang w:eastAsia="en-US"/>
        </w:rPr>
        <w:t xml:space="preserve">ntroduce </w:t>
      </w:r>
      <w:r w:rsidR="00C50D98" w:rsidRPr="00C50D98">
        <w:rPr>
          <w:b/>
          <w:bCs/>
          <w:lang w:eastAsia="en-US"/>
        </w:rPr>
        <w:t>stronger structural safeguards that will protect against abuse</w:t>
      </w:r>
    </w:p>
    <w:p w14:paraId="63AB8BE5" w14:textId="6C740182" w:rsidR="003762D0" w:rsidRPr="003762D0" w:rsidRDefault="003762D0" w:rsidP="003762D0">
      <w:pPr>
        <w:pStyle w:val="ListParagraph"/>
        <w:numPr>
          <w:ilvl w:val="0"/>
          <w:numId w:val="22"/>
        </w:numPr>
        <w:rPr>
          <w:b/>
          <w:bCs/>
          <w:lang w:eastAsia="en-US"/>
        </w:rPr>
      </w:pPr>
      <w:r w:rsidRPr="003762D0">
        <w:rPr>
          <w:b/>
          <w:bCs/>
          <w:lang w:eastAsia="en-US"/>
        </w:rPr>
        <w:t xml:space="preserve">The Australian government legislate an Australian Charter of Human Rights that gives </w:t>
      </w:r>
      <w:r w:rsidR="00B3420E">
        <w:rPr>
          <w:b/>
          <w:bCs/>
          <w:lang w:eastAsia="en-US"/>
        </w:rPr>
        <w:t xml:space="preserve">full </w:t>
      </w:r>
      <w:r w:rsidRPr="003762D0">
        <w:rPr>
          <w:b/>
          <w:bCs/>
          <w:lang w:eastAsia="en-US"/>
        </w:rPr>
        <w:t>effect to the Convention on the Rights of Persons with Disabilities (CRPD).</w:t>
      </w:r>
    </w:p>
    <w:p w14:paraId="5066526F" w14:textId="77777777" w:rsidR="00260E6E" w:rsidRPr="00260E6E" w:rsidRDefault="00260E6E" w:rsidP="00260E6E">
      <w:pPr>
        <w:pStyle w:val="ListParagraph"/>
        <w:numPr>
          <w:ilvl w:val="0"/>
          <w:numId w:val="22"/>
        </w:numPr>
        <w:rPr>
          <w:b/>
          <w:bCs/>
          <w:lang w:eastAsia="en-US"/>
        </w:rPr>
      </w:pPr>
      <w:r w:rsidRPr="00260E6E">
        <w:rPr>
          <w:b/>
          <w:bCs/>
          <w:lang w:eastAsia="en-US"/>
        </w:rPr>
        <w:t>Ensure greater oversight and safeguards for disability supports provided under the NDIS. For example:</w:t>
      </w:r>
    </w:p>
    <w:p w14:paraId="2914FF3F" w14:textId="77777777" w:rsidR="00771F87" w:rsidRPr="00260E6E" w:rsidRDefault="00771F87" w:rsidP="00771F87">
      <w:pPr>
        <w:pStyle w:val="ListParagraph"/>
        <w:numPr>
          <w:ilvl w:val="1"/>
          <w:numId w:val="48"/>
        </w:numPr>
        <w:rPr>
          <w:b/>
          <w:bCs/>
          <w:lang w:eastAsia="en-US"/>
        </w:rPr>
      </w:pPr>
      <w:r w:rsidRPr="00260E6E">
        <w:rPr>
          <w:b/>
          <w:bCs/>
          <w:lang w:eastAsia="en-US"/>
        </w:rPr>
        <w:t xml:space="preserve">Require the NDIS Quality and Safeguards Commission to monitor the number of applications for the appointment of substitute decision-makers initiated by NDIS service providers for NDIS </w:t>
      </w:r>
      <w:proofErr w:type="gramStart"/>
      <w:r w:rsidRPr="00260E6E">
        <w:rPr>
          <w:b/>
          <w:bCs/>
          <w:lang w:eastAsia="en-US"/>
        </w:rPr>
        <w:t>participants, and</w:t>
      </w:r>
      <w:proofErr w:type="gramEnd"/>
      <w:r w:rsidRPr="00260E6E">
        <w:rPr>
          <w:b/>
          <w:bCs/>
          <w:lang w:eastAsia="en-US"/>
        </w:rPr>
        <w:t xml:space="preserve"> introduce penalties for applications found to be unmeritorious.</w:t>
      </w:r>
    </w:p>
    <w:p w14:paraId="0075445F" w14:textId="77777777" w:rsidR="00260E6E" w:rsidRPr="00260E6E" w:rsidRDefault="00260E6E" w:rsidP="00B60C91">
      <w:pPr>
        <w:pStyle w:val="ListParagraph"/>
        <w:numPr>
          <w:ilvl w:val="1"/>
          <w:numId w:val="48"/>
        </w:numPr>
        <w:rPr>
          <w:b/>
          <w:bCs/>
          <w:lang w:eastAsia="en-US"/>
        </w:rPr>
      </w:pPr>
      <w:r w:rsidRPr="00260E6E">
        <w:rPr>
          <w:b/>
          <w:bCs/>
          <w:lang w:eastAsia="en-US"/>
        </w:rPr>
        <w:t>Strengthen the remit and capacity of the NDIS Quality and Safeguards Commission to conduct independent investigations and to proactively monitor and regulate the delivery of disability supports under the NDIS.</w:t>
      </w:r>
    </w:p>
    <w:p w14:paraId="1B71B87A" w14:textId="77777777" w:rsidR="00260E6E" w:rsidRPr="00260E6E" w:rsidRDefault="00260E6E" w:rsidP="00B60C91">
      <w:pPr>
        <w:pStyle w:val="ListParagraph"/>
        <w:numPr>
          <w:ilvl w:val="1"/>
          <w:numId w:val="48"/>
        </w:numPr>
        <w:rPr>
          <w:b/>
          <w:bCs/>
          <w:lang w:eastAsia="en-US"/>
        </w:rPr>
      </w:pPr>
      <w:r w:rsidRPr="00260E6E">
        <w:rPr>
          <w:b/>
          <w:bCs/>
          <w:lang w:eastAsia="en-US"/>
        </w:rPr>
        <w:t>Ensure each state and territory retains its role as a provider of last resort in relation to Positive Behaviour Support Plans.</w:t>
      </w:r>
    </w:p>
    <w:p w14:paraId="74BEF10D" w14:textId="77777777" w:rsidR="00260E6E" w:rsidRPr="00260E6E" w:rsidRDefault="00260E6E" w:rsidP="00B60C91">
      <w:pPr>
        <w:pStyle w:val="ListParagraph"/>
        <w:numPr>
          <w:ilvl w:val="1"/>
          <w:numId w:val="48"/>
        </w:numPr>
        <w:rPr>
          <w:b/>
          <w:bCs/>
          <w:lang w:eastAsia="en-US"/>
        </w:rPr>
      </w:pPr>
      <w:r w:rsidRPr="00260E6E">
        <w:rPr>
          <w:b/>
          <w:bCs/>
          <w:lang w:eastAsia="en-US"/>
        </w:rPr>
        <w:t xml:space="preserve">Prevent service providers from providing both support coordination and core supports to individual NDIS participants. </w:t>
      </w:r>
    </w:p>
    <w:p w14:paraId="4CA256F6" w14:textId="0A4A8997" w:rsidR="000564B4" w:rsidRDefault="000564B4" w:rsidP="0083716D">
      <w:pPr>
        <w:pStyle w:val="ListParagraph"/>
        <w:numPr>
          <w:ilvl w:val="1"/>
          <w:numId w:val="48"/>
        </w:numPr>
        <w:rPr>
          <w:b/>
          <w:bCs/>
          <w:lang w:eastAsia="en-US"/>
        </w:rPr>
      </w:pPr>
      <w:r w:rsidRPr="000564B4">
        <w:rPr>
          <w:b/>
          <w:bCs/>
          <w:lang w:eastAsia="en-US"/>
        </w:rPr>
        <w:t>Ensure blanket consumer law protections to NDIS participants, including access to specialised legal advice, regardless of the contents of individual NDIS service agreements</w:t>
      </w:r>
      <w:r w:rsidR="00043A30">
        <w:rPr>
          <w:b/>
          <w:bCs/>
          <w:lang w:eastAsia="en-US"/>
        </w:rPr>
        <w:t>.</w:t>
      </w:r>
    </w:p>
    <w:p w14:paraId="1C6F6593" w14:textId="4F3719CC" w:rsidR="00260E6E" w:rsidRPr="00260E6E" w:rsidRDefault="00260E6E" w:rsidP="00260E6E">
      <w:pPr>
        <w:pStyle w:val="ListParagraph"/>
        <w:numPr>
          <w:ilvl w:val="0"/>
          <w:numId w:val="22"/>
        </w:numPr>
        <w:rPr>
          <w:b/>
          <w:bCs/>
          <w:lang w:eastAsia="en-US"/>
        </w:rPr>
      </w:pPr>
      <w:r w:rsidRPr="00260E6E">
        <w:rPr>
          <w:b/>
          <w:bCs/>
          <w:lang w:eastAsia="en-US"/>
        </w:rPr>
        <w:t>Implement an independent and sufficiently resourced National Preventive Mechanism that is disability-aware, and which successfully fulfils Australia’s obligations under the Optional Protocol to the Convention Against Torture,</w:t>
      </w:r>
      <w:r w:rsidR="00012CBF">
        <w:rPr>
          <w:b/>
          <w:bCs/>
          <w:lang w:eastAsia="en-US"/>
        </w:rPr>
        <w:t xml:space="preserve"> </w:t>
      </w:r>
      <w:r w:rsidRPr="00260E6E">
        <w:rPr>
          <w:b/>
          <w:bCs/>
          <w:lang w:eastAsia="en-US"/>
        </w:rPr>
        <w:t>including making provision for inspection and reporting about the conditions and treatment of people detained in all authorised mental health services, forensic mental health services, forensic disability services and residential aged care services.</w:t>
      </w:r>
    </w:p>
    <w:p w14:paraId="0B276023" w14:textId="24DB0231" w:rsidR="00260E6E" w:rsidRPr="003762D0" w:rsidRDefault="00260E6E" w:rsidP="003762D0">
      <w:pPr>
        <w:pStyle w:val="ListParagraph"/>
        <w:numPr>
          <w:ilvl w:val="0"/>
          <w:numId w:val="22"/>
        </w:numPr>
        <w:rPr>
          <w:b/>
          <w:bCs/>
          <w:lang w:eastAsia="en-US"/>
        </w:rPr>
      </w:pPr>
      <w:r w:rsidRPr="00260E6E">
        <w:rPr>
          <w:b/>
          <w:bCs/>
          <w:lang w:eastAsia="en-US"/>
        </w:rPr>
        <w:t>Ensure a well-resourced and sustainable independent disability advocacy sector that ensures people with disability can access face-to-face, local, and trauma-informed disability advocacy. This requires at a minimum, five-yearly funding cycles and a shared commitment from both Commonwealth and state and territory governments to fund disability advocacy into the future, notwithstanding the implementation of the NDIS.</w:t>
      </w:r>
    </w:p>
    <w:p w14:paraId="53DD90A8" w14:textId="77777777" w:rsidR="00C11187" w:rsidRDefault="00C11187" w:rsidP="009912A9">
      <w:pPr>
        <w:rPr>
          <w:lang w:eastAsia="en-US"/>
        </w:rPr>
      </w:pPr>
    </w:p>
    <w:p w14:paraId="1124BD3B" w14:textId="6537D524" w:rsidR="009912A9" w:rsidRDefault="001E23A1" w:rsidP="001E23A1">
      <w:pPr>
        <w:pStyle w:val="Heading1"/>
        <w:spacing w:before="240"/>
      </w:pPr>
      <w:r>
        <w:t>6. Address intersectional disadvantage</w:t>
      </w:r>
    </w:p>
    <w:p w14:paraId="2BA235BF" w14:textId="40C8A430" w:rsidR="00742A26" w:rsidRDefault="00931DD3" w:rsidP="009912A9">
      <w:pPr>
        <w:rPr>
          <w:lang w:eastAsia="en-US"/>
        </w:rPr>
      </w:pPr>
      <w:r w:rsidRPr="00931DD3">
        <w:rPr>
          <w:lang w:eastAsia="en-US"/>
        </w:rPr>
        <w:t>QAI acknowledges the additional barriers experienced by Aboriginal and Torres Strait Islander Australians with disability as well as those of other marginalised populations, such as Australians living with disability</w:t>
      </w:r>
      <w:r w:rsidR="008976A5">
        <w:rPr>
          <w:lang w:eastAsia="en-US"/>
        </w:rPr>
        <w:t xml:space="preserve"> from CALD communities</w:t>
      </w:r>
      <w:r w:rsidR="00E75EC8">
        <w:rPr>
          <w:lang w:eastAsia="en-US"/>
        </w:rPr>
        <w:t>, older Australians,</w:t>
      </w:r>
      <w:r w:rsidRPr="00931DD3">
        <w:rPr>
          <w:lang w:eastAsia="en-US"/>
        </w:rPr>
        <w:t xml:space="preserve"> and members of the LGBTIQA+ community living with disability. The intersectional disadvantage experienced by these groups has a significant impact on their inclusion within the community</w:t>
      </w:r>
      <w:r w:rsidR="008976A5">
        <w:rPr>
          <w:lang w:eastAsia="en-US"/>
        </w:rPr>
        <w:t xml:space="preserve"> and therefore their </w:t>
      </w:r>
      <w:r w:rsidR="00B73970">
        <w:rPr>
          <w:lang w:eastAsia="en-US"/>
        </w:rPr>
        <w:t xml:space="preserve">capacity to be protected </w:t>
      </w:r>
      <w:r w:rsidR="00C405C6">
        <w:rPr>
          <w:lang w:eastAsia="en-US"/>
        </w:rPr>
        <w:t xml:space="preserve">against </w:t>
      </w:r>
      <w:r w:rsidR="00B73970">
        <w:rPr>
          <w:lang w:eastAsia="en-US"/>
        </w:rPr>
        <w:t xml:space="preserve">violence, abuse, </w:t>
      </w:r>
      <w:r w:rsidR="00E75EC8">
        <w:rPr>
          <w:lang w:eastAsia="en-US"/>
        </w:rPr>
        <w:t>neglect,</w:t>
      </w:r>
      <w:r w:rsidR="00B73970">
        <w:rPr>
          <w:lang w:eastAsia="en-US"/>
        </w:rPr>
        <w:t xml:space="preserve"> and exploitation</w:t>
      </w:r>
      <w:r w:rsidR="00487DC3">
        <w:rPr>
          <w:lang w:eastAsia="en-US"/>
        </w:rPr>
        <w:t>.</w:t>
      </w:r>
      <w:r w:rsidR="007F68EA">
        <w:rPr>
          <w:lang w:eastAsia="en-US"/>
        </w:rPr>
        <w:t xml:space="preserve"> </w:t>
      </w:r>
      <w:r w:rsidR="00B73970">
        <w:rPr>
          <w:lang w:eastAsia="en-US"/>
        </w:rPr>
        <w:t>P</w:t>
      </w:r>
      <w:r w:rsidR="00742A26">
        <w:rPr>
          <w:lang w:eastAsia="en-US"/>
        </w:rPr>
        <w:t>olicy measure</w:t>
      </w:r>
      <w:r w:rsidR="00C206C1">
        <w:rPr>
          <w:lang w:eastAsia="en-US"/>
        </w:rPr>
        <w:t>s</w:t>
      </w:r>
      <w:r w:rsidR="00742A26">
        <w:rPr>
          <w:lang w:eastAsia="en-US"/>
        </w:rPr>
        <w:t xml:space="preserve"> designed to address the consequences of ableism</w:t>
      </w:r>
      <w:r w:rsidR="00653A82">
        <w:rPr>
          <w:lang w:eastAsia="en-US"/>
        </w:rPr>
        <w:t xml:space="preserve"> must therefore be equally responsive to the impacts of</w:t>
      </w:r>
      <w:r w:rsidR="00653A82" w:rsidRPr="00653A82">
        <w:rPr>
          <w:lang w:eastAsia="en-US"/>
        </w:rPr>
        <w:t xml:space="preserve"> </w:t>
      </w:r>
      <w:r w:rsidR="00653A82" w:rsidRPr="00931DD3">
        <w:rPr>
          <w:lang w:eastAsia="en-US"/>
        </w:rPr>
        <w:t xml:space="preserve">racism, xenophobia, </w:t>
      </w:r>
      <w:r w:rsidR="00E75EC8">
        <w:rPr>
          <w:lang w:eastAsia="en-US"/>
        </w:rPr>
        <w:t xml:space="preserve">ageism </w:t>
      </w:r>
      <w:r w:rsidR="00653A82" w:rsidRPr="00931DD3">
        <w:rPr>
          <w:lang w:eastAsia="en-US"/>
        </w:rPr>
        <w:t>and homophobia</w:t>
      </w:r>
      <w:r w:rsidR="00AF625B">
        <w:rPr>
          <w:lang w:eastAsia="en-US"/>
        </w:rPr>
        <w:t xml:space="preserve">, and </w:t>
      </w:r>
      <w:r w:rsidR="00C405C6">
        <w:rPr>
          <w:lang w:eastAsia="en-US"/>
        </w:rPr>
        <w:t xml:space="preserve">alert to </w:t>
      </w:r>
      <w:r w:rsidR="00AF625B">
        <w:rPr>
          <w:lang w:eastAsia="en-US"/>
        </w:rPr>
        <w:t xml:space="preserve">all aspects of </w:t>
      </w:r>
      <w:r w:rsidR="003851DF">
        <w:rPr>
          <w:lang w:eastAsia="en-US"/>
        </w:rPr>
        <w:t xml:space="preserve">a </w:t>
      </w:r>
      <w:r w:rsidR="00AF625B">
        <w:rPr>
          <w:lang w:eastAsia="en-US"/>
        </w:rPr>
        <w:t>person’s identity</w:t>
      </w:r>
      <w:r w:rsidR="00760F24">
        <w:rPr>
          <w:lang w:eastAsia="en-US"/>
        </w:rPr>
        <w:t xml:space="preserve"> and their related experiences</w:t>
      </w:r>
      <w:r w:rsidR="00653A82">
        <w:rPr>
          <w:lang w:eastAsia="en-US"/>
        </w:rPr>
        <w:t xml:space="preserve">. </w:t>
      </w:r>
    </w:p>
    <w:p w14:paraId="104E14B0" w14:textId="055C1D72" w:rsidR="00175B00" w:rsidRDefault="008D3741" w:rsidP="009912A9">
      <w:pPr>
        <w:rPr>
          <w:lang w:eastAsia="en-US"/>
        </w:rPr>
      </w:pPr>
      <w:r>
        <w:rPr>
          <w:lang w:eastAsia="en-US"/>
        </w:rPr>
        <w:t xml:space="preserve">For example, </w:t>
      </w:r>
      <w:r w:rsidR="00687A1D">
        <w:rPr>
          <w:lang w:eastAsia="en-US"/>
        </w:rPr>
        <w:t xml:space="preserve">First Nations Australians </w:t>
      </w:r>
      <w:r w:rsidR="00CE2454">
        <w:rPr>
          <w:lang w:eastAsia="en-US"/>
        </w:rPr>
        <w:t xml:space="preserve">with psychosocial disability </w:t>
      </w:r>
      <w:r w:rsidR="00D51C0A">
        <w:rPr>
          <w:lang w:eastAsia="en-US"/>
        </w:rPr>
        <w:t>have reported</w:t>
      </w:r>
      <w:r w:rsidR="00CE2454">
        <w:rPr>
          <w:lang w:eastAsia="en-US"/>
        </w:rPr>
        <w:t xml:space="preserve"> experienc</w:t>
      </w:r>
      <w:r w:rsidR="00D51C0A">
        <w:rPr>
          <w:lang w:eastAsia="en-US"/>
        </w:rPr>
        <w:t>ing</w:t>
      </w:r>
      <w:r w:rsidR="00CE2454">
        <w:rPr>
          <w:lang w:eastAsia="en-US"/>
        </w:rPr>
        <w:t xml:space="preserve"> culturally unsafe</w:t>
      </w:r>
      <w:r w:rsidR="00D51C0A">
        <w:rPr>
          <w:lang w:eastAsia="en-US"/>
        </w:rPr>
        <w:t xml:space="preserve"> </w:t>
      </w:r>
      <w:r w:rsidR="00D64806">
        <w:rPr>
          <w:lang w:eastAsia="en-US"/>
        </w:rPr>
        <w:t>support</w:t>
      </w:r>
      <w:r w:rsidR="00C00F46">
        <w:rPr>
          <w:lang w:eastAsia="en-US"/>
        </w:rPr>
        <w:t xml:space="preserve"> </w:t>
      </w:r>
      <w:r w:rsidR="0034618C">
        <w:rPr>
          <w:lang w:eastAsia="en-US"/>
        </w:rPr>
        <w:t>in authorised mental health services.</w:t>
      </w:r>
      <w:r w:rsidR="00047B05">
        <w:rPr>
          <w:rStyle w:val="FootnoteReference"/>
          <w:lang w:eastAsia="en-US"/>
        </w:rPr>
        <w:footnoteReference w:id="75"/>
      </w:r>
      <w:r w:rsidR="00631078">
        <w:rPr>
          <w:lang w:eastAsia="en-US"/>
        </w:rPr>
        <w:t xml:space="preserve"> </w:t>
      </w:r>
      <w:r w:rsidR="00FD1BAB">
        <w:rPr>
          <w:lang w:eastAsia="en-US"/>
        </w:rPr>
        <w:t xml:space="preserve">Inexperienced staff </w:t>
      </w:r>
      <w:r w:rsidR="00175B00">
        <w:rPr>
          <w:lang w:eastAsia="en-US"/>
        </w:rPr>
        <w:t>w</w:t>
      </w:r>
      <w:r w:rsidR="005D78F4">
        <w:rPr>
          <w:lang w:eastAsia="en-US"/>
        </w:rPr>
        <w:t>ho have a</w:t>
      </w:r>
      <w:r w:rsidR="00175B00">
        <w:rPr>
          <w:lang w:eastAsia="en-US"/>
        </w:rPr>
        <w:t xml:space="preserve"> </w:t>
      </w:r>
      <w:r w:rsidR="0050285E">
        <w:rPr>
          <w:lang w:eastAsia="en-US"/>
        </w:rPr>
        <w:t>poor</w:t>
      </w:r>
      <w:r w:rsidR="00175B00">
        <w:rPr>
          <w:lang w:eastAsia="en-US"/>
        </w:rPr>
        <w:t xml:space="preserve"> understanding of culturally safe practices </w:t>
      </w:r>
      <w:r w:rsidR="00DC6316">
        <w:rPr>
          <w:lang w:eastAsia="en-US"/>
        </w:rPr>
        <w:t>c</w:t>
      </w:r>
      <w:r w:rsidR="005D78F4">
        <w:rPr>
          <w:lang w:eastAsia="en-US"/>
        </w:rPr>
        <w:t>an c</w:t>
      </w:r>
      <w:r w:rsidR="00DC6316">
        <w:rPr>
          <w:lang w:eastAsia="en-US"/>
        </w:rPr>
        <w:t>reate</w:t>
      </w:r>
      <w:r w:rsidR="008C5C85">
        <w:rPr>
          <w:lang w:eastAsia="en-US"/>
        </w:rPr>
        <w:t xml:space="preserve"> </w:t>
      </w:r>
      <w:r w:rsidR="00DC6316">
        <w:rPr>
          <w:lang w:eastAsia="en-US"/>
        </w:rPr>
        <w:t>culturally unsafe environment</w:t>
      </w:r>
      <w:r w:rsidR="00F27A37">
        <w:rPr>
          <w:lang w:eastAsia="en-US"/>
        </w:rPr>
        <w:t>s</w:t>
      </w:r>
      <w:r w:rsidR="0050285E">
        <w:rPr>
          <w:lang w:eastAsia="en-US"/>
        </w:rPr>
        <w:t xml:space="preserve">. </w:t>
      </w:r>
      <w:r w:rsidR="00EE0F06">
        <w:rPr>
          <w:lang w:eastAsia="en-US"/>
        </w:rPr>
        <w:t xml:space="preserve">This can lead to </w:t>
      </w:r>
      <w:r w:rsidR="0050285E">
        <w:rPr>
          <w:lang w:eastAsia="en-US"/>
        </w:rPr>
        <w:t>First Nations consumers</w:t>
      </w:r>
      <w:r w:rsidR="003A1256">
        <w:rPr>
          <w:lang w:eastAsia="en-US"/>
        </w:rPr>
        <w:t xml:space="preserve"> ab</w:t>
      </w:r>
      <w:r w:rsidR="00897732">
        <w:rPr>
          <w:lang w:eastAsia="en-US"/>
        </w:rPr>
        <w:t>scond</w:t>
      </w:r>
      <w:r w:rsidR="00F70936">
        <w:rPr>
          <w:lang w:eastAsia="en-US"/>
        </w:rPr>
        <w:t>ing</w:t>
      </w:r>
      <w:r w:rsidR="00897732">
        <w:rPr>
          <w:lang w:eastAsia="en-US"/>
        </w:rPr>
        <w:t xml:space="preserve"> due to </w:t>
      </w:r>
      <w:r w:rsidR="00762790">
        <w:rPr>
          <w:lang w:eastAsia="en-US"/>
        </w:rPr>
        <w:t>feeling isolated</w:t>
      </w:r>
      <w:r w:rsidR="00897732">
        <w:rPr>
          <w:lang w:eastAsia="en-US"/>
        </w:rPr>
        <w:t xml:space="preserve"> and trapped in a</w:t>
      </w:r>
      <w:r w:rsidR="00F12022">
        <w:rPr>
          <w:lang w:eastAsia="en-US"/>
        </w:rPr>
        <w:t xml:space="preserve"> culturally unsafe and</w:t>
      </w:r>
      <w:r w:rsidR="00897732">
        <w:rPr>
          <w:lang w:eastAsia="en-US"/>
        </w:rPr>
        <w:t xml:space="preserve"> enclosed space, </w:t>
      </w:r>
      <w:r w:rsidR="006E161D">
        <w:rPr>
          <w:lang w:eastAsia="en-US"/>
        </w:rPr>
        <w:t xml:space="preserve">with </w:t>
      </w:r>
      <w:r w:rsidR="00732492">
        <w:rPr>
          <w:lang w:eastAsia="en-US"/>
        </w:rPr>
        <w:t xml:space="preserve">consequences </w:t>
      </w:r>
      <w:r w:rsidR="00C206C1">
        <w:rPr>
          <w:lang w:eastAsia="en-US"/>
        </w:rPr>
        <w:t xml:space="preserve">upon their return to detention for </w:t>
      </w:r>
      <w:r w:rsidR="001D064C">
        <w:rPr>
          <w:lang w:eastAsia="en-US"/>
        </w:rPr>
        <w:t xml:space="preserve">their </w:t>
      </w:r>
      <w:r w:rsidR="007C2CC1">
        <w:rPr>
          <w:lang w:eastAsia="en-US"/>
        </w:rPr>
        <w:t xml:space="preserve">access to </w:t>
      </w:r>
      <w:r w:rsidR="00C206C1">
        <w:rPr>
          <w:lang w:eastAsia="en-US"/>
        </w:rPr>
        <w:t>community</w:t>
      </w:r>
      <w:r w:rsidR="007C2CC1">
        <w:rPr>
          <w:lang w:eastAsia="en-US"/>
        </w:rPr>
        <w:t xml:space="preserve"> leave</w:t>
      </w:r>
      <w:r w:rsidR="00C206C1">
        <w:rPr>
          <w:lang w:eastAsia="en-US"/>
        </w:rPr>
        <w:t>,</w:t>
      </w:r>
      <w:r w:rsidR="00350DAD">
        <w:rPr>
          <w:lang w:eastAsia="en-US"/>
        </w:rPr>
        <w:t xml:space="preserve"> </w:t>
      </w:r>
      <w:r w:rsidR="002C3C67">
        <w:rPr>
          <w:lang w:eastAsia="en-US"/>
        </w:rPr>
        <w:t xml:space="preserve">which </w:t>
      </w:r>
      <w:r w:rsidR="00720D91">
        <w:rPr>
          <w:lang w:eastAsia="en-US"/>
        </w:rPr>
        <w:t xml:space="preserve">in turn, </w:t>
      </w:r>
      <w:r w:rsidR="00732492">
        <w:rPr>
          <w:lang w:eastAsia="en-US"/>
        </w:rPr>
        <w:t>impact</w:t>
      </w:r>
      <w:r w:rsidR="00720D91">
        <w:rPr>
          <w:lang w:eastAsia="en-US"/>
        </w:rPr>
        <w:t>s their</w:t>
      </w:r>
      <w:r w:rsidR="002C3C67">
        <w:rPr>
          <w:lang w:eastAsia="en-US"/>
        </w:rPr>
        <w:t xml:space="preserve"> discharge planning and recovery.</w:t>
      </w:r>
    </w:p>
    <w:p w14:paraId="5C763908" w14:textId="6010FD97" w:rsidR="004705EE" w:rsidRDefault="00E57966" w:rsidP="00653A82">
      <w:pPr>
        <w:rPr>
          <w:lang w:eastAsia="en-US"/>
        </w:rPr>
      </w:pPr>
      <w:r>
        <w:rPr>
          <w:lang w:eastAsia="en-US"/>
        </w:rPr>
        <w:t xml:space="preserve">Similarly, </w:t>
      </w:r>
      <w:r w:rsidR="004705EE" w:rsidRPr="004705EE">
        <w:rPr>
          <w:lang w:eastAsia="en-US"/>
        </w:rPr>
        <w:t>applications for the appointment of the Public Guardian or Public Trustee as substituted decision-makers are less likely to be challenged by</w:t>
      </w:r>
      <w:r w:rsidR="005252C7">
        <w:rPr>
          <w:lang w:eastAsia="en-US"/>
        </w:rPr>
        <w:t xml:space="preserve"> families from</w:t>
      </w:r>
      <w:r>
        <w:rPr>
          <w:lang w:eastAsia="en-US"/>
        </w:rPr>
        <w:t xml:space="preserve"> </w:t>
      </w:r>
      <w:r w:rsidR="00626D6A">
        <w:rPr>
          <w:lang w:eastAsia="en-US"/>
        </w:rPr>
        <w:t>CALD</w:t>
      </w:r>
      <w:r>
        <w:rPr>
          <w:lang w:eastAsia="en-US"/>
        </w:rPr>
        <w:t xml:space="preserve"> communities</w:t>
      </w:r>
      <w:r w:rsidR="004705EE" w:rsidRPr="004705EE">
        <w:rPr>
          <w:lang w:eastAsia="en-US"/>
        </w:rPr>
        <w:t xml:space="preserve"> if, due to the family’s cultural beliefs and experiences, they do not feel comfortable challenging the government.</w:t>
      </w:r>
      <w:r w:rsidR="00E36751">
        <w:rPr>
          <w:rStyle w:val="FootnoteReference"/>
          <w:lang w:eastAsia="en-US"/>
        </w:rPr>
        <w:footnoteReference w:id="76"/>
      </w:r>
      <w:r w:rsidR="004705EE" w:rsidRPr="004705EE">
        <w:rPr>
          <w:lang w:eastAsia="en-US"/>
        </w:rPr>
        <w:t xml:space="preserve"> This can </w:t>
      </w:r>
      <w:r w:rsidR="005252C7">
        <w:rPr>
          <w:lang w:eastAsia="en-US"/>
        </w:rPr>
        <w:t xml:space="preserve">result in </w:t>
      </w:r>
      <w:r w:rsidR="004705EE" w:rsidRPr="004705EE">
        <w:rPr>
          <w:lang w:eastAsia="en-US"/>
        </w:rPr>
        <w:t xml:space="preserve">a loss of informal support for the adult and a deterioration in important personal and family relationships. </w:t>
      </w:r>
    </w:p>
    <w:p w14:paraId="035241B4" w14:textId="08CC876A" w:rsidR="004C7566" w:rsidRDefault="00796221" w:rsidP="00653A82">
      <w:pPr>
        <w:rPr>
          <w:lang w:eastAsia="en-US"/>
        </w:rPr>
      </w:pPr>
      <w:r>
        <w:rPr>
          <w:lang w:eastAsia="en-US"/>
        </w:rPr>
        <w:t xml:space="preserve">Intersectional disadvantage is also apparent in the disproportionate use of suspensions and exclusions </w:t>
      </w:r>
      <w:r w:rsidR="007679BD">
        <w:rPr>
          <w:lang w:eastAsia="en-US"/>
        </w:rPr>
        <w:t>of</w:t>
      </w:r>
      <w:r w:rsidR="0098752D">
        <w:rPr>
          <w:lang w:eastAsia="en-US"/>
        </w:rPr>
        <w:t xml:space="preserve"> students with </w:t>
      </w:r>
      <w:r w:rsidR="00EA08F6">
        <w:rPr>
          <w:lang w:eastAsia="en-US"/>
        </w:rPr>
        <w:t>disability</w:t>
      </w:r>
      <w:r w:rsidR="0098752D">
        <w:rPr>
          <w:lang w:eastAsia="en-US"/>
        </w:rPr>
        <w:t xml:space="preserve"> in Queensland state schools.</w:t>
      </w:r>
      <w:r w:rsidR="005252EE">
        <w:rPr>
          <w:lang w:eastAsia="en-US"/>
        </w:rPr>
        <w:t xml:space="preserve"> </w:t>
      </w:r>
      <w:r w:rsidR="002848ED">
        <w:rPr>
          <w:lang w:eastAsia="en-US"/>
        </w:rPr>
        <w:t xml:space="preserve">In February 2022, </w:t>
      </w:r>
      <w:r w:rsidR="0020751C" w:rsidRPr="0020751C">
        <w:rPr>
          <w:lang w:eastAsia="en-US"/>
        </w:rPr>
        <w:t xml:space="preserve">QAI and ATSILS wrote </w:t>
      </w:r>
      <w:r w:rsidR="002848ED">
        <w:rPr>
          <w:lang w:eastAsia="en-US"/>
        </w:rPr>
        <w:t xml:space="preserve">to the Queensland Human Rights Commissioner, </w:t>
      </w:r>
      <w:r w:rsidR="0020751C" w:rsidRPr="0020751C">
        <w:rPr>
          <w:lang w:eastAsia="en-US"/>
        </w:rPr>
        <w:t>detail</w:t>
      </w:r>
      <w:r w:rsidR="002848ED">
        <w:rPr>
          <w:lang w:eastAsia="en-US"/>
        </w:rPr>
        <w:t>ing</w:t>
      </w:r>
      <w:r w:rsidR="0020751C" w:rsidRPr="0020751C">
        <w:rPr>
          <w:lang w:eastAsia="en-US"/>
        </w:rPr>
        <w:t xml:space="preserve"> longstanding concern that students with disability and First Nations students </w:t>
      </w:r>
      <w:r w:rsidR="00F27A2C">
        <w:rPr>
          <w:lang w:eastAsia="en-US"/>
        </w:rPr>
        <w:t>were</w:t>
      </w:r>
      <w:r w:rsidR="0020751C" w:rsidRPr="0020751C">
        <w:rPr>
          <w:lang w:eastAsia="en-US"/>
        </w:rPr>
        <w:t xml:space="preserve"> being suspended and excluded from school more frequently than their peers.</w:t>
      </w:r>
      <w:r w:rsidR="00F27A2C" w:rsidRPr="00F27A2C">
        <w:rPr>
          <w:rStyle w:val="FootnoteReference"/>
          <w:lang w:eastAsia="en-US"/>
        </w:rPr>
        <w:t xml:space="preserve"> </w:t>
      </w:r>
      <w:r w:rsidR="00F27A2C">
        <w:rPr>
          <w:rStyle w:val="FootnoteReference"/>
          <w:lang w:eastAsia="en-US"/>
        </w:rPr>
        <w:footnoteReference w:id="77"/>
      </w:r>
      <w:r w:rsidR="00F27A2C">
        <w:rPr>
          <w:lang w:eastAsia="en-US"/>
        </w:rPr>
        <w:t xml:space="preserve"> </w:t>
      </w:r>
      <w:r w:rsidR="009213BA">
        <w:rPr>
          <w:lang w:eastAsia="en-US"/>
        </w:rPr>
        <w:t>E</w:t>
      </w:r>
      <w:r w:rsidR="002E2497">
        <w:rPr>
          <w:lang w:eastAsia="en-US"/>
        </w:rPr>
        <w:t>vidence</w:t>
      </w:r>
      <w:r w:rsidR="00A42005">
        <w:rPr>
          <w:lang w:eastAsia="en-US"/>
        </w:rPr>
        <w:t xml:space="preserve"> </w:t>
      </w:r>
      <w:r w:rsidR="004814C2">
        <w:rPr>
          <w:lang w:eastAsia="en-US"/>
        </w:rPr>
        <w:t>has</w:t>
      </w:r>
      <w:r w:rsidR="00F36520">
        <w:rPr>
          <w:lang w:eastAsia="en-US"/>
        </w:rPr>
        <w:t xml:space="preserve"> since</w:t>
      </w:r>
      <w:r w:rsidR="004814C2">
        <w:rPr>
          <w:lang w:eastAsia="en-US"/>
        </w:rPr>
        <w:t xml:space="preserve"> </w:t>
      </w:r>
      <w:r w:rsidR="00A42005">
        <w:rPr>
          <w:lang w:eastAsia="en-US"/>
        </w:rPr>
        <w:t>revealed that</w:t>
      </w:r>
      <w:r w:rsidR="00102762">
        <w:rPr>
          <w:lang w:eastAsia="en-US"/>
        </w:rPr>
        <w:t xml:space="preserve"> students </w:t>
      </w:r>
      <w:r w:rsidR="00303F54">
        <w:rPr>
          <w:lang w:eastAsia="en-US"/>
        </w:rPr>
        <w:t xml:space="preserve">with disability had 3.11 times the risk of short-term suspension in 2022, </w:t>
      </w:r>
      <w:r w:rsidR="00BB635E">
        <w:rPr>
          <w:lang w:eastAsia="en-US"/>
        </w:rPr>
        <w:t>whereas</w:t>
      </w:r>
      <w:r w:rsidR="003D423D">
        <w:rPr>
          <w:lang w:eastAsia="en-US"/>
        </w:rPr>
        <w:t xml:space="preserve"> students </w:t>
      </w:r>
      <w:r w:rsidR="00102762">
        <w:rPr>
          <w:lang w:eastAsia="en-US"/>
        </w:rPr>
        <w:t>w</w:t>
      </w:r>
      <w:r w:rsidR="00BB635E">
        <w:rPr>
          <w:lang w:eastAsia="en-US"/>
        </w:rPr>
        <w:t>ith disability w</w:t>
      </w:r>
      <w:r w:rsidR="00F7363B">
        <w:rPr>
          <w:lang w:eastAsia="en-US"/>
        </w:rPr>
        <w:t xml:space="preserve">ho </w:t>
      </w:r>
      <w:r w:rsidR="00BB635E">
        <w:rPr>
          <w:lang w:eastAsia="en-US"/>
        </w:rPr>
        <w:t>also id</w:t>
      </w:r>
      <w:r w:rsidR="00F7363B">
        <w:rPr>
          <w:lang w:eastAsia="en-US"/>
        </w:rPr>
        <w:t>entified as First Nations</w:t>
      </w:r>
      <w:r w:rsidR="00EB4548">
        <w:rPr>
          <w:lang w:eastAsia="en-US"/>
        </w:rPr>
        <w:t xml:space="preserve"> faced 5.23 times the risk of short suspension</w:t>
      </w:r>
      <w:r w:rsidR="003E4131">
        <w:rPr>
          <w:lang w:eastAsia="en-US"/>
        </w:rPr>
        <w:t>,</w:t>
      </w:r>
      <w:r w:rsidR="00C75D4C">
        <w:rPr>
          <w:lang w:eastAsia="en-US"/>
        </w:rPr>
        <w:t xml:space="preserve"> compared to</w:t>
      </w:r>
      <w:r w:rsidR="00061888">
        <w:rPr>
          <w:lang w:eastAsia="en-US"/>
        </w:rPr>
        <w:t xml:space="preserve"> students not in any of those groups.</w:t>
      </w:r>
      <w:r w:rsidR="00061888">
        <w:rPr>
          <w:rStyle w:val="FootnoteReference"/>
          <w:lang w:eastAsia="en-US"/>
        </w:rPr>
        <w:footnoteReference w:id="78"/>
      </w:r>
      <w:r w:rsidR="003663C5">
        <w:rPr>
          <w:lang w:eastAsia="en-US"/>
        </w:rPr>
        <w:t xml:space="preserve"> </w:t>
      </w:r>
      <w:r w:rsidR="00B45406">
        <w:rPr>
          <w:lang w:eastAsia="en-US"/>
        </w:rPr>
        <w:t>P</w:t>
      </w:r>
      <w:r w:rsidR="003663C5">
        <w:rPr>
          <w:lang w:eastAsia="en-US"/>
        </w:rPr>
        <w:t>olicy responses that aim to address</w:t>
      </w:r>
      <w:r w:rsidR="00B45406">
        <w:rPr>
          <w:lang w:eastAsia="en-US"/>
        </w:rPr>
        <w:t xml:space="preserve"> challenging behaviour of school students must therefore recognise the complex and intersecting </w:t>
      </w:r>
      <w:r w:rsidR="00200FE6">
        <w:rPr>
          <w:lang w:eastAsia="en-US"/>
        </w:rPr>
        <w:t>experiences of</w:t>
      </w:r>
      <w:r w:rsidR="00C8310B">
        <w:rPr>
          <w:lang w:eastAsia="en-US"/>
        </w:rPr>
        <w:t xml:space="preserve"> </w:t>
      </w:r>
      <w:r w:rsidR="009213BA">
        <w:rPr>
          <w:lang w:eastAsia="en-US"/>
        </w:rPr>
        <w:t xml:space="preserve">students from </w:t>
      </w:r>
      <w:r w:rsidR="00C8310B">
        <w:rPr>
          <w:lang w:eastAsia="en-US"/>
        </w:rPr>
        <w:t>th</w:t>
      </w:r>
      <w:r w:rsidR="003E4131">
        <w:rPr>
          <w:lang w:eastAsia="en-US"/>
        </w:rPr>
        <w:t>e</w:t>
      </w:r>
      <w:r w:rsidR="00C8310B">
        <w:rPr>
          <w:lang w:eastAsia="en-US"/>
        </w:rPr>
        <w:t xml:space="preserve">se </w:t>
      </w:r>
      <w:r w:rsidR="009213BA">
        <w:rPr>
          <w:lang w:eastAsia="en-US"/>
        </w:rPr>
        <w:t>backgrounds</w:t>
      </w:r>
      <w:r w:rsidR="00C8310B">
        <w:rPr>
          <w:lang w:eastAsia="en-US"/>
        </w:rPr>
        <w:t xml:space="preserve">. For example, </w:t>
      </w:r>
      <w:r w:rsidR="0015120C">
        <w:rPr>
          <w:lang w:eastAsia="en-US"/>
        </w:rPr>
        <w:t xml:space="preserve">there needs to be awareness that First </w:t>
      </w:r>
      <w:r w:rsidR="0054574E">
        <w:rPr>
          <w:lang w:eastAsia="en-US"/>
        </w:rPr>
        <w:t>N</w:t>
      </w:r>
      <w:r w:rsidR="0015120C">
        <w:rPr>
          <w:lang w:eastAsia="en-US"/>
        </w:rPr>
        <w:t>ations students might have undiagnosed disabilit</w:t>
      </w:r>
      <w:r w:rsidR="0054574E">
        <w:rPr>
          <w:lang w:eastAsia="en-US"/>
        </w:rPr>
        <w:t>y</w:t>
      </w:r>
      <w:r w:rsidR="0015120C">
        <w:rPr>
          <w:lang w:eastAsia="en-US"/>
        </w:rPr>
        <w:t xml:space="preserve"> </w:t>
      </w:r>
      <w:r w:rsidR="003D1CB9">
        <w:rPr>
          <w:lang w:eastAsia="en-US"/>
        </w:rPr>
        <w:t>because English is a second or third language</w:t>
      </w:r>
      <w:r w:rsidR="003E4131">
        <w:rPr>
          <w:lang w:eastAsia="en-US"/>
        </w:rPr>
        <w:t xml:space="preserve"> for them</w:t>
      </w:r>
      <w:r w:rsidR="003D1CB9">
        <w:rPr>
          <w:lang w:eastAsia="en-US"/>
        </w:rPr>
        <w:t xml:space="preserve">. </w:t>
      </w:r>
    </w:p>
    <w:p w14:paraId="08F82D7D" w14:textId="0A33B9F5" w:rsidR="003F023B" w:rsidRDefault="00653A82" w:rsidP="00653A82">
      <w:pPr>
        <w:rPr>
          <w:lang w:eastAsia="en-US"/>
        </w:rPr>
      </w:pPr>
      <w:r>
        <w:rPr>
          <w:lang w:eastAsia="en-US"/>
        </w:rPr>
        <w:t xml:space="preserve">For too long, </w:t>
      </w:r>
      <w:r w:rsidR="00ED7E18">
        <w:rPr>
          <w:lang w:eastAsia="en-US"/>
        </w:rPr>
        <w:t>issues relating to</w:t>
      </w:r>
      <w:r w:rsidR="003B407E">
        <w:rPr>
          <w:lang w:eastAsia="en-US"/>
        </w:rPr>
        <w:t xml:space="preserve"> </w:t>
      </w:r>
      <w:r w:rsidR="006039A2">
        <w:rPr>
          <w:lang w:eastAsia="en-US"/>
        </w:rPr>
        <w:t>disability or indigeneity</w:t>
      </w:r>
      <w:r w:rsidR="00A550A9">
        <w:rPr>
          <w:lang w:eastAsia="en-US"/>
        </w:rPr>
        <w:t xml:space="preserve"> have </w:t>
      </w:r>
      <w:r w:rsidR="00E87E02">
        <w:rPr>
          <w:lang w:eastAsia="en-US"/>
        </w:rPr>
        <w:t>been considered</w:t>
      </w:r>
      <w:r w:rsidR="006039A2">
        <w:rPr>
          <w:lang w:eastAsia="en-US"/>
        </w:rPr>
        <w:t xml:space="preserve"> in silo</w:t>
      </w:r>
      <w:r w:rsidR="00D7240C">
        <w:rPr>
          <w:lang w:eastAsia="en-US"/>
        </w:rPr>
        <w:t>s</w:t>
      </w:r>
      <w:r w:rsidR="00882C96">
        <w:rPr>
          <w:lang w:eastAsia="en-US"/>
        </w:rPr>
        <w:t xml:space="preserve">, but for people </w:t>
      </w:r>
      <w:r w:rsidR="00D7240C">
        <w:rPr>
          <w:lang w:eastAsia="en-US"/>
        </w:rPr>
        <w:t>who belong to those communities, their identities</w:t>
      </w:r>
      <w:r w:rsidR="00296BE8">
        <w:rPr>
          <w:lang w:eastAsia="en-US"/>
        </w:rPr>
        <w:t xml:space="preserve"> are inseparable and interconnected. </w:t>
      </w:r>
      <w:r w:rsidR="002A1D9B">
        <w:rPr>
          <w:lang w:eastAsia="en-US"/>
        </w:rPr>
        <w:t>W</w:t>
      </w:r>
      <w:r w:rsidR="001852F4">
        <w:rPr>
          <w:lang w:eastAsia="en-US"/>
        </w:rPr>
        <w:t xml:space="preserve">e </w:t>
      </w:r>
      <w:r w:rsidR="002A1D9B">
        <w:rPr>
          <w:lang w:eastAsia="en-US"/>
        </w:rPr>
        <w:t xml:space="preserve">therefore </w:t>
      </w:r>
      <w:r w:rsidR="001852F4">
        <w:rPr>
          <w:lang w:eastAsia="en-US"/>
        </w:rPr>
        <w:t xml:space="preserve">need policy responses that </w:t>
      </w:r>
      <w:r w:rsidR="002A1D9B">
        <w:rPr>
          <w:lang w:eastAsia="en-US"/>
        </w:rPr>
        <w:t>are</w:t>
      </w:r>
      <w:r w:rsidR="00DD2D00">
        <w:rPr>
          <w:lang w:eastAsia="en-US"/>
        </w:rPr>
        <w:t xml:space="preserve"> </w:t>
      </w:r>
      <w:r w:rsidR="00C9058E">
        <w:rPr>
          <w:lang w:eastAsia="en-US"/>
        </w:rPr>
        <w:t>sophisticated,</w:t>
      </w:r>
      <w:r w:rsidR="00DD2D00">
        <w:rPr>
          <w:lang w:eastAsia="en-US"/>
        </w:rPr>
        <w:t xml:space="preserve"> and</w:t>
      </w:r>
      <w:r w:rsidR="002A1D9B">
        <w:rPr>
          <w:lang w:eastAsia="en-US"/>
        </w:rPr>
        <w:t xml:space="preserve"> which </w:t>
      </w:r>
      <w:r w:rsidR="001852F4">
        <w:rPr>
          <w:lang w:eastAsia="en-US"/>
        </w:rPr>
        <w:t xml:space="preserve">consider </w:t>
      </w:r>
      <w:r w:rsidR="00EB0A83">
        <w:rPr>
          <w:lang w:eastAsia="en-US"/>
        </w:rPr>
        <w:t xml:space="preserve">all </w:t>
      </w:r>
      <w:r w:rsidR="00CB0679">
        <w:rPr>
          <w:lang w:eastAsia="en-US"/>
        </w:rPr>
        <w:t>element</w:t>
      </w:r>
      <w:r w:rsidR="00EB0A83">
        <w:rPr>
          <w:lang w:eastAsia="en-US"/>
        </w:rPr>
        <w:t>s</w:t>
      </w:r>
      <w:r w:rsidR="00CB0679">
        <w:rPr>
          <w:lang w:eastAsia="en-US"/>
        </w:rPr>
        <w:t xml:space="preserve"> of</w:t>
      </w:r>
      <w:r w:rsidR="00345913">
        <w:rPr>
          <w:lang w:eastAsia="en-US"/>
        </w:rPr>
        <w:t xml:space="preserve"> a</w:t>
      </w:r>
      <w:r w:rsidR="00CB0679">
        <w:rPr>
          <w:lang w:eastAsia="en-US"/>
        </w:rPr>
        <w:t xml:space="preserve"> person’s identity</w:t>
      </w:r>
      <w:r w:rsidR="00145DBA">
        <w:rPr>
          <w:lang w:eastAsia="en-US"/>
        </w:rPr>
        <w:t>.</w:t>
      </w:r>
      <w:r w:rsidR="00862269">
        <w:rPr>
          <w:lang w:eastAsia="en-US"/>
        </w:rPr>
        <w:t xml:space="preserve"> Ensuring that people with lived experience from </w:t>
      </w:r>
      <w:r w:rsidR="009F2022">
        <w:rPr>
          <w:lang w:eastAsia="en-US"/>
        </w:rPr>
        <w:t xml:space="preserve">diverse </w:t>
      </w:r>
      <w:r w:rsidR="00862269">
        <w:rPr>
          <w:lang w:eastAsia="en-US"/>
        </w:rPr>
        <w:t xml:space="preserve">communities are involved in </w:t>
      </w:r>
      <w:proofErr w:type="gramStart"/>
      <w:r w:rsidR="00862269">
        <w:rPr>
          <w:lang w:eastAsia="en-US"/>
        </w:rPr>
        <w:t>policy-making</w:t>
      </w:r>
      <w:proofErr w:type="gramEnd"/>
      <w:r w:rsidR="00862269">
        <w:rPr>
          <w:lang w:eastAsia="en-US"/>
        </w:rPr>
        <w:t xml:space="preserve"> </w:t>
      </w:r>
      <w:r w:rsidR="006663C6">
        <w:rPr>
          <w:lang w:eastAsia="en-US"/>
        </w:rPr>
        <w:t>is an essential starting point</w:t>
      </w:r>
      <w:r w:rsidR="00AE4309">
        <w:rPr>
          <w:lang w:eastAsia="en-US"/>
        </w:rPr>
        <w:t xml:space="preserve"> for this.</w:t>
      </w:r>
    </w:p>
    <w:p w14:paraId="08CC1A9A" w14:textId="77777777" w:rsidR="003F023B" w:rsidRDefault="003F023B" w:rsidP="003F023B">
      <w:pPr>
        <w:pStyle w:val="Heading1"/>
        <w:spacing w:before="240"/>
        <w:rPr>
          <w:sz w:val="28"/>
          <w:szCs w:val="24"/>
        </w:rPr>
      </w:pPr>
      <w:r w:rsidRPr="006B1CE4">
        <w:rPr>
          <w:sz w:val="28"/>
          <w:szCs w:val="24"/>
        </w:rPr>
        <w:t>Recommendations</w:t>
      </w:r>
    </w:p>
    <w:p w14:paraId="37C73508" w14:textId="28CB1D63" w:rsidR="005D1C0C" w:rsidRDefault="003F023B" w:rsidP="00E5774A">
      <w:pPr>
        <w:rPr>
          <w:b/>
          <w:bCs/>
          <w:lang w:eastAsia="en-US"/>
        </w:rPr>
      </w:pPr>
      <w:r>
        <w:rPr>
          <w:b/>
          <w:bCs/>
          <w:lang w:eastAsia="en-US"/>
        </w:rPr>
        <w:t>6. Address intersectional disadvantage</w:t>
      </w:r>
    </w:p>
    <w:p w14:paraId="4FE4E63C" w14:textId="0CFEBB3D" w:rsidR="00DD7F40" w:rsidRPr="00DD7F40" w:rsidRDefault="00DD7F40" w:rsidP="00DD7F40">
      <w:pPr>
        <w:pStyle w:val="ListParagraph"/>
        <w:numPr>
          <w:ilvl w:val="0"/>
          <w:numId w:val="49"/>
        </w:numPr>
        <w:rPr>
          <w:b/>
          <w:bCs/>
          <w:lang w:val="en-US"/>
        </w:rPr>
      </w:pPr>
      <w:r w:rsidRPr="00DD7F40">
        <w:rPr>
          <w:b/>
          <w:bCs/>
          <w:lang w:eastAsia="en-US"/>
        </w:rPr>
        <w:t>Ensure sophisticated policy responses to disability issues that consider all elements of a person’s identity. This means being responsive</w:t>
      </w:r>
      <w:r w:rsidRPr="00DD7F40">
        <w:rPr>
          <w:b/>
          <w:bCs/>
          <w:lang w:val="en-US"/>
        </w:rPr>
        <w:t xml:space="preserve"> to the additional barriers faced by First Nations Australians, people from culturally and linguistically diverse communities, older </w:t>
      </w:r>
      <w:r w:rsidR="00F93AB3">
        <w:rPr>
          <w:b/>
          <w:bCs/>
          <w:lang w:val="en-US"/>
        </w:rPr>
        <w:t xml:space="preserve">and younger </w:t>
      </w:r>
      <w:r w:rsidR="008B5BBF" w:rsidRPr="00DD7F40">
        <w:rPr>
          <w:b/>
          <w:bCs/>
          <w:lang w:val="en-US"/>
        </w:rPr>
        <w:t>Australians,</w:t>
      </w:r>
      <w:r w:rsidRPr="00DD7F40">
        <w:rPr>
          <w:b/>
          <w:bCs/>
          <w:lang w:val="en-US"/>
        </w:rPr>
        <w:t xml:space="preserve"> and members of the LGBTIQA+ community.</w:t>
      </w:r>
    </w:p>
    <w:p w14:paraId="1B616989" w14:textId="17FBEE68" w:rsidR="00DD7F40" w:rsidRPr="00DD7F40" w:rsidRDefault="00DD7F40" w:rsidP="00DD7F40">
      <w:pPr>
        <w:pStyle w:val="ListParagraph"/>
        <w:numPr>
          <w:ilvl w:val="0"/>
          <w:numId w:val="49"/>
        </w:numPr>
        <w:rPr>
          <w:b/>
          <w:bCs/>
          <w:lang w:eastAsia="en-US"/>
        </w:rPr>
      </w:pPr>
      <w:r w:rsidRPr="00DD7F40">
        <w:rPr>
          <w:b/>
          <w:bCs/>
          <w:lang w:eastAsia="en-US"/>
        </w:rPr>
        <w:t xml:space="preserve">Consider introducing quotas or mandatory requirements for people with lived experience </w:t>
      </w:r>
      <w:r w:rsidR="00F93AB3">
        <w:rPr>
          <w:b/>
          <w:bCs/>
          <w:lang w:eastAsia="en-US"/>
        </w:rPr>
        <w:t xml:space="preserve">of disability </w:t>
      </w:r>
      <w:r w:rsidRPr="00DD7F40">
        <w:rPr>
          <w:b/>
          <w:bCs/>
          <w:lang w:eastAsia="en-US"/>
        </w:rPr>
        <w:t xml:space="preserve">from diverse communities to be involved in </w:t>
      </w:r>
      <w:proofErr w:type="gramStart"/>
      <w:r w:rsidRPr="00DD7F40">
        <w:rPr>
          <w:b/>
          <w:bCs/>
          <w:lang w:eastAsia="en-US"/>
        </w:rPr>
        <w:t>policy-making</w:t>
      </w:r>
      <w:proofErr w:type="gramEnd"/>
      <w:r w:rsidRPr="00DD7F40">
        <w:rPr>
          <w:b/>
          <w:bCs/>
          <w:lang w:eastAsia="en-US"/>
        </w:rPr>
        <w:t xml:space="preserve"> at all levels of government.</w:t>
      </w:r>
    </w:p>
    <w:p w14:paraId="03A6F0BB" w14:textId="77777777" w:rsidR="0015655B" w:rsidRDefault="0015655B" w:rsidP="00E5774A"/>
    <w:p w14:paraId="6A3430FC" w14:textId="37283755" w:rsidR="005D1C0C" w:rsidRDefault="00544E2C" w:rsidP="00544E2C">
      <w:pPr>
        <w:pStyle w:val="Heading1"/>
      </w:pPr>
      <w:r>
        <w:t>7. Introduce a redress scheme</w:t>
      </w:r>
    </w:p>
    <w:p w14:paraId="19845255" w14:textId="66B2BB2F" w:rsidR="009975FD" w:rsidRDefault="00FB5246" w:rsidP="00E5774A">
      <w:r>
        <w:t>Throughout the duration of</w:t>
      </w:r>
      <w:r w:rsidR="004426CE">
        <w:t xml:space="preserve"> the</w:t>
      </w:r>
      <w:r w:rsidR="00805BD4">
        <w:t xml:space="preserve"> Royal Commission</w:t>
      </w:r>
      <w:r>
        <w:t>, people with disability</w:t>
      </w:r>
      <w:r w:rsidR="00ED4293">
        <w:t xml:space="preserve">, </w:t>
      </w:r>
      <w:r>
        <w:t xml:space="preserve">their families and supporters have relived traumatic experiences of violence, abuse, </w:t>
      </w:r>
      <w:r w:rsidR="00677BD5">
        <w:t>neglect,</w:t>
      </w:r>
      <w:r>
        <w:t xml:space="preserve"> and exploitation</w:t>
      </w:r>
      <w:r w:rsidR="00677BD5">
        <w:t xml:space="preserve"> </w:t>
      </w:r>
      <w:r w:rsidR="00BC59A7">
        <w:t>to</w:t>
      </w:r>
      <w:r w:rsidR="00677BD5">
        <w:t xml:space="preserve"> </w:t>
      </w:r>
      <w:r w:rsidR="00FE5F30">
        <w:t xml:space="preserve">provide evidence of </w:t>
      </w:r>
      <w:r w:rsidR="00677BD5">
        <w:t xml:space="preserve">the many </w:t>
      </w:r>
      <w:r w:rsidR="007504EE">
        <w:t>ways</w:t>
      </w:r>
      <w:r w:rsidR="00677BD5">
        <w:t xml:space="preserve"> </w:t>
      </w:r>
      <w:r w:rsidR="00ED4293">
        <w:t xml:space="preserve">and </w:t>
      </w:r>
      <w:r w:rsidR="00677BD5">
        <w:t xml:space="preserve">varied </w:t>
      </w:r>
      <w:r w:rsidR="007504EE">
        <w:t>places</w:t>
      </w:r>
      <w:r w:rsidR="00677BD5">
        <w:t xml:space="preserve"> in which people with </w:t>
      </w:r>
      <w:r w:rsidR="007504EE">
        <w:t xml:space="preserve">a </w:t>
      </w:r>
      <w:r w:rsidR="00677BD5">
        <w:t xml:space="preserve">disability </w:t>
      </w:r>
      <w:r w:rsidR="00A233D0">
        <w:t>s</w:t>
      </w:r>
      <w:r w:rsidR="007504EE">
        <w:t>uffer</w:t>
      </w:r>
      <w:r w:rsidR="00A233D0">
        <w:t xml:space="preserve"> </w:t>
      </w:r>
      <w:r w:rsidR="007504EE">
        <w:t>abuse</w:t>
      </w:r>
      <w:r w:rsidR="00677BD5">
        <w:t xml:space="preserve"> in Australian society.</w:t>
      </w:r>
      <w:r w:rsidR="007504EE">
        <w:t xml:space="preserve"> </w:t>
      </w:r>
    </w:p>
    <w:p w14:paraId="46A04DF5" w14:textId="77777777" w:rsidR="00844DCE" w:rsidRDefault="003208B2" w:rsidP="00D56E9D">
      <w:proofErr w:type="gramStart"/>
      <w:r>
        <w:t>In light of</w:t>
      </w:r>
      <w:proofErr w:type="gramEnd"/>
      <w:r>
        <w:t xml:space="preserve"> the significant harm caused by the pervasive and systemic mistreatment of Australians with disability</w:t>
      </w:r>
      <w:r w:rsidR="006F45F7">
        <w:t>, QAI considers</w:t>
      </w:r>
      <w:r w:rsidR="00ED4293">
        <w:t xml:space="preserve"> that a National Redress Scheme</w:t>
      </w:r>
      <w:r w:rsidR="00D3776C">
        <w:t xml:space="preserve"> should </w:t>
      </w:r>
      <w:r w:rsidR="00FE5F30">
        <w:t xml:space="preserve">be established </w:t>
      </w:r>
      <w:r w:rsidR="00D3776C">
        <w:t>follow</w:t>
      </w:r>
      <w:r w:rsidR="00FE5F30">
        <w:t>ing</w:t>
      </w:r>
      <w:r w:rsidR="00D3776C">
        <w:t xml:space="preserve"> the conclusion of the Royal Commission.</w:t>
      </w:r>
      <w:r w:rsidR="0044160F">
        <w:t xml:space="preserve"> This is also</w:t>
      </w:r>
      <w:r w:rsidR="004E0876">
        <w:t xml:space="preserve"> recommended</w:t>
      </w:r>
      <w:r w:rsidR="0044160F">
        <w:t xml:space="preserve"> by the United Nations Committee Against Torture, who</w:t>
      </w:r>
      <w:r w:rsidR="00DD4867">
        <w:t xml:space="preserve"> </w:t>
      </w:r>
      <w:r w:rsidR="00877CD7">
        <w:t>call upon</w:t>
      </w:r>
      <w:r w:rsidR="00DD4867">
        <w:t xml:space="preserve"> the Australian government </w:t>
      </w:r>
      <w:r w:rsidR="00877CD7">
        <w:t xml:space="preserve">to </w:t>
      </w:r>
      <w:r w:rsidR="00DD4867">
        <w:t>establish an “effective, independent, confidential and accessible national oversight, complaint and redress mechanism for persons with disabilities who have experienced violence, abuse</w:t>
      </w:r>
      <w:r w:rsidR="00454C50">
        <w:t>, neglect and exploitation in all settings</w:t>
      </w:r>
      <w:r w:rsidR="00877CD7">
        <w:t xml:space="preserve">” in their recent </w:t>
      </w:r>
      <w:r w:rsidR="00405236" w:rsidRPr="00827653">
        <w:rPr>
          <w:i/>
        </w:rPr>
        <w:t>Concluding observations on the sixth periodic report of Australia</w:t>
      </w:r>
      <w:r w:rsidR="00405236">
        <w:t>.</w:t>
      </w:r>
      <w:r w:rsidR="00405236">
        <w:rPr>
          <w:rStyle w:val="FootnoteReference"/>
        </w:rPr>
        <w:footnoteReference w:id="79"/>
      </w:r>
    </w:p>
    <w:p w14:paraId="0F534CB1" w14:textId="7D3DCAF7" w:rsidR="006821B0" w:rsidRDefault="00D56E9D" w:rsidP="00D56E9D">
      <w:r>
        <w:t>Redress</w:t>
      </w:r>
      <w:r w:rsidR="00491467">
        <w:t xml:space="preserve"> </w:t>
      </w:r>
      <w:r>
        <w:t xml:space="preserve">means to set right a </w:t>
      </w:r>
      <w:r w:rsidR="00C02462">
        <w:t xml:space="preserve">wrong </w:t>
      </w:r>
      <w:r w:rsidR="00A233D0">
        <w:t>but</w:t>
      </w:r>
      <w:r w:rsidR="00E57D52">
        <w:t xml:space="preserve"> </w:t>
      </w:r>
      <w:r>
        <w:t>is often narrowly limited to court-based remedies.</w:t>
      </w:r>
      <w:r w:rsidR="000F405F">
        <w:rPr>
          <w:rStyle w:val="FootnoteReference"/>
        </w:rPr>
        <w:footnoteReference w:id="80"/>
      </w:r>
      <w:r>
        <w:t xml:space="preserve"> QAI </w:t>
      </w:r>
      <w:r w:rsidR="00E57D52">
        <w:t>considers</w:t>
      </w:r>
      <w:r>
        <w:t xml:space="preserve"> </w:t>
      </w:r>
      <w:r w:rsidR="00C02462">
        <w:t xml:space="preserve">that </w:t>
      </w:r>
      <w:r>
        <w:t xml:space="preserve">a human rights approach to redress </w:t>
      </w:r>
      <w:r w:rsidR="00C02462">
        <w:t>should be adopted</w:t>
      </w:r>
      <w:r w:rsidR="00101358">
        <w:t>, which</w:t>
      </w:r>
      <w:r>
        <w:t xml:space="preserve"> extends beyond court-based remedies to include </w:t>
      </w:r>
      <w:r w:rsidR="00C02462">
        <w:t>‘</w:t>
      </w:r>
      <w:r>
        <w:t>reparations</w:t>
      </w:r>
      <w:r w:rsidR="00101358">
        <w:t>.</w:t>
      </w:r>
      <w:r w:rsidR="00C02462">
        <w:t>’</w:t>
      </w:r>
      <w:r>
        <w:t xml:space="preserve"> </w:t>
      </w:r>
      <w:r w:rsidR="00101358">
        <w:t>R</w:t>
      </w:r>
      <w:r>
        <w:t xml:space="preserve">eparations </w:t>
      </w:r>
      <w:r w:rsidR="00BC1221">
        <w:t>are</w:t>
      </w:r>
      <w:r>
        <w:t xml:space="preserve"> actions directed toward repairing </w:t>
      </w:r>
      <w:r w:rsidR="008D14E4">
        <w:t>harms and</w:t>
      </w:r>
      <w:r>
        <w:t xml:space="preserve"> are delivered outside of the court system in recognition of </w:t>
      </w:r>
      <w:r w:rsidR="00BC59A7">
        <w:t xml:space="preserve">the </w:t>
      </w:r>
      <w:r>
        <w:t>systemic injustices impacting particular communit</w:t>
      </w:r>
      <w:r w:rsidR="003857EB">
        <w:t>ies</w:t>
      </w:r>
      <w:r>
        <w:t xml:space="preserve"> or group</w:t>
      </w:r>
      <w:r w:rsidR="003857EB">
        <w:t>s</w:t>
      </w:r>
      <w:r>
        <w:t xml:space="preserve"> of people.</w:t>
      </w:r>
      <w:r w:rsidR="007C7CFD">
        <w:rPr>
          <w:rStyle w:val="FootnoteReference"/>
        </w:rPr>
        <w:footnoteReference w:id="81"/>
      </w:r>
      <w:r w:rsidR="004D7CFB">
        <w:t xml:space="preserve"> A</w:t>
      </w:r>
      <w:r w:rsidR="00B00484">
        <w:t xml:space="preserve">n approach to redress based upon reparations offers more </w:t>
      </w:r>
      <w:r w:rsidR="000036F5">
        <w:t>opportunities for redress</w:t>
      </w:r>
      <w:r w:rsidR="00B00484">
        <w:t xml:space="preserve"> than </w:t>
      </w:r>
      <w:r w:rsidR="000036F5">
        <w:t>is</w:t>
      </w:r>
      <w:r w:rsidR="004A1896">
        <w:t xml:space="preserve"> otherwise available through court-based remedies, including</w:t>
      </w:r>
      <w:r w:rsidR="001909DF">
        <w:t xml:space="preserve"> in relation to which wrongs can be addressed, who can participate and how the redress should be </w:t>
      </w:r>
      <w:r w:rsidR="00173D9A">
        <w:t>provided</w:t>
      </w:r>
      <w:r w:rsidR="001909DF">
        <w:t>.</w:t>
      </w:r>
      <w:r w:rsidR="006A4F89">
        <w:rPr>
          <w:rStyle w:val="FootnoteReference"/>
        </w:rPr>
        <w:footnoteReference w:id="82"/>
      </w:r>
      <w:r w:rsidR="00051009">
        <w:t xml:space="preserve"> </w:t>
      </w:r>
      <w:r w:rsidR="006821B0">
        <w:t>However, reparations should operate in tandem with court-based remedi</w:t>
      </w:r>
      <w:r w:rsidR="0032206E">
        <w:t xml:space="preserve">es and should not </w:t>
      </w:r>
      <w:r w:rsidR="00457971">
        <w:t>replace</w:t>
      </w:r>
      <w:r w:rsidR="0032206E">
        <w:t xml:space="preserve"> access to justice through the courts.</w:t>
      </w:r>
    </w:p>
    <w:p w14:paraId="7871B097" w14:textId="34BC2E2F" w:rsidR="00C411D5" w:rsidRDefault="006E0732" w:rsidP="00D56E9D">
      <w:r>
        <w:t>A redress scheme should:</w:t>
      </w:r>
    </w:p>
    <w:p w14:paraId="0CF7D4AF" w14:textId="54A9D1F6" w:rsidR="006E0732" w:rsidRDefault="006E0732" w:rsidP="006E0732">
      <w:pPr>
        <w:pStyle w:val="ListParagraph"/>
        <w:numPr>
          <w:ilvl w:val="0"/>
          <w:numId w:val="24"/>
        </w:numPr>
      </w:pPr>
      <w:r>
        <w:t>Acknowledge the violence, abuse, neglect</w:t>
      </w:r>
      <w:r w:rsidR="00051009">
        <w:t>,</w:t>
      </w:r>
      <w:r>
        <w:t xml:space="preserve"> and exploitation experienced by people with a disability in Australia</w:t>
      </w:r>
      <w:r w:rsidR="00DD4446">
        <w:t>;</w:t>
      </w:r>
    </w:p>
    <w:p w14:paraId="443A7E89" w14:textId="6932481A" w:rsidR="006E0732" w:rsidRDefault="006E0732" w:rsidP="006E0732">
      <w:pPr>
        <w:pStyle w:val="ListParagraph"/>
        <w:numPr>
          <w:ilvl w:val="0"/>
          <w:numId w:val="24"/>
        </w:numPr>
      </w:pPr>
      <w:r>
        <w:t>Hold institutions, companies</w:t>
      </w:r>
      <w:r w:rsidR="00051009">
        <w:t>,</w:t>
      </w:r>
      <w:r>
        <w:t xml:space="preserve"> and individuals accountable for this abuse; and</w:t>
      </w:r>
    </w:p>
    <w:p w14:paraId="415F9D9D" w14:textId="23DA12A1" w:rsidR="006E0732" w:rsidRDefault="006E0732" w:rsidP="006E0732">
      <w:pPr>
        <w:pStyle w:val="ListParagraph"/>
        <w:numPr>
          <w:ilvl w:val="0"/>
          <w:numId w:val="24"/>
        </w:numPr>
      </w:pPr>
      <w:r>
        <w:t xml:space="preserve">Help people with a disability who have experienced abuse to gain access to counselling, a direct personal response, </w:t>
      </w:r>
      <w:r w:rsidR="00FE5F30">
        <w:t>and/</w:t>
      </w:r>
      <w:r>
        <w:t>or a redress payment.</w:t>
      </w:r>
    </w:p>
    <w:p w14:paraId="30AF6EC1" w14:textId="77777777" w:rsidR="00D013D8" w:rsidRPr="006B1CE4" w:rsidRDefault="00D013D8" w:rsidP="00D013D8">
      <w:pPr>
        <w:pStyle w:val="Heading1"/>
        <w:spacing w:before="240"/>
        <w:rPr>
          <w:sz w:val="28"/>
          <w:szCs w:val="24"/>
        </w:rPr>
      </w:pPr>
      <w:r w:rsidRPr="006B1CE4">
        <w:rPr>
          <w:sz w:val="28"/>
          <w:szCs w:val="24"/>
        </w:rPr>
        <w:t>Recommendations</w:t>
      </w:r>
    </w:p>
    <w:p w14:paraId="54042C23" w14:textId="77777777" w:rsidR="005A493D" w:rsidRDefault="00B363A2" w:rsidP="00B62A51">
      <w:pPr>
        <w:rPr>
          <w:b/>
          <w:bCs/>
          <w:lang w:eastAsia="en-US"/>
        </w:rPr>
      </w:pPr>
      <w:r>
        <w:rPr>
          <w:b/>
          <w:bCs/>
          <w:lang w:eastAsia="en-US"/>
        </w:rPr>
        <w:t>7. Introduce a redress scheme</w:t>
      </w:r>
      <w:r w:rsidR="007924FF">
        <w:rPr>
          <w:b/>
          <w:bCs/>
          <w:lang w:eastAsia="en-US"/>
        </w:rPr>
        <w:t xml:space="preserve"> based on a human rights approach that includes reparations</w:t>
      </w:r>
      <w:r w:rsidR="00752377">
        <w:rPr>
          <w:b/>
          <w:bCs/>
          <w:lang w:eastAsia="en-US"/>
        </w:rPr>
        <w:t xml:space="preserve">. </w:t>
      </w:r>
    </w:p>
    <w:p w14:paraId="4616C071" w14:textId="77777777" w:rsidR="000B3436" w:rsidRPr="000B3436" w:rsidRDefault="000B3436" w:rsidP="000B3436">
      <w:pPr>
        <w:rPr>
          <w:b/>
          <w:bCs/>
        </w:rPr>
      </w:pPr>
      <w:r w:rsidRPr="000B3436">
        <w:rPr>
          <w:b/>
          <w:bCs/>
        </w:rPr>
        <w:t>Following the Disability Royal Commission, introduce a redress scheme that takes a human rights approach that provides reparations alongside court-based available remedies. Ensure it:</w:t>
      </w:r>
    </w:p>
    <w:p w14:paraId="759EEF14" w14:textId="77777777" w:rsidR="00DD7F40" w:rsidRPr="00D87293" w:rsidRDefault="00DD7F40" w:rsidP="00DD7F40">
      <w:pPr>
        <w:pStyle w:val="ListParagraph"/>
        <w:numPr>
          <w:ilvl w:val="0"/>
          <w:numId w:val="38"/>
        </w:numPr>
        <w:ind w:left="1164" w:hanging="425"/>
        <w:rPr>
          <w:b/>
          <w:bCs/>
        </w:rPr>
      </w:pPr>
      <w:r w:rsidRPr="00D87293">
        <w:rPr>
          <w:b/>
          <w:bCs/>
          <w:lang w:eastAsia="en-US"/>
        </w:rPr>
        <w:t xml:space="preserve">Acknowledges the violence, abuse, neglect, and exploitation experienced by people with a disability in Australia; </w:t>
      </w:r>
    </w:p>
    <w:p w14:paraId="40F1D4C2" w14:textId="77777777" w:rsidR="00D87293" w:rsidRPr="00D87293" w:rsidRDefault="00DD7F40" w:rsidP="00DD7F40">
      <w:pPr>
        <w:pStyle w:val="ListParagraph"/>
        <w:numPr>
          <w:ilvl w:val="0"/>
          <w:numId w:val="38"/>
        </w:numPr>
        <w:ind w:left="1164" w:hanging="425"/>
        <w:rPr>
          <w:b/>
          <w:bCs/>
        </w:rPr>
      </w:pPr>
      <w:r w:rsidRPr="00D87293">
        <w:rPr>
          <w:b/>
          <w:bCs/>
          <w:lang w:eastAsia="en-US"/>
        </w:rPr>
        <w:t>Holds institutions, companies, and individuals accountable for this abuse; and</w:t>
      </w:r>
    </w:p>
    <w:p w14:paraId="6ABDB8B0" w14:textId="0001C5F6" w:rsidR="00DD7F40" w:rsidRPr="00D87293" w:rsidRDefault="00DD7F40" w:rsidP="00DD7F40">
      <w:pPr>
        <w:pStyle w:val="ListParagraph"/>
        <w:numPr>
          <w:ilvl w:val="0"/>
          <w:numId w:val="38"/>
        </w:numPr>
        <w:ind w:left="1164" w:hanging="425"/>
        <w:rPr>
          <w:b/>
          <w:bCs/>
        </w:rPr>
      </w:pPr>
      <w:r w:rsidRPr="00D87293">
        <w:rPr>
          <w:b/>
          <w:bCs/>
          <w:lang w:eastAsia="en-US"/>
        </w:rPr>
        <w:t xml:space="preserve">Helps people with a disability who have experienced abuse to gain access to counselling, a direct personal response, </w:t>
      </w:r>
      <w:r w:rsidR="00640AF0">
        <w:rPr>
          <w:b/>
          <w:bCs/>
          <w:lang w:eastAsia="en-US"/>
        </w:rPr>
        <w:t>and</w:t>
      </w:r>
      <w:r w:rsidR="00FE5F30">
        <w:rPr>
          <w:b/>
          <w:bCs/>
          <w:lang w:eastAsia="en-US"/>
        </w:rPr>
        <w:t>/or</w:t>
      </w:r>
      <w:r w:rsidRPr="00D87293">
        <w:rPr>
          <w:b/>
          <w:bCs/>
          <w:lang w:eastAsia="en-US"/>
        </w:rPr>
        <w:t xml:space="preserve"> a redress payment.</w:t>
      </w:r>
    </w:p>
    <w:p w14:paraId="057F5DC2" w14:textId="77777777" w:rsidR="008537C4" w:rsidRPr="00EB03E4" w:rsidRDefault="008537C4" w:rsidP="00494734"/>
    <w:sectPr w:rsidR="008537C4" w:rsidRPr="00EB03E4" w:rsidSect="00462846">
      <w:headerReference w:type="first" r:id="rId16"/>
      <w:footerReference w:type="first" r:id="rId17"/>
      <w:pgSz w:w="11900" w:h="16840"/>
      <w:pgMar w:top="1701" w:right="1077" w:bottom="1440" w:left="1077" w:header="709" w:footer="284"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79A3" w14:textId="77777777" w:rsidR="000B1816" w:rsidRDefault="000B1816" w:rsidP="007A3268">
      <w:r>
        <w:separator/>
      </w:r>
    </w:p>
  </w:endnote>
  <w:endnote w:type="continuationSeparator" w:id="0">
    <w:p w14:paraId="2B09C0FE" w14:textId="77777777" w:rsidR="000B1816" w:rsidRDefault="000B1816" w:rsidP="007A3268">
      <w:r>
        <w:continuationSeparator/>
      </w:r>
    </w:p>
  </w:endnote>
  <w:endnote w:type="continuationNotice" w:id="1">
    <w:p w14:paraId="46AE837C" w14:textId="77777777" w:rsidR="000B1816" w:rsidRDefault="000B18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29121C29" w:rsidR="009F7112" w:rsidRDefault="007A3268" w:rsidP="009F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45DE">
      <w:rPr>
        <w:rStyle w:val="PageNumber"/>
        <w:noProof/>
      </w:rPr>
      <w:t>3</w:t>
    </w:r>
    <w:r>
      <w:rPr>
        <w:rStyle w:val="PageNumber"/>
      </w:rPr>
      <w:fldChar w:fldCharType="end"/>
    </w:r>
  </w:p>
  <w:p w14:paraId="30822E4A" w14:textId="77777777" w:rsidR="009F7112" w:rsidRDefault="009F7112" w:rsidP="009F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16E93BB9" w:rsidR="009F7112" w:rsidRPr="005079CE" w:rsidRDefault="009F7112" w:rsidP="009F7112">
    <w:pPr>
      <w:spacing w:before="60" w:after="60"/>
      <w:rPr>
        <w:rFonts w:ascii="Calibri Light" w:hAnsi="Calibri Light"/>
        <w:noProof/>
        <w:color w:val="3B3838" w:themeColor="background2" w:themeShade="40"/>
        <w:szCs w:val="22"/>
        <w:lang w:val="en-US" w:eastAsia="en-US"/>
      </w:rPr>
    </w:pP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9F7112" w:rsidRPr="00475C02" w:rsidRDefault="007A3268" w:rsidP="00532288">
        <w:pPr>
          <w:pStyle w:val="Footer"/>
          <w:framePr w:w="301" w:wrap="none" w:vAnchor="text" w:hAnchor="page" w:x="10490"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432A2697" w:rsidR="009F7112" w:rsidRPr="00BC44D8" w:rsidRDefault="007A3268" w:rsidP="009F7112">
    <w:pPr>
      <w:pStyle w:val="Footer"/>
      <w:jc w:val="right"/>
    </w:pP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269" w14:textId="758B032C" w:rsidR="001545DE" w:rsidRPr="009F7112" w:rsidRDefault="00E8197C" w:rsidP="004F0FB6">
    <w:pPr>
      <w:pStyle w:val="Footer"/>
      <w:ind w:left="-426" w:right="-460"/>
      <w:jc w:val="right"/>
    </w:pPr>
    <w:r w:rsidRPr="009F7112">
      <w:rPr>
        <w:rFonts w:ascii="Calibri Light" w:hAnsi="Calibri Light"/>
        <w:b/>
        <w:bCs/>
        <w:i/>
        <w:noProof/>
        <w:szCs w:val="22"/>
        <w:lang w:eastAsia="en-AU"/>
      </w:rPr>
      <mc:AlternateContent>
        <mc:Choice Requires="wps">
          <w:drawing>
            <wp:anchor distT="0" distB="0" distL="114300" distR="114300" simplePos="0" relativeHeight="251658242" behindDoc="0" locked="0" layoutInCell="1" allowOverlap="1" wp14:anchorId="38AF80C5" wp14:editId="398B58F7">
              <wp:simplePos x="0" y="0"/>
              <wp:positionH relativeFrom="column">
                <wp:posOffset>3039428</wp:posOffset>
              </wp:positionH>
              <wp:positionV relativeFrom="paragraph">
                <wp:posOffset>-3548697</wp:posOffset>
              </wp:positionV>
              <wp:extent cx="77470" cy="7830185"/>
              <wp:effectExtent l="0" t="9208" r="8573" b="8572"/>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712DE4" id="Rectangle 18" o:spid="_x0000_s1026" alt="&quot;&quot;" style="position:absolute;margin-left:239.35pt;margin-top:-279.4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" fillcolor="red" stroked="f" strokeweight="1pt"/>
          </w:pict>
        </mc:Fallback>
      </mc:AlternateContent>
    </w:r>
    <w:r w:rsidR="002F2614" w:rsidRPr="009F7112">
      <w:rPr>
        <w:b/>
        <w:bCs/>
      </w:rPr>
      <w:t>A</w:t>
    </w:r>
    <w:r w:rsidR="002F2614" w:rsidRPr="009F7112">
      <w:t xml:space="preserve"> </w:t>
    </w:r>
    <w:r w:rsidR="00BB7502" w:rsidRPr="009F7112">
      <w:t>Level 2, 43 Peel St (PO Box 3384), South Brisbane</w:t>
    </w:r>
    <w:r w:rsidR="002F2614" w:rsidRPr="009F7112">
      <w:t xml:space="preserve"> QLD </w:t>
    </w:r>
    <w:proofErr w:type="gramStart"/>
    <w:r w:rsidR="002F2614" w:rsidRPr="009F7112">
      <w:t>4101</w:t>
    </w:r>
    <w:r w:rsidR="00A318AD" w:rsidRPr="009F7112">
      <w:t xml:space="preserve"> </w:t>
    </w:r>
    <w:r w:rsidR="002F2614" w:rsidRPr="009F7112">
      <w:t xml:space="preserve"> </w:t>
    </w:r>
    <w:r w:rsidR="002F2614" w:rsidRPr="009F7112">
      <w:rPr>
        <w:b/>
        <w:bCs/>
      </w:rPr>
      <w:t>P</w:t>
    </w:r>
    <w:proofErr w:type="gramEnd"/>
    <w:r w:rsidR="002F2614" w:rsidRPr="009F7112">
      <w:t xml:space="preserve"> 07 3844 4200 </w:t>
    </w:r>
    <w:r w:rsidR="00A318AD" w:rsidRPr="009F7112">
      <w:t xml:space="preserve"> </w:t>
    </w:r>
    <w:r w:rsidR="002F2614" w:rsidRPr="009F7112">
      <w:rPr>
        <w:b/>
        <w:bCs/>
      </w:rPr>
      <w:t>W</w:t>
    </w:r>
    <w:r w:rsidR="002F2614" w:rsidRPr="009F7112">
      <w:t xml:space="preserve"> </w:t>
    </w:r>
    <w:hyperlink r:id="rId1" w:history="1">
      <w:r w:rsidR="004F0FB6" w:rsidRPr="009F7112">
        <w:rPr>
          <w:rStyle w:val="Hyperlink"/>
          <w:color w:val="auto"/>
        </w:rPr>
        <w:t>qai@qai.org.au</w:t>
      </w:r>
    </w:hyperlink>
    <w:r w:rsidR="004F0FB6" w:rsidRPr="009F7112">
      <w:t xml:space="preserve">                  </w:t>
    </w:r>
    <w:r w:rsidR="001545DE" w:rsidRPr="009F7112">
      <w:fldChar w:fldCharType="begin"/>
    </w:r>
    <w:r w:rsidR="001545DE" w:rsidRPr="009F7112">
      <w:instrText xml:space="preserve"> PAGE   \* MERGEFORMAT </w:instrText>
    </w:r>
    <w:r w:rsidR="001545DE" w:rsidRPr="009F7112">
      <w:fldChar w:fldCharType="separate"/>
    </w:r>
    <w:r w:rsidR="001545DE" w:rsidRPr="009F7112">
      <w:rPr>
        <w:noProof/>
      </w:rPr>
      <w:t>2</w:t>
    </w:r>
    <w:r w:rsidR="001545DE" w:rsidRPr="009F7112">
      <w:rPr>
        <w:noProof/>
      </w:rPr>
      <w:fldChar w:fldCharType="end"/>
    </w:r>
  </w:p>
  <w:p w14:paraId="30C90ADD" w14:textId="36CF1B4D" w:rsidR="009F7112" w:rsidRPr="001545DE" w:rsidRDefault="009F7112" w:rsidP="00154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86DF" w14:textId="50541C38" w:rsidR="00494734" w:rsidRDefault="00494734" w:rsidP="004F0FB6">
    <w:pPr>
      <w:pStyle w:val="Footer"/>
      <w:ind w:left="-426" w:right="-460"/>
      <w:jc w:val="right"/>
    </w:pPr>
    <w:r>
      <w:t xml:space="preserve">                </w:t>
    </w:r>
    <w:r>
      <w:fldChar w:fldCharType="begin"/>
    </w:r>
    <w:r>
      <w:instrText xml:space="preserve"> PAGE   \* MERGEFORMAT </w:instrText>
    </w:r>
    <w:r>
      <w:fldChar w:fldCharType="separate"/>
    </w:r>
    <w:r>
      <w:rPr>
        <w:noProof/>
      </w:rPr>
      <w:t>2</w:t>
    </w:r>
    <w:r>
      <w:rPr>
        <w:noProof/>
      </w:rPr>
      <w:fldChar w:fldCharType="end"/>
    </w:r>
  </w:p>
  <w:p w14:paraId="4FD00475" w14:textId="77777777" w:rsidR="00494734" w:rsidRPr="001545DE" w:rsidRDefault="00494734" w:rsidP="0015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9151" w14:textId="77777777" w:rsidR="000B1816" w:rsidRDefault="000B1816" w:rsidP="007A3268">
      <w:r>
        <w:separator/>
      </w:r>
    </w:p>
  </w:footnote>
  <w:footnote w:type="continuationSeparator" w:id="0">
    <w:p w14:paraId="355922C0" w14:textId="77777777" w:rsidR="000B1816" w:rsidRDefault="000B1816" w:rsidP="007A3268">
      <w:r>
        <w:continuationSeparator/>
      </w:r>
    </w:p>
  </w:footnote>
  <w:footnote w:type="continuationNotice" w:id="1">
    <w:p w14:paraId="364823A6" w14:textId="77777777" w:rsidR="000B1816" w:rsidRDefault="000B1816">
      <w:pPr>
        <w:spacing w:after="0"/>
      </w:pPr>
    </w:p>
  </w:footnote>
  <w:footnote w:id="2">
    <w:p w14:paraId="5DA9891C" w14:textId="3D49F5AE" w:rsidR="00AC7C02" w:rsidRDefault="00AC7C02">
      <w:pPr>
        <w:pStyle w:val="FootnoteText"/>
      </w:pPr>
      <w:r>
        <w:rPr>
          <w:rStyle w:val="FootnoteReference"/>
        </w:rPr>
        <w:footnoteRef/>
      </w:r>
      <w:r>
        <w:t xml:space="preserve"> </w:t>
      </w:r>
      <w:r w:rsidR="00195096">
        <w:t xml:space="preserve">© </w:t>
      </w:r>
      <w:proofErr w:type="spellStart"/>
      <w:proofErr w:type="gramStart"/>
      <w:r w:rsidR="00195096">
        <w:t>R.Jackson</w:t>
      </w:r>
      <w:proofErr w:type="spellEnd"/>
      <w:proofErr w:type="gramEnd"/>
      <w:r w:rsidR="00195096">
        <w:t xml:space="preserve"> 2007, 2018</w:t>
      </w:r>
      <w:r w:rsidR="0084068A">
        <w:t>. May be reproduced non-commercially for use with families. www.include.com.au</w:t>
      </w:r>
    </w:p>
  </w:footnote>
  <w:footnote w:id="3">
    <w:p w14:paraId="1EA1B8A1" w14:textId="2E97F15F" w:rsidR="00FA582E" w:rsidRDefault="00FA582E">
      <w:pPr>
        <w:pStyle w:val="FootnoteText"/>
      </w:pPr>
      <w:r>
        <w:rPr>
          <w:rStyle w:val="FootnoteReference"/>
        </w:rPr>
        <w:footnoteRef/>
      </w:r>
      <w:r>
        <w:t xml:space="preserve"> </w:t>
      </w:r>
      <w:r w:rsidR="000F26D5">
        <w:t>Drawn from Social Role Valorisation (SRV)</w:t>
      </w:r>
      <w:r w:rsidR="00317AC1">
        <w:t xml:space="preserve">, see for example, Sherwin, J (2021) </w:t>
      </w:r>
      <w:r w:rsidR="00317AC1">
        <w:rPr>
          <w:i/>
          <w:iCs/>
        </w:rPr>
        <w:t xml:space="preserve">Submission in response to the rights and attitudes paper, Royal Commission into violence, abuse, </w:t>
      </w:r>
      <w:proofErr w:type="gramStart"/>
      <w:r w:rsidR="00317AC1">
        <w:rPr>
          <w:i/>
          <w:iCs/>
        </w:rPr>
        <w:t>neglect</w:t>
      </w:r>
      <w:proofErr w:type="gramEnd"/>
      <w:r w:rsidR="00317AC1">
        <w:rPr>
          <w:i/>
          <w:iCs/>
        </w:rPr>
        <w:t xml:space="preserve"> and exploitation of people with disability</w:t>
      </w:r>
      <w:r w:rsidR="00317AC1">
        <w:t xml:space="preserve">; https://disability.royalcommission.gov.au/system/files/submission/ISS.001.00211.PDF  </w:t>
      </w:r>
    </w:p>
  </w:footnote>
  <w:footnote w:id="4">
    <w:p w14:paraId="1755F04C" w14:textId="560ACCD9" w:rsidR="00490569" w:rsidRDefault="00490569" w:rsidP="00490569">
      <w:pPr>
        <w:pStyle w:val="FootnoteText"/>
      </w:pPr>
      <w:r>
        <w:rPr>
          <w:rStyle w:val="FootnoteReference"/>
        </w:rPr>
        <w:footnoteRef/>
      </w:r>
      <w:r>
        <w:t xml:space="preserve"> </w:t>
      </w:r>
      <w:r w:rsidRPr="002A5F28">
        <w:t>Disability Standards for Education 2005 - 2020 Review Summary</w:t>
      </w:r>
      <w:r w:rsidR="0097096A">
        <w:t>. Note, however, that</w:t>
      </w:r>
      <w:r w:rsidR="006E78E8">
        <w:t xml:space="preserve"> this does not mean that</w:t>
      </w:r>
      <w:r w:rsidR="0097096A">
        <w:t xml:space="preserve"> </w:t>
      </w:r>
      <w:r w:rsidR="00933DD3">
        <w:t xml:space="preserve">childcare providers are </w:t>
      </w:r>
      <w:r w:rsidR="009562C1">
        <w:t xml:space="preserve">exempt from complying with the </w:t>
      </w:r>
      <w:r w:rsidR="009562C1">
        <w:rPr>
          <w:i/>
          <w:iCs/>
        </w:rPr>
        <w:t xml:space="preserve">Disability Discrimination Act 1992 </w:t>
      </w:r>
      <w:r w:rsidR="009562C1">
        <w:t>(Cth</w:t>
      </w:r>
      <w:r w:rsidR="00DB69E9">
        <w:t>).</w:t>
      </w:r>
      <w:r w:rsidR="009562C1">
        <w:t xml:space="preserve"> </w:t>
      </w:r>
    </w:p>
  </w:footnote>
  <w:footnote w:id="5">
    <w:p w14:paraId="4F226E7C" w14:textId="4C3CCFC9" w:rsidR="00164121" w:rsidRPr="00164121" w:rsidRDefault="00164121">
      <w:pPr>
        <w:pStyle w:val="FootnoteText"/>
        <w:rPr>
          <w:lang w:val="en-US"/>
        </w:rPr>
      </w:pPr>
      <w:r>
        <w:rPr>
          <w:rStyle w:val="FootnoteReference"/>
        </w:rPr>
        <w:footnoteRef/>
      </w:r>
      <w:r>
        <w:t xml:space="preserve"> </w:t>
      </w:r>
      <w:r w:rsidR="00ED742D">
        <w:t>Committee on the Rights of Persons with Disabilities</w:t>
      </w:r>
      <w:r w:rsidR="00ED742D">
        <w:rPr>
          <w:lang w:val="en-US"/>
        </w:rPr>
        <w:t xml:space="preserve"> </w:t>
      </w:r>
      <w:r w:rsidR="00423F15">
        <w:rPr>
          <w:lang w:val="en-US"/>
        </w:rPr>
        <w:t xml:space="preserve">(2016) </w:t>
      </w:r>
      <w:r w:rsidRPr="00423F15">
        <w:rPr>
          <w:i/>
          <w:iCs/>
          <w:lang w:val="en-US"/>
        </w:rPr>
        <w:t>General Comment No.4</w:t>
      </w:r>
      <w:r w:rsidR="00423F15">
        <w:rPr>
          <w:lang w:val="en-US"/>
        </w:rPr>
        <w:t>. CRPD/C/GC/4</w:t>
      </w:r>
    </w:p>
  </w:footnote>
  <w:footnote w:id="6">
    <w:p w14:paraId="12434219" w14:textId="77777777" w:rsidR="00931915" w:rsidRDefault="00931915" w:rsidP="00931915">
      <w:pPr>
        <w:pStyle w:val="FootnoteText"/>
      </w:pPr>
      <w:r>
        <w:rPr>
          <w:rStyle w:val="FootnoteReference"/>
        </w:rPr>
        <w:footnoteRef/>
      </w:r>
      <w:r>
        <w:t xml:space="preserve"> See for example</w:t>
      </w:r>
      <w:r w:rsidRPr="00363BC4">
        <w:rPr>
          <w:i/>
          <w:iCs/>
        </w:rPr>
        <w:t>, QAI and ATSILS call for inquiry into school disciplinary absences</w:t>
      </w:r>
      <w:r>
        <w:t xml:space="preserve">; </w:t>
      </w:r>
      <w:r w:rsidRPr="00363BC4">
        <w:t>https://qai.org.au/2022/02/16/qai-and-atsils-call-for-inquiry-into-school-disciplinary-absences/</w:t>
      </w:r>
    </w:p>
  </w:footnote>
  <w:footnote w:id="7">
    <w:p w14:paraId="1365B326" w14:textId="28C78366" w:rsidR="00373847" w:rsidRPr="00373847" w:rsidRDefault="00373847" w:rsidP="009E1BC8">
      <w:pPr>
        <w:pStyle w:val="FootnoteText"/>
        <w:rPr>
          <w:lang w:val="en-US"/>
        </w:rPr>
      </w:pPr>
      <w:r>
        <w:rPr>
          <w:rStyle w:val="FootnoteReference"/>
        </w:rPr>
        <w:footnoteRef/>
      </w:r>
      <w:r>
        <w:t xml:space="preserve"> </w:t>
      </w:r>
      <w:r>
        <w:rPr>
          <w:lang w:val="en-US"/>
        </w:rPr>
        <w:t xml:space="preserve">See QAI’s submission to the DRC on </w:t>
      </w:r>
      <w:r w:rsidR="009E1BC8">
        <w:rPr>
          <w:lang w:val="en-US"/>
        </w:rPr>
        <w:t xml:space="preserve">inclusive education; </w:t>
      </w:r>
      <w:r w:rsidR="00D521EE" w:rsidRPr="00D521EE">
        <w:rPr>
          <w:lang w:val="en-US"/>
        </w:rPr>
        <w:t>https://qai.org.au/2019/11/29/inclusive-education/</w:t>
      </w:r>
    </w:p>
  </w:footnote>
  <w:footnote w:id="8">
    <w:p w14:paraId="0254530E" w14:textId="77777777" w:rsidR="004559F2" w:rsidRDefault="004559F2" w:rsidP="004559F2">
      <w:pPr>
        <w:pStyle w:val="FootnoteText"/>
      </w:pPr>
      <w:r>
        <w:rPr>
          <w:rStyle w:val="FootnoteReference"/>
        </w:rPr>
        <w:footnoteRef/>
      </w:r>
      <w:r>
        <w:t xml:space="preserve"> </w:t>
      </w:r>
      <w:r w:rsidRPr="00B95110">
        <w:t>C4IE Position Statement on the Dual System of Regular and Special Schools</w:t>
      </w:r>
      <w:r>
        <w:t>, 2022</w:t>
      </w:r>
    </w:p>
  </w:footnote>
  <w:footnote w:id="9">
    <w:p w14:paraId="0E28C3EC" w14:textId="5EF29922" w:rsidR="00F12D6F" w:rsidRDefault="00F12D6F">
      <w:pPr>
        <w:pStyle w:val="FootnoteText"/>
      </w:pPr>
      <w:r>
        <w:rPr>
          <w:rStyle w:val="FootnoteReference"/>
        </w:rPr>
        <w:footnoteRef/>
      </w:r>
      <w:r>
        <w:t xml:space="preserve"> For example,</w:t>
      </w:r>
      <w:r w:rsidR="00063029">
        <w:t xml:space="preserve"> </w:t>
      </w:r>
      <w:r w:rsidR="00D622CC">
        <w:t>‘Stigma of a Label: Educational Expectations for High School Students Labelled with Learning Disabilities</w:t>
      </w:r>
      <w:r w:rsidR="003F1E98">
        <w:t>’ Journal of Health and Social Behaviour, December 2013, Vol 54. No.4, pp462-480</w:t>
      </w:r>
    </w:p>
  </w:footnote>
  <w:footnote w:id="10">
    <w:p w14:paraId="4EFF3879" w14:textId="4C2F90E0" w:rsidR="00E44A72" w:rsidRDefault="00E44A72">
      <w:pPr>
        <w:pStyle w:val="FootnoteText"/>
      </w:pPr>
      <w:r>
        <w:rPr>
          <w:rStyle w:val="FootnoteReference"/>
        </w:rPr>
        <w:footnoteRef/>
      </w:r>
      <w:r>
        <w:t xml:space="preserve"> Queensland Parents for People with a Disability</w:t>
      </w:r>
      <w:r w:rsidR="005235B3">
        <w:t xml:space="preserve"> (2008) Inclusion or Segregation for Children with an Intellectual Impairment? What does the research say?</w:t>
      </w:r>
      <w:r w:rsidR="00FB0D43">
        <w:t xml:space="preserve"> Dr Bob Jackson</w:t>
      </w:r>
    </w:p>
  </w:footnote>
  <w:footnote w:id="11">
    <w:p w14:paraId="46AB1F7B" w14:textId="5F5DD29C" w:rsidR="00EB59BA" w:rsidRDefault="00EB59BA">
      <w:pPr>
        <w:pStyle w:val="FootnoteText"/>
      </w:pPr>
      <w:r>
        <w:rPr>
          <w:rStyle w:val="FootnoteReference"/>
        </w:rPr>
        <w:footnoteRef/>
      </w:r>
      <w:r>
        <w:t xml:space="preserve"> </w:t>
      </w:r>
      <w:r w:rsidRPr="00EB59BA">
        <w:t xml:space="preserve">Kate De Bruin, ‘The Impact of Inclusive Education Reforms on Students </w:t>
      </w:r>
      <w:proofErr w:type="gramStart"/>
      <w:r w:rsidRPr="00EB59BA">
        <w:t>With</w:t>
      </w:r>
      <w:proofErr w:type="gramEnd"/>
      <w:r w:rsidRPr="00EB59BA">
        <w:t xml:space="preserve"> Disability: An International Comparison’ (2019) International Journal of Inclusive Education, 23:7- 8, 811-826</w:t>
      </w:r>
    </w:p>
  </w:footnote>
  <w:footnote w:id="12">
    <w:p w14:paraId="3124A9F0" w14:textId="4FC13297" w:rsidR="00153BA4" w:rsidRDefault="00153BA4">
      <w:pPr>
        <w:pStyle w:val="FootnoteText"/>
      </w:pPr>
      <w:r>
        <w:rPr>
          <w:rStyle w:val="FootnoteReference"/>
        </w:rPr>
        <w:footnoteRef/>
      </w:r>
      <w:r>
        <w:t xml:space="preserve"> Australian Human Rights Commission (2016) </w:t>
      </w:r>
      <w:r w:rsidRPr="007B5D44">
        <w:rPr>
          <w:i/>
          <w:iCs/>
        </w:rPr>
        <w:t>‘Willing to Work: National Inquiry into Employment Discrimination against Older Australians and Australians with Disability</w:t>
      </w:r>
      <w:r>
        <w:t xml:space="preserve">’, p242  </w:t>
      </w:r>
    </w:p>
  </w:footnote>
  <w:footnote w:id="13">
    <w:p w14:paraId="0508B6EF" w14:textId="41442A61" w:rsidR="00F00FD9" w:rsidRDefault="00F00FD9">
      <w:pPr>
        <w:pStyle w:val="FootnoteText"/>
      </w:pPr>
      <w:r>
        <w:rPr>
          <w:rStyle w:val="FootnoteReference"/>
        </w:rPr>
        <w:footnoteRef/>
      </w:r>
      <w:r>
        <w:t xml:space="preserve"> </w:t>
      </w:r>
      <w:r w:rsidRPr="00F00FD9">
        <w:t>Weisel, I &amp; Bigby, C (2015) Movement on Shifting Sands: Deinstitutionalisation and People with Intellectual Disability in Australia, 1974–2014, Urban Policy and Research, 33:2, 178-194</w:t>
      </w:r>
    </w:p>
  </w:footnote>
  <w:footnote w:id="14">
    <w:p w14:paraId="779E0EF2" w14:textId="428830DB" w:rsidR="00E51C92" w:rsidRPr="00E51C92" w:rsidRDefault="00E51C92">
      <w:pPr>
        <w:pStyle w:val="FootnoteText"/>
        <w:rPr>
          <w:lang w:val="en-US"/>
        </w:rPr>
      </w:pPr>
      <w:r>
        <w:rPr>
          <w:rStyle w:val="FootnoteReference"/>
        </w:rPr>
        <w:footnoteRef/>
      </w:r>
      <w:r>
        <w:t xml:space="preserve"> </w:t>
      </w:r>
      <w:r>
        <w:rPr>
          <w:lang w:val="en-US"/>
        </w:rPr>
        <w:t xml:space="preserve">See QAI’s submission to the DRC on Group Homes; </w:t>
      </w:r>
      <w:r w:rsidR="00593DEC" w:rsidRPr="00593DEC">
        <w:rPr>
          <w:lang w:val="en-US"/>
        </w:rPr>
        <w:t>https://qai.org.au/2020/06/25/group-homes/</w:t>
      </w:r>
    </w:p>
  </w:footnote>
  <w:footnote w:id="15">
    <w:p w14:paraId="4A696BB4" w14:textId="1B81A05F" w:rsidR="0099410A" w:rsidRDefault="0099410A">
      <w:pPr>
        <w:pStyle w:val="FootnoteText"/>
      </w:pPr>
      <w:r>
        <w:rPr>
          <w:rStyle w:val="FootnoteReference"/>
        </w:rPr>
        <w:footnoteRef/>
      </w:r>
      <w:r>
        <w:t xml:space="preserve"> For example, </w:t>
      </w:r>
      <w:r w:rsidRPr="00F234F7">
        <w:rPr>
          <w:i/>
          <w:iCs/>
        </w:rPr>
        <w:t>Disability Services Act</w:t>
      </w:r>
      <w:r w:rsidR="00F234F7" w:rsidRPr="00F234F7">
        <w:rPr>
          <w:i/>
          <w:iCs/>
        </w:rPr>
        <w:t xml:space="preserve"> 2006 </w:t>
      </w:r>
      <w:r w:rsidR="00F234F7">
        <w:t>(Qld), section 28</w:t>
      </w:r>
    </w:p>
  </w:footnote>
  <w:footnote w:id="16">
    <w:p w14:paraId="2C9E4904" w14:textId="77777777" w:rsidR="00182EC5" w:rsidRPr="00A05DEC" w:rsidRDefault="00182EC5" w:rsidP="00182EC5">
      <w:pPr>
        <w:pStyle w:val="FootnoteText"/>
        <w:rPr>
          <w:lang w:val="en-US"/>
        </w:rPr>
      </w:pPr>
      <w:r>
        <w:rPr>
          <w:rStyle w:val="FootnoteReference"/>
        </w:rPr>
        <w:footnoteRef/>
      </w:r>
      <w:r>
        <w:t xml:space="preserve"> </w:t>
      </w:r>
      <w:r w:rsidRPr="00A05DEC">
        <w:t xml:space="preserve">Sherwin, J (2021) Submission in response to the rights and attitudes paper, Royal Commission into violence, abuse, </w:t>
      </w:r>
      <w:proofErr w:type="gramStart"/>
      <w:r w:rsidRPr="00A05DEC">
        <w:t>neglect</w:t>
      </w:r>
      <w:proofErr w:type="gramEnd"/>
      <w:r w:rsidRPr="00A05DEC">
        <w:t xml:space="preserve"> and exploitation of people with disability</w:t>
      </w:r>
      <w:r>
        <w:t xml:space="preserve">; </w:t>
      </w:r>
      <w:r w:rsidRPr="000A289D">
        <w:t>https://disability.royalcommission.gov.au/system/files/submission/ISS.001.00211.PDF</w:t>
      </w:r>
    </w:p>
  </w:footnote>
  <w:footnote w:id="17">
    <w:p w14:paraId="22FD1D28" w14:textId="650FB9E9" w:rsidR="0067583F" w:rsidRPr="0067583F" w:rsidRDefault="0067583F">
      <w:pPr>
        <w:pStyle w:val="FootnoteText"/>
        <w:rPr>
          <w:lang w:val="en-US"/>
        </w:rPr>
      </w:pPr>
      <w:r>
        <w:rPr>
          <w:rStyle w:val="FootnoteReference"/>
        </w:rPr>
        <w:footnoteRef/>
      </w:r>
      <w:r>
        <w:t xml:space="preserve"> </w:t>
      </w:r>
      <w:r>
        <w:rPr>
          <w:lang w:val="en-US"/>
        </w:rPr>
        <w:t>CRPD/C/5: Guidelines on deinstitutionalization, including in emergencies (2022)</w:t>
      </w:r>
    </w:p>
  </w:footnote>
  <w:footnote w:id="18">
    <w:p w14:paraId="085BCBE6" w14:textId="77777777" w:rsidR="005C64E4" w:rsidRDefault="005C64E4" w:rsidP="005C64E4">
      <w:pPr>
        <w:pStyle w:val="FootnoteText"/>
      </w:pPr>
      <w:r>
        <w:rPr>
          <w:rStyle w:val="FootnoteReference"/>
        </w:rPr>
        <w:footnoteRef/>
      </w:r>
      <w:r>
        <w:t xml:space="preserve"> </w:t>
      </w:r>
      <w:r w:rsidRPr="006D2C2B">
        <w:t xml:space="preserve">Australian Coalition for Inclusive Education (ACIE). (2020). </w:t>
      </w:r>
      <w:r w:rsidRPr="006D2C2B">
        <w:rPr>
          <w:i/>
          <w:iCs/>
        </w:rPr>
        <w:t>Driving change: A roadmap for achieving inclusive education in Australia</w:t>
      </w:r>
      <w:r w:rsidRPr="006D2C2B">
        <w:t>.</w:t>
      </w:r>
    </w:p>
  </w:footnote>
  <w:footnote w:id="19">
    <w:p w14:paraId="06816C42" w14:textId="77777777" w:rsidR="00114326" w:rsidRDefault="00114326" w:rsidP="00114326">
      <w:pPr>
        <w:pStyle w:val="FootnoteText"/>
      </w:pPr>
      <w:r>
        <w:rPr>
          <w:rStyle w:val="FootnoteReference"/>
        </w:rPr>
        <w:footnoteRef/>
      </w:r>
      <w:r>
        <w:t xml:space="preserve"> </w:t>
      </w:r>
      <w:r w:rsidRPr="00F859AD">
        <w:t>Kantar Public (February 2017) ‘Building Employer Demand: Literature Review’</w:t>
      </w:r>
    </w:p>
  </w:footnote>
  <w:footnote w:id="20">
    <w:p w14:paraId="5AC5D080" w14:textId="44546EE8" w:rsidR="00A32892" w:rsidRDefault="00A32892" w:rsidP="00A32892">
      <w:pPr>
        <w:pStyle w:val="FootnoteText"/>
      </w:pPr>
      <w:r>
        <w:rPr>
          <w:rStyle w:val="FootnoteReference"/>
        </w:rPr>
        <w:footnoteRef/>
      </w:r>
      <w:r>
        <w:t xml:space="preserve"> Idle, J., </w:t>
      </w:r>
      <w:proofErr w:type="spellStart"/>
      <w:r>
        <w:t>Giuntoli</w:t>
      </w:r>
      <w:proofErr w:type="spellEnd"/>
      <w:r>
        <w:t xml:space="preserve">, G., Fisher, KR, Robinson, S., </w:t>
      </w:r>
      <w:proofErr w:type="spellStart"/>
      <w:r>
        <w:t>Purcal</w:t>
      </w:r>
      <w:proofErr w:type="spellEnd"/>
      <w:r>
        <w:t>, C., Newman, C., Reedy, K. (2022). Research Report – Changing community attitudes to improve inclusion of people with disability. Royal Commission into Violence, Abuse, Neglect and Exploitation of People with Disability</w:t>
      </w:r>
    </w:p>
  </w:footnote>
  <w:footnote w:id="21">
    <w:p w14:paraId="1C1FDFA5" w14:textId="1A51DE77" w:rsidR="009D16AD" w:rsidRPr="009D16AD" w:rsidRDefault="009D16AD">
      <w:pPr>
        <w:pStyle w:val="FootnoteText"/>
        <w:rPr>
          <w:lang w:val="en-US"/>
        </w:rPr>
      </w:pPr>
      <w:r>
        <w:rPr>
          <w:rStyle w:val="FootnoteReference"/>
        </w:rPr>
        <w:footnoteRef/>
      </w:r>
      <w:r>
        <w:t xml:space="preserve"> </w:t>
      </w:r>
      <w:r w:rsidRPr="009D16AD">
        <w:t xml:space="preserve">Sherwin, J (2021) Submission in response to the rights and attitudes paper, Royal Commission into violence, abuse, </w:t>
      </w:r>
      <w:proofErr w:type="gramStart"/>
      <w:r w:rsidRPr="009D16AD">
        <w:t>neglect</w:t>
      </w:r>
      <w:proofErr w:type="gramEnd"/>
      <w:r w:rsidRPr="009D16AD">
        <w:t xml:space="preserve"> and exploitation of people with disability; https://disability.royalcommission.gov.au/system/files/submission/ISS.001.00211.PDF</w:t>
      </w:r>
    </w:p>
  </w:footnote>
  <w:footnote w:id="22">
    <w:p w14:paraId="082E7E5B" w14:textId="123ED765" w:rsidR="0034356A" w:rsidRPr="0034356A" w:rsidRDefault="0034356A">
      <w:pPr>
        <w:pStyle w:val="FootnoteText"/>
        <w:rPr>
          <w:lang w:val="en-US"/>
        </w:rPr>
      </w:pPr>
      <w:r>
        <w:rPr>
          <w:rStyle w:val="FootnoteReference"/>
        </w:rPr>
        <w:footnoteRef/>
      </w:r>
      <w:r>
        <w:t xml:space="preserve"> </w:t>
      </w:r>
      <w:r w:rsidRPr="0034356A">
        <w:t xml:space="preserve">Armstrong, J (2020) Submission to Royal Commission into Violence, Abuse, </w:t>
      </w:r>
      <w:proofErr w:type="gramStart"/>
      <w:r w:rsidRPr="0034356A">
        <w:t>Neglect</w:t>
      </w:r>
      <w:proofErr w:type="gramEnd"/>
      <w:r w:rsidRPr="0034356A">
        <w:t xml:space="preserve"> and the Exploitation of People with Disability; http://www.asrva.org.au/uploads/1/2/6/7/126742284/johm_armstrong_submission_to_royal_commission_on_abuse.pdf</w:t>
      </w:r>
    </w:p>
  </w:footnote>
  <w:footnote w:id="23">
    <w:p w14:paraId="548DB88C" w14:textId="467EE640" w:rsidR="00692629" w:rsidRPr="00692629" w:rsidRDefault="00692629">
      <w:pPr>
        <w:pStyle w:val="FootnoteText"/>
        <w:rPr>
          <w:lang w:val="en-US"/>
        </w:rPr>
      </w:pPr>
      <w:r>
        <w:rPr>
          <w:rStyle w:val="FootnoteReference"/>
        </w:rPr>
        <w:footnoteRef/>
      </w:r>
      <w:r>
        <w:t xml:space="preserve"> </w:t>
      </w:r>
      <w:r w:rsidRPr="00692629">
        <w:t xml:space="preserve">Osburn, J (2006) An Overview of Social Role </w:t>
      </w:r>
      <w:proofErr w:type="spellStart"/>
      <w:r w:rsidRPr="00692629">
        <w:t>Valorization</w:t>
      </w:r>
      <w:proofErr w:type="spellEnd"/>
      <w:r w:rsidRPr="00692629">
        <w:t xml:space="preserve"> Theory. The SRV Journal, 1(1), 4-13</w:t>
      </w:r>
    </w:p>
  </w:footnote>
  <w:footnote w:id="24">
    <w:p w14:paraId="38896D69" w14:textId="56179E14" w:rsidR="004B3765" w:rsidRPr="004B3765" w:rsidRDefault="004B3765">
      <w:pPr>
        <w:pStyle w:val="FootnoteText"/>
        <w:rPr>
          <w:lang w:val="en-US"/>
        </w:rPr>
      </w:pPr>
      <w:r>
        <w:rPr>
          <w:rStyle w:val="FootnoteReference"/>
        </w:rPr>
        <w:footnoteRef/>
      </w:r>
      <w:r>
        <w:t xml:space="preserve"> </w:t>
      </w:r>
      <w:r w:rsidRPr="004B3765">
        <w:t>Kayess, R. &amp; Sands, T. (2020) Convention on the Rights of Persons with Disabilities: Shining a light on Social Transformation. Sydney: UNSW Social Policy Research Centre, p1</w:t>
      </w:r>
    </w:p>
  </w:footnote>
  <w:footnote w:id="25">
    <w:p w14:paraId="6A024E4E" w14:textId="5BD6D2D2" w:rsidR="00382D9B" w:rsidRPr="00382D9B" w:rsidRDefault="00382D9B">
      <w:pPr>
        <w:pStyle w:val="FootnoteText"/>
        <w:rPr>
          <w:lang w:val="en-US"/>
        </w:rPr>
      </w:pPr>
      <w:r>
        <w:rPr>
          <w:rStyle w:val="FootnoteReference"/>
        </w:rPr>
        <w:footnoteRef/>
      </w:r>
      <w:r>
        <w:t xml:space="preserve"> </w:t>
      </w:r>
      <w:r>
        <w:rPr>
          <w:lang w:val="en-US"/>
        </w:rPr>
        <w:t xml:space="preserve">See QAI’s submission to the DRC on Restrictive Practices; </w:t>
      </w:r>
      <w:r w:rsidR="00041AF8" w:rsidRPr="00041AF8">
        <w:rPr>
          <w:lang w:val="en-US"/>
        </w:rPr>
        <w:t>https://qai.org.au/2020/12/10/restrictive-practices/</w:t>
      </w:r>
    </w:p>
  </w:footnote>
  <w:footnote w:id="26">
    <w:p w14:paraId="280F9CBD" w14:textId="65CFA84F" w:rsidR="00371393" w:rsidRDefault="00371393">
      <w:pPr>
        <w:pStyle w:val="FootnoteText"/>
      </w:pPr>
      <w:r>
        <w:rPr>
          <w:rStyle w:val="FootnoteReference"/>
        </w:rPr>
        <w:footnoteRef/>
      </w:r>
      <w:r>
        <w:t xml:space="preserve"> </w:t>
      </w:r>
      <w:r w:rsidRPr="00371393">
        <w:t>Peter Andersen, Nonverbal Communication: Forms and Functions (Mayfield, 1999), 18.</w:t>
      </w:r>
    </w:p>
  </w:footnote>
  <w:footnote w:id="27">
    <w:p w14:paraId="52E20EB7" w14:textId="2AA1577B" w:rsidR="0073165C" w:rsidRPr="0000145A" w:rsidRDefault="0073165C" w:rsidP="0073165C">
      <w:pPr>
        <w:pStyle w:val="FootnoteText"/>
        <w:rPr>
          <w:lang w:val="en-US"/>
        </w:rPr>
      </w:pPr>
      <w:r>
        <w:rPr>
          <w:rStyle w:val="FootnoteReference"/>
        </w:rPr>
        <w:footnoteRef/>
      </w:r>
      <w:r>
        <w:t xml:space="preserve"> Kendrick, Michael, ‘Some Initial Thoughts </w:t>
      </w:r>
      <w:proofErr w:type="gramStart"/>
      <w:r>
        <w:t>On</w:t>
      </w:r>
      <w:proofErr w:type="gramEnd"/>
      <w:r>
        <w:t xml:space="preserve"> Establishing “Right Relationship” Between Staff, Professionals, Service Organisations and the</w:t>
      </w:r>
      <w:r w:rsidR="00427D21">
        <w:t xml:space="preserve"> </w:t>
      </w:r>
      <w:r>
        <w:t>People They Assist’ QAI Newsletter, April 2000</w:t>
      </w:r>
    </w:p>
  </w:footnote>
  <w:footnote w:id="28">
    <w:p w14:paraId="539D74B1" w14:textId="77777777" w:rsidR="0084133A" w:rsidRDefault="0084133A" w:rsidP="0084133A">
      <w:pPr>
        <w:pStyle w:val="FootnoteText"/>
      </w:pPr>
      <w:r>
        <w:rPr>
          <w:rStyle w:val="FootnoteReference"/>
        </w:rPr>
        <w:footnoteRef/>
      </w:r>
      <w:r>
        <w:t xml:space="preserve"> </w:t>
      </w:r>
      <w:r w:rsidRPr="008D39A9">
        <w:t xml:space="preserve">Sherwin, J (2021) Submission in response to the rights and attitudes paper, Royal Commission into violence, abuse, </w:t>
      </w:r>
      <w:proofErr w:type="gramStart"/>
      <w:r w:rsidRPr="008D39A9">
        <w:t>neglect</w:t>
      </w:r>
      <w:proofErr w:type="gramEnd"/>
      <w:r w:rsidRPr="008D39A9">
        <w:t xml:space="preserve"> and exploitation of people with disability; https://disability.royalcommission.gov.au/system/files/submission/ISS.001.00211.PDF</w:t>
      </w:r>
    </w:p>
  </w:footnote>
  <w:footnote w:id="29">
    <w:p w14:paraId="3107746A" w14:textId="43A3D0D9" w:rsidR="00A75850" w:rsidRDefault="00A75850">
      <w:pPr>
        <w:pStyle w:val="FootnoteText"/>
      </w:pPr>
      <w:r>
        <w:rPr>
          <w:rStyle w:val="FootnoteReference"/>
        </w:rPr>
        <w:footnoteRef/>
      </w:r>
      <w:r>
        <w:t xml:space="preserve"> </w:t>
      </w:r>
      <w:r w:rsidRPr="00A75850">
        <w:t xml:space="preserve">Sherwin, J (2021) Submission in response to the rights and attitudes paper, Royal Commission into violence, abuse, </w:t>
      </w:r>
      <w:proofErr w:type="gramStart"/>
      <w:r w:rsidRPr="00A75850">
        <w:t>neglect</w:t>
      </w:r>
      <w:proofErr w:type="gramEnd"/>
      <w:r w:rsidRPr="00A75850">
        <w:t xml:space="preserve"> and exploitation of people with disability; https://disability.royalcommission.gov.au/system/files/submission/ISS.001.00211.PDF</w:t>
      </w:r>
    </w:p>
  </w:footnote>
  <w:footnote w:id="30">
    <w:p w14:paraId="29496675" w14:textId="438A7204" w:rsidR="00A75850" w:rsidRDefault="00A75850">
      <w:pPr>
        <w:pStyle w:val="FootnoteText"/>
      </w:pPr>
      <w:r>
        <w:rPr>
          <w:rStyle w:val="FootnoteReference"/>
        </w:rPr>
        <w:footnoteRef/>
      </w:r>
      <w:r>
        <w:t xml:space="preserve"> Ibid</w:t>
      </w:r>
    </w:p>
  </w:footnote>
  <w:footnote w:id="31">
    <w:p w14:paraId="2BA963AE" w14:textId="77777777" w:rsidR="00C83C3E" w:rsidRPr="000939F6" w:rsidRDefault="00C83C3E" w:rsidP="00C83C3E">
      <w:pPr>
        <w:pStyle w:val="FootnoteText"/>
        <w:rPr>
          <w:lang w:val="en-US"/>
        </w:rPr>
      </w:pPr>
      <w:r>
        <w:rPr>
          <w:rStyle w:val="FootnoteReference"/>
        </w:rPr>
        <w:footnoteRef/>
      </w:r>
      <w:r>
        <w:t xml:space="preserve"> </w:t>
      </w:r>
      <w:r w:rsidRPr="000939F6">
        <w:t xml:space="preserve">Fisher, K &amp; Purcel, C (2017) Policies to change attitudes to people with disabilities, Scandinavian Journal of Disability Research, 19(2)  </w:t>
      </w:r>
    </w:p>
  </w:footnote>
  <w:footnote w:id="32">
    <w:p w14:paraId="56F42E45" w14:textId="14C78E0C" w:rsidR="00FA4BD7" w:rsidRDefault="00FA4BD7" w:rsidP="00FA4BD7">
      <w:pPr>
        <w:pStyle w:val="FootnoteText"/>
      </w:pPr>
      <w:r>
        <w:rPr>
          <w:rStyle w:val="FootnoteReference"/>
        </w:rPr>
        <w:footnoteRef/>
      </w:r>
      <w:r>
        <w:t xml:space="preserve"> </w:t>
      </w:r>
      <w:r w:rsidRPr="006B480C">
        <w:rPr>
          <w:i/>
          <w:iCs/>
        </w:rPr>
        <w:t>Convention on the Rights of Persons with Disabilities</w:t>
      </w:r>
      <w:r w:rsidRPr="006B480C">
        <w:t>, Article 12(1)</w:t>
      </w:r>
      <w:r w:rsidR="00D77BDA">
        <w:t>-</w:t>
      </w:r>
      <w:r w:rsidRPr="006B480C">
        <w:t>(</w:t>
      </w:r>
      <w:r w:rsidR="00D77BDA">
        <w:t>3</w:t>
      </w:r>
      <w:r w:rsidRPr="006B480C">
        <w:t>).</w:t>
      </w:r>
    </w:p>
  </w:footnote>
  <w:footnote w:id="33">
    <w:p w14:paraId="7D217E97" w14:textId="20E4CAD8" w:rsidR="00F32187" w:rsidRPr="00F32187" w:rsidRDefault="00F32187">
      <w:pPr>
        <w:pStyle w:val="FootnoteText"/>
        <w:rPr>
          <w:lang w:val="en-US"/>
        </w:rPr>
      </w:pPr>
      <w:r>
        <w:rPr>
          <w:rStyle w:val="FootnoteReference"/>
        </w:rPr>
        <w:footnoteRef/>
      </w:r>
      <w:r>
        <w:t xml:space="preserve"> </w:t>
      </w:r>
      <w:r>
        <w:rPr>
          <w:lang w:val="en-US"/>
        </w:rPr>
        <w:t xml:space="preserve">See QAI’s submission to the DRC on guardianship; </w:t>
      </w:r>
      <w:r w:rsidR="00F05921" w:rsidRPr="00F05921">
        <w:rPr>
          <w:lang w:val="en-US"/>
        </w:rPr>
        <w:t>https://qai.org.au/2022/08/24/guardianship-substituted-and-supported-decision-making/</w:t>
      </w:r>
    </w:p>
  </w:footnote>
  <w:footnote w:id="34">
    <w:p w14:paraId="465331F5" w14:textId="5395B991" w:rsidR="007D3C64" w:rsidRDefault="007D3C64">
      <w:pPr>
        <w:pStyle w:val="FootnoteText"/>
      </w:pPr>
      <w:r>
        <w:rPr>
          <w:rStyle w:val="FootnoteReference"/>
        </w:rPr>
        <w:footnoteRef/>
      </w:r>
      <w:r>
        <w:t xml:space="preserve"> Equality, Capacity and Disability in Commonwealth Laws (ALRC Report 124) </w:t>
      </w:r>
      <w:r w:rsidR="00C56906">
        <w:t>2014</w:t>
      </w:r>
    </w:p>
  </w:footnote>
  <w:footnote w:id="35">
    <w:p w14:paraId="7CEA1B7A" w14:textId="77777777" w:rsidR="00A03835" w:rsidRDefault="00A03835" w:rsidP="00A03835">
      <w:pPr>
        <w:pStyle w:val="FootnoteText"/>
      </w:pPr>
      <w:r>
        <w:rPr>
          <w:rStyle w:val="FootnoteReference"/>
        </w:rPr>
        <w:footnoteRef/>
      </w:r>
      <w:r>
        <w:t xml:space="preserve"> </w:t>
      </w:r>
      <w:r w:rsidRPr="00547056">
        <w:rPr>
          <w:i/>
          <w:iCs/>
        </w:rPr>
        <w:t>Convention on the Rights of Persons with Disabilities</w:t>
      </w:r>
      <w:r w:rsidRPr="00547056">
        <w:t>; Article 33, Article 4</w:t>
      </w:r>
    </w:p>
  </w:footnote>
  <w:footnote w:id="36">
    <w:p w14:paraId="6955F3FB" w14:textId="3D4AE091" w:rsidR="00220C36" w:rsidRPr="00220C36" w:rsidRDefault="00220C36">
      <w:pPr>
        <w:pStyle w:val="FootnoteText"/>
        <w:rPr>
          <w:lang w:val="en-US"/>
        </w:rPr>
      </w:pPr>
      <w:r>
        <w:rPr>
          <w:rStyle w:val="FootnoteReference"/>
        </w:rPr>
        <w:footnoteRef/>
      </w:r>
      <w:r>
        <w:t xml:space="preserve"> </w:t>
      </w:r>
      <w:r>
        <w:rPr>
          <w:lang w:val="en-US"/>
        </w:rPr>
        <w:t xml:space="preserve">See QAI’s submission to the DRC on </w:t>
      </w:r>
      <w:r w:rsidR="000871B4">
        <w:rPr>
          <w:lang w:val="en-US"/>
        </w:rPr>
        <w:t xml:space="preserve">Emergency planning and response; </w:t>
      </w:r>
      <w:r w:rsidR="000871B4" w:rsidRPr="000871B4">
        <w:rPr>
          <w:lang w:val="en-US"/>
        </w:rPr>
        <w:t>https://qai.org.au/2020/06/07/emergency-planning-and-response/</w:t>
      </w:r>
    </w:p>
  </w:footnote>
  <w:footnote w:id="37">
    <w:p w14:paraId="1E499A51" w14:textId="5A1CC542" w:rsidR="000A35C9" w:rsidRDefault="000A35C9">
      <w:pPr>
        <w:pStyle w:val="FootnoteText"/>
      </w:pPr>
      <w:r>
        <w:rPr>
          <w:rStyle w:val="FootnoteReference"/>
        </w:rPr>
        <w:footnoteRef/>
      </w:r>
      <w:r>
        <w:t xml:space="preserve"> </w:t>
      </w:r>
      <w:r w:rsidRPr="000A35C9">
        <w:t>Promoting inclusive environments for the full implementation of the Convention on the Rights of Persons with Disabilities – Note by the Secretariat, United Nations (2020); CRPD/CSP/2020/4 - E - (undocs.org)</w:t>
      </w:r>
    </w:p>
  </w:footnote>
  <w:footnote w:id="38">
    <w:p w14:paraId="404E2D62" w14:textId="1A9A5FDB" w:rsidR="0064283A" w:rsidRPr="0064283A" w:rsidRDefault="0064283A">
      <w:pPr>
        <w:pStyle w:val="FootnoteText"/>
        <w:rPr>
          <w:lang w:val="en-US"/>
        </w:rPr>
      </w:pPr>
      <w:r>
        <w:rPr>
          <w:rStyle w:val="FootnoteReference"/>
        </w:rPr>
        <w:footnoteRef/>
      </w:r>
      <w:r>
        <w:t xml:space="preserve"> </w:t>
      </w:r>
      <w:r>
        <w:rPr>
          <w:lang w:val="en-US"/>
        </w:rPr>
        <w:t xml:space="preserve">Shut Out: The Experience of People with Disabilities and their Families in Australia (2009) </w:t>
      </w:r>
      <w:r w:rsidRPr="003C4734">
        <w:rPr>
          <w:lang w:val="en-US"/>
        </w:rPr>
        <w:t>https://www.dss.gov.au/sites/default/files/documents/05_2012/nds_report.pdf</w:t>
      </w:r>
      <w:r>
        <w:rPr>
          <w:lang w:val="en-US"/>
        </w:rPr>
        <w:t xml:space="preserve"> p9</w:t>
      </w:r>
    </w:p>
  </w:footnote>
  <w:footnote w:id="39">
    <w:p w14:paraId="7CE39292" w14:textId="403B7A2E" w:rsidR="00337FC6" w:rsidRPr="00337FC6" w:rsidRDefault="00337FC6">
      <w:pPr>
        <w:pStyle w:val="FootnoteText"/>
        <w:rPr>
          <w:lang w:val="en-US"/>
        </w:rPr>
      </w:pPr>
      <w:r>
        <w:rPr>
          <w:rStyle w:val="FootnoteReference"/>
        </w:rPr>
        <w:footnoteRef/>
      </w:r>
      <w:r>
        <w:t xml:space="preserve"> </w:t>
      </w:r>
      <w:r w:rsidRPr="00337FC6">
        <w:t>Promoting inclusive environments for the full implementation of the Convention on the Rights of Persons with Disabilities – Note by the Secretariat, United Nations (2020); CRPD/CSP/2020/4 - E - CRPD/CSP/2020/4 -Desktop (undocs.org) p2</w:t>
      </w:r>
    </w:p>
  </w:footnote>
  <w:footnote w:id="40">
    <w:p w14:paraId="16E172E1" w14:textId="54110A20" w:rsidR="00E830A9" w:rsidRDefault="00E830A9">
      <w:pPr>
        <w:pStyle w:val="FootnoteText"/>
      </w:pPr>
      <w:r>
        <w:rPr>
          <w:rStyle w:val="FootnoteReference"/>
        </w:rPr>
        <w:footnoteRef/>
      </w:r>
      <w:r>
        <w:t xml:space="preserve"> </w:t>
      </w:r>
      <w:r w:rsidRPr="00E830A9">
        <w:t>Dalton, T. et al (1996) Making social policy in Australia: an introduction, St Leonard’s, NSW Allen &amp; Unwin</w:t>
      </w:r>
    </w:p>
  </w:footnote>
  <w:footnote w:id="41">
    <w:p w14:paraId="2CB8DA78" w14:textId="2752A635" w:rsidR="00343A7F" w:rsidRDefault="00343A7F">
      <w:pPr>
        <w:pStyle w:val="FootnoteText"/>
      </w:pPr>
      <w:r>
        <w:rPr>
          <w:rStyle w:val="FootnoteReference"/>
        </w:rPr>
        <w:footnoteRef/>
      </w:r>
      <w:r>
        <w:t xml:space="preserve"> </w:t>
      </w:r>
      <w:r w:rsidRPr="00343A7F">
        <w:t>Li, J. et al. (2019) Inequalities in Standards of Living: Evidence for Improved Income Support for People with Disability. NATSEM, Institute for Governance and Policy Analysis, University of Canberra.</w:t>
      </w:r>
    </w:p>
  </w:footnote>
  <w:footnote w:id="42">
    <w:p w14:paraId="60AC4FA5" w14:textId="1194DDD9" w:rsidR="00743B45" w:rsidRDefault="00743B45">
      <w:pPr>
        <w:pStyle w:val="FootnoteText"/>
      </w:pPr>
      <w:r>
        <w:rPr>
          <w:rStyle w:val="FootnoteReference"/>
        </w:rPr>
        <w:footnoteRef/>
      </w:r>
      <w:r>
        <w:t xml:space="preserve"> </w:t>
      </w:r>
      <w:r w:rsidRPr="00743B45">
        <w:t>https://www.servicesaustralia.gov.au/individuals/services/centrelink/disability-support-pension/how-much-you-can-get/payment-rates.</w:t>
      </w:r>
    </w:p>
  </w:footnote>
  <w:footnote w:id="43">
    <w:p w14:paraId="7D4ACE22" w14:textId="41C2C8EA" w:rsidR="00EB4989" w:rsidRPr="00827653" w:rsidRDefault="00EB4989">
      <w:pPr>
        <w:pStyle w:val="FootnoteText"/>
        <w:rPr>
          <w:i/>
          <w:iCs/>
          <w:lang w:val="en-US"/>
        </w:rPr>
      </w:pPr>
      <w:r>
        <w:rPr>
          <w:rStyle w:val="FootnoteReference"/>
        </w:rPr>
        <w:footnoteRef/>
      </w:r>
      <w:r>
        <w:t xml:space="preserve"> </w:t>
      </w:r>
      <w:r>
        <w:rPr>
          <w:lang w:val="en-US"/>
        </w:rPr>
        <w:t xml:space="preserve">Australian Council of Social Services and University of New South Wales, </w:t>
      </w:r>
      <w:r>
        <w:rPr>
          <w:i/>
          <w:iCs/>
          <w:lang w:val="en-US"/>
        </w:rPr>
        <w:t xml:space="preserve">Poverty in Australia 2022: A snapshot, </w:t>
      </w:r>
      <w:r>
        <w:rPr>
          <w:lang w:val="en-US"/>
        </w:rPr>
        <w:t xml:space="preserve">October 2022, p. 9.  </w:t>
      </w:r>
      <w:r>
        <w:rPr>
          <w:i/>
          <w:iCs/>
          <w:lang w:val="en-US"/>
        </w:rPr>
        <w:t xml:space="preserve"> </w:t>
      </w:r>
    </w:p>
  </w:footnote>
  <w:footnote w:id="44">
    <w:p w14:paraId="7CFE79AB" w14:textId="74E6EBB7" w:rsidR="009976D6" w:rsidRDefault="009976D6">
      <w:pPr>
        <w:pStyle w:val="FootnoteText"/>
      </w:pPr>
      <w:r>
        <w:rPr>
          <w:rStyle w:val="FootnoteReference"/>
        </w:rPr>
        <w:footnoteRef/>
      </w:r>
      <w:r>
        <w:t xml:space="preserve"> </w:t>
      </w:r>
      <w:r w:rsidRPr="009976D6">
        <w:t>Li, J. et al. (2019) Inequalities in Standards of Living: Evidence for Improved Income Support for People with Disability. NATSEM, Institute for Governance and Policy Analysis, University of Canberra.</w:t>
      </w:r>
    </w:p>
  </w:footnote>
  <w:footnote w:id="45">
    <w:p w14:paraId="3549C407" w14:textId="246E0D93" w:rsidR="007941BE" w:rsidRDefault="007941BE">
      <w:pPr>
        <w:pStyle w:val="FootnoteText"/>
      </w:pPr>
      <w:r>
        <w:rPr>
          <w:rStyle w:val="FootnoteReference"/>
        </w:rPr>
        <w:footnoteRef/>
      </w:r>
      <w:r>
        <w:t xml:space="preserve"> </w:t>
      </w:r>
      <w:r w:rsidRPr="007941BE">
        <w:t>Collie, A. et al (2019) The Health of Disability Support Pension and Newstart Allowance Recipients, Monash University</w:t>
      </w:r>
      <w:r w:rsidR="00F44B23">
        <w:t>.</w:t>
      </w:r>
    </w:p>
  </w:footnote>
  <w:footnote w:id="46">
    <w:p w14:paraId="772CDDD1" w14:textId="0FFFA3D6" w:rsidR="00030271" w:rsidRPr="00030271" w:rsidRDefault="00030271">
      <w:pPr>
        <w:pStyle w:val="FootnoteText"/>
        <w:rPr>
          <w:lang w:val="en-US"/>
        </w:rPr>
      </w:pPr>
      <w:r>
        <w:rPr>
          <w:rStyle w:val="FootnoteReference"/>
        </w:rPr>
        <w:footnoteRef/>
      </w:r>
      <w:r>
        <w:t xml:space="preserve"> </w:t>
      </w:r>
      <w:r>
        <w:rPr>
          <w:lang w:val="en-US"/>
        </w:rPr>
        <w:t xml:space="preserve">See QAI’s submission to the DRC on Institutional Economic Neglect; </w:t>
      </w:r>
      <w:r w:rsidR="00AF2611" w:rsidRPr="00AF2611">
        <w:rPr>
          <w:lang w:val="en-US"/>
        </w:rPr>
        <w:t>https://qai.org.au/2021/12/20/institutional-economic-neglect/</w:t>
      </w:r>
    </w:p>
  </w:footnote>
  <w:footnote w:id="47">
    <w:p w14:paraId="1F71AB38" w14:textId="77777777" w:rsidR="00096031" w:rsidRDefault="00096031" w:rsidP="00096031">
      <w:pPr>
        <w:pStyle w:val="FootnoteText"/>
      </w:pPr>
      <w:r>
        <w:rPr>
          <w:rStyle w:val="FootnoteReference"/>
        </w:rPr>
        <w:footnoteRef/>
      </w:r>
      <w:r>
        <w:t xml:space="preserve"> </w:t>
      </w:r>
      <w:r w:rsidRPr="00C41D22">
        <w:t>Dalton, T. et al (1996) Making social policy in Australia: an introduction, St Leonard’s, NSW Allen &amp; Unwin</w:t>
      </w:r>
    </w:p>
  </w:footnote>
  <w:footnote w:id="48">
    <w:p w14:paraId="5EA02232" w14:textId="61C08676" w:rsidR="00572EB3" w:rsidRDefault="00572EB3">
      <w:pPr>
        <w:pStyle w:val="FootnoteText"/>
      </w:pPr>
      <w:r>
        <w:rPr>
          <w:rStyle w:val="FootnoteReference"/>
        </w:rPr>
        <w:footnoteRef/>
      </w:r>
      <w:r>
        <w:t xml:space="preserve"> As per statistics provided by the National Disability Insurance Agency</w:t>
      </w:r>
      <w:r w:rsidR="00A153D5">
        <w:t xml:space="preserve">; </w:t>
      </w:r>
      <w:r w:rsidR="00A153D5" w:rsidRPr="00A153D5">
        <w:t>https://www.ndis.gov.au/understanding/how-ndis-works/who-ndis-supports</w:t>
      </w:r>
    </w:p>
  </w:footnote>
  <w:footnote w:id="49">
    <w:p w14:paraId="0F5D7B41" w14:textId="03C6B1DF" w:rsidR="00A87B63" w:rsidRDefault="00A87B63">
      <w:pPr>
        <w:pStyle w:val="FootnoteText"/>
      </w:pPr>
      <w:r>
        <w:rPr>
          <w:rStyle w:val="FootnoteReference"/>
        </w:rPr>
        <w:footnoteRef/>
      </w:r>
      <w:r>
        <w:t xml:space="preserve"> </w:t>
      </w:r>
      <w:r w:rsidRPr="00A87B63">
        <w:t>For example, see ‘Fair supports for your disability needs</w:t>
      </w:r>
      <w:r>
        <w:t xml:space="preserve">’; </w:t>
      </w:r>
      <w:r w:rsidRPr="00AD1BDF">
        <w:t>https://ourguidelines.ndis.gov.au/how-ndis-supports-work-menu/what-principles-do-we-follow-create-your-plan/what-principles-do-we-use-create-your-plan/fair-supports-your-disability-needs</w:t>
      </w:r>
    </w:p>
  </w:footnote>
  <w:footnote w:id="50">
    <w:p w14:paraId="65E7591F" w14:textId="0EB6070D" w:rsidR="0038030C" w:rsidRDefault="0038030C">
      <w:pPr>
        <w:pStyle w:val="FootnoteText"/>
      </w:pPr>
      <w:r>
        <w:rPr>
          <w:rStyle w:val="FootnoteReference"/>
        </w:rPr>
        <w:footnoteRef/>
      </w:r>
      <w:r>
        <w:t xml:space="preserve"> </w:t>
      </w:r>
      <w:r w:rsidRPr="0038030C">
        <w:t>McLaughlin and National Disability Insurance Agency [2021] AATA 496, see 57, 59 and 661</w:t>
      </w:r>
    </w:p>
  </w:footnote>
  <w:footnote w:id="51">
    <w:p w14:paraId="15FEF77A" w14:textId="241FF5AE" w:rsidR="006F2E20" w:rsidRDefault="006F2E20">
      <w:pPr>
        <w:pStyle w:val="FootnoteText"/>
      </w:pPr>
      <w:r>
        <w:rPr>
          <w:rStyle w:val="FootnoteReference"/>
        </w:rPr>
        <w:footnoteRef/>
      </w:r>
      <w:r>
        <w:t xml:space="preserve"> </w:t>
      </w:r>
      <w:r w:rsidR="00F01640">
        <w:t>Rule 5.1</w:t>
      </w:r>
      <w:r w:rsidR="00825847">
        <w:t xml:space="preserve">(b) states that “A support will not be provided for funded under the NDIS if…it is not related to the participant’s disability; </w:t>
      </w:r>
      <w:r w:rsidR="005C1676" w:rsidRPr="005C1676">
        <w:t>https://www.legislation.gov.au/Details/F2013L01063</w:t>
      </w:r>
    </w:p>
  </w:footnote>
  <w:footnote w:id="52">
    <w:p w14:paraId="10E2B9A2" w14:textId="72706F71" w:rsidR="00925D71" w:rsidRDefault="00925D71">
      <w:pPr>
        <w:pStyle w:val="FootnoteText"/>
      </w:pPr>
      <w:r>
        <w:rPr>
          <w:rStyle w:val="FootnoteReference"/>
        </w:rPr>
        <w:footnoteRef/>
      </w:r>
      <w:r>
        <w:t xml:space="preserve"> </w:t>
      </w:r>
      <w:r w:rsidR="00065CD2">
        <w:t>See the Rober</w:t>
      </w:r>
      <w:r w:rsidR="0037691B">
        <w:t>tson Review</w:t>
      </w:r>
      <w:r w:rsidR="00C148E6">
        <w:t xml:space="preserve">; </w:t>
      </w:r>
      <w:r w:rsidR="00C148E6" w:rsidRPr="00C148E6">
        <w:t>https://www.ndiscommission.gov.au/media-centre/former-federal-court-judge-head-independent-review-circumstances-relating-death-ann</w:t>
      </w:r>
    </w:p>
  </w:footnote>
  <w:footnote w:id="53">
    <w:p w14:paraId="28A4558B" w14:textId="1666EB8B" w:rsidR="00C66D1B" w:rsidRPr="0074607D" w:rsidRDefault="00C66D1B" w:rsidP="00C66D1B">
      <w:pPr>
        <w:pStyle w:val="FootnoteText"/>
        <w:rPr>
          <w:lang w:val="en-US"/>
        </w:rPr>
      </w:pPr>
      <w:r>
        <w:rPr>
          <w:rStyle w:val="FootnoteReference"/>
        </w:rPr>
        <w:footnoteRef/>
      </w:r>
      <w:r>
        <w:t xml:space="preserve"> </w:t>
      </w:r>
      <w:r w:rsidR="00AD2E82">
        <w:t xml:space="preserve">See QAI’s submission </w:t>
      </w:r>
      <w:r w:rsidR="00FE40E5">
        <w:t>to the DRC on</w:t>
      </w:r>
      <w:r>
        <w:rPr>
          <w:lang w:val="en-US"/>
        </w:rPr>
        <w:t xml:space="preserve"> </w:t>
      </w:r>
      <w:r w:rsidRPr="00FE40E5">
        <w:rPr>
          <w:lang w:val="en-US"/>
        </w:rPr>
        <w:t>Increasing Guardianship Applications in the NDIS</w:t>
      </w:r>
      <w:r>
        <w:rPr>
          <w:i/>
          <w:iCs/>
          <w:lang w:val="en-US"/>
        </w:rPr>
        <w:t xml:space="preserve">; </w:t>
      </w:r>
      <w:r w:rsidRPr="0074607D">
        <w:rPr>
          <w:i/>
          <w:iCs/>
          <w:lang w:val="en-US"/>
        </w:rPr>
        <w:t>https://qai.org.au/2021/03/26/increasing-guardianship-applications-in-the-ndis/</w:t>
      </w:r>
    </w:p>
  </w:footnote>
  <w:footnote w:id="54">
    <w:p w14:paraId="2E422543" w14:textId="4F15668E" w:rsidR="002E4442" w:rsidRDefault="002E4442">
      <w:pPr>
        <w:pStyle w:val="FootnoteText"/>
      </w:pPr>
      <w:r>
        <w:rPr>
          <w:rStyle w:val="FootnoteReference"/>
        </w:rPr>
        <w:footnoteRef/>
      </w:r>
      <w:r>
        <w:t xml:space="preserve"> </w:t>
      </w:r>
      <w:r w:rsidR="003A71A2">
        <w:t>Queensland Government submission to the Queensland Productivity Commission Inquiry</w:t>
      </w:r>
      <w:r w:rsidR="0064585B">
        <w:t xml:space="preserve"> into the National Disability Insurance Scheme market in Queensland, p44</w:t>
      </w:r>
    </w:p>
  </w:footnote>
  <w:footnote w:id="55">
    <w:p w14:paraId="295FD241" w14:textId="3BA1BEB7" w:rsidR="00D94E92" w:rsidRPr="00D94E92" w:rsidRDefault="00D94E92">
      <w:pPr>
        <w:pStyle w:val="FootnoteText"/>
        <w:rPr>
          <w:lang w:val="en-US"/>
        </w:rPr>
      </w:pPr>
      <w:r>
        <w:rPr>
          <w:rStyle w:val="FootnoteReference"/>
        </w:rPr>
        <w:footnoteRef/>
      </w:r>
      <w:r>
        <w:t xml:space="preserve"> </w:t>
      </w:r>
      <w:r w:rsidR="00094FAC" w:rsidRPr="00094FAC">
        <w:t>https://www.dsdsatsip.qld.gov.au/resources/dsdsatsip/disability/service-providers/centre-excellence/containment-and-seclusion.pdf</w:t>
      </w:r>
    </w:p>
  </w:footnote>
  <w:footnote w:id="56">
    <w:p w14:paraId="08C64658" w14:textId="56EE38B6" w:rsidR="000C3E6B" w:rsidRDefault="000C3E6B">
      <w:pPr>
        <w:pStyle w:val="FootnoteText"/>
      </w:pPr>
      <w:r>
        <w:rPr>
          <w:rStyle w:val="FootnoteReference"/>
        </w:rPr>
        <w:footnoteRef/>
      </w:r>
      <w:r>
        <w:t xml:space="preserve"> </w:t>
      </w:r>
      <w:r w:rsidR="00A13EED">
        <w:t>QPC Final Report – The NDIS market in Queensland, April 2021</w:t>
      </w:r>
      <w:r w:rsidR="009843F9">
        <w:t xml:space="preserve">; </w:t>
      </w:r>
      <w:r w:rsidR="009843F9" w:rsidRPr="009843F9">
        <w:t>https://s3.treasury.qld.gov.au/files/NDIS-final-report-volume-1.pdf</w:t>
      </w:r>
    </w:p>
  </w:footnote>
  <w:footnote w:id="57">
    <w:p w14:paraId="37C5C552" w14:textId="4F711C1F" w:rsidR="00003611" w:rsidRPr="00003611" w:rsidRDefault="00003611">
      <w:pPr>
        <w:pStyle w:val="FootnoteText"/>
        <w:rPr>
          <w:lang w:val="en-US"/>
        </w:rPr>
      </w:pPr>
      <w:r>
        <w:rPr>
          <w:rStyle w:val="FootnoteReference"/>
        </w:rPr>
        <w:footnoteRef/>
      </w:r>
      <w:r>
        <w:t xml:space="preserve"> </w:t>
      </w:r>
      <w:r>
        <w:rPr>
          <w:lang w:val="en-US"/>
        </w:rPr>
        <w:t>Link to our submission to QPC inquiry</w:t>
      </w:r>
    </w:p>
  </w:footnote>
  <w:footnote w:id="58">
    <w:p w14:paraId="3E0ACD72" w14:textId="1910ED4B" w:rsidR="000A6DB7" w:rsidRDefault="000A6DB7" w:rsidP="003B5838">
      <w:pPr>
        <w:pStyle w:val="FootnoteText"/>
      </w:pPr>
      <w:r>
        <w:rPr>
          <w:rStyle w:val="FootnoteReference"/>
        </w:rPr>
        <w:footnoteRef/>
      </w:r>
      <w:r>
        <w:t xml:space="preserve"> </w:t>
      </w:r>
      <w:r w:rsidR="00FE17FF">
        <w:t>Lea et al.</w:t>
      </w:r>
      <w:r w:rsidR="003B5838">
        <w:t xml:space="preserve"> (2018): A disability aware approach to torture prevention?</w:t>
      </w:r>
      <w:r w:rsidR="00FE17FF">
        <w:t xml:space="preserve"> </w:t>
      </w:r>
      <w:r w:rsidR="003B5838">
        <w:t xml:space="preserve">Australian OPCAT ratification and improved </w:t>
      </w:r>
      <w:r w:rsidR="00A915B3">
        <w:t>protections</w:t>
      </w:r>
      <w:r w:rsidR="003B5838">
        <w:t xml:space="preserve"> for people with disability, Australian Journal</w:t>
      </w:r>
      <w:r w:rsidR="00FE17FF">
        <w:t xml:space="preserve"> </w:t>
      </w:r>
      <w:r w:rsidR="003B5838">
        <w:t>of Human Rights, DOI: 10.1080/1323238X.2018.1441611</w:t>
      </w:r>
    </w:p>
  </w:footnote>
  <w:footnote w:id="59">
    <w:p w14:paraId="49E74293" w14:textId="1BFA1B88" w:rsidR="005660BE" w:rsidRDefault="005660BE">
      <w:pPr>
        <w:pStyle w:val="FootnoteText"/>
      </w:pPr>
      <w:r>
        <w:rPr>
          <w:rStyle w:val="FootnoteReference"/>
        </w:rPr>
        <w:footnoteRef/>
      </w:r>
      <w:r>
        <w:t xml:space="preserve"> C</w:t>
      </w:r>
      <w:r w:rsidR="00F237C7">
        <w:t>ommittee Against Torture</w:t>
      </w:r>
      <w:r w:rsidR="00276824">
        <w:t xml:space="preserve">, Dec 2022, </w:t>
      </w:r>
      <w:r w:rsidR="00F237C7">
        <w:t>C</w:t>
      </w:r>
      <w:r>
        <w:t>oncluding observations on the sixth periodic report of Australia</w:t>
      </w:r>
      <w:r w:rsidR="00276824">
        <w:t xml:space="preserve"> (CAT/C/AUS/CO/6)</w:t>
      </w:r>
      <w:r w:rsidR="00685CB2">
        <w:t>, p13</w:t>
      </w:r>
    </w:p>
  </w:footnote>
  <w:footnote w:id="60">
    <w:p w14:paraId="14DEB83F" w14:textId="02249412" w:rsidR="006955C6" w:rsidRDefault="006955C6">
      <w:pPr>
        <w:pStyle w:val="FootnoteText"/>
      </w:pPr>
      <w:r>
        <w:rPr>
          <w:rStyle w:val="FootnoteReference"/>
        </w:rPr>
        <w:footnoteRef/>
      </w:r>
      <w:r>
        <w:t xml:space="preserve"> Ibid</w:t>
      </w:r>
    </w:p>
  </w:footnote>
  <w:footnote w:id="61">
    <w:p w14:paraId="251899A4" w14:textId="359E2061" w:rsidR="00DF5D86" w:rsidRDefault="00DF5D86">
      <w:pPr>
        <w:pStyle w:val="FootnoteText"/>
      </w:pPr>
      <w:r>
        <w:rPr>
          <w:rStyle w:val="FootnoteReference"/>
        </w:rPr>
        <w:footnoteRef/>
      </w:r>
      <w:r>
        <w:t xml:space="preserve"> O</w:t>
      </w:r>
      <w:r>
        <w:rPr>
          <w:sz w:val="18"/>
          <w:szCs w:val="18"/>
        </w:rPr>
        <w:t xml:space="preserve">ffice of the United Nations High Commissioner for Human Rights, “UN torture prevention body suspends visit to Australia citing lack of co-operation”, 23 October 2022. </w:t>
      </w:r>
      <w:r>
        <w:t xml:space="preserve"> </w:t>
      </w:r>
    </w:p>
  </w:footnote>
  <w:footnote w:id="62">
    <w:p w14:paraId="38E03308" w14:textId="1DA8096F" w:rsidR="00287660" w:rsidRDefault="00287660">
      <w:pPr>
        <w:pStyle w:val="FootnoteText"/>
      </w:pPr>
      <w:r>
        <w:rPr>
          <w:rStyle w:val="FootnoteReference"/>
        </w:rPr>
        <w:footnoteRef/>
      </w:r>
      <w:r>
        <w:t xml:space="preserve"> </w:t>
      </w:r>
      <w:r w:rsidR="008F0CBA">
        <w:t xml:space="preserve">QAI (2022) </w:t>
      </w:r>
      <w:r w:rsidR="00101CAD">
        <w:t>The Case for a National Preventive Mechanism</w:t>
      </w:r>
      <w:r w:rsidR="006F7AC9">
        <w:t xml:space="preserve"> to implement the Optional Protocol to the Convention Against Torture; </w:t>
      </w:r>
      <w:r w:rsidR="006F7AC9" w:rsidRPr="006F7AC9">
        <w:t>https://qai.org.au/wp-content/uploads/2022/12/QAI-position-statement-on-OPCAT-requirements.pdf</w:t>
      </w:r>
      <w:r w:rsidR="006F7AC9">
        <w:t xml:space="preserve"> </w:t>
      </w:r>
    </w:p>
  </w:footnote>
  <w:footnote w:id="63">
    <w:p w14:paraId="10DDF238" w14:textId="5AD6B519" w:rsidR="003B4F6A" w:rsidRPr="003B4F6A" w:rsidRDefault="003B4F6A">
      <w:pPr>
        <w:pStyle w:val="FootnoteText"/>
        <w:rPr>
          <w:lang w:val="en-US"/>
        </w:rPr>
      </w:pPr>
      <w:r>
        <w:rPr>
          <w:rStyle w:val="FootnoteReference"/>
        </w:rPr>
        <w:footnoteRef/>
      </w:r>
      <w:r>
        <w:t xml:space="preserve"> Office of the Public Advocate (2022) </w:t>
      </w:r>
      <w:r w:rsidRPr="003B4F6A">
        <w:rPr>
          <w:i/>
          <w:iCs/>
        </w:rPr>
        <w:t xml:space="preserve">Adult Safeguarding in Queensland, Volume Two: Reform </w:t>
      </w:r>
      <w:proofErr w:type="spellStart"/>
      <w:r w:rsidRPr="003B4F6A">
        <w:rPr>
          <w:i/>
          <w:iCs/>
        </w:rPr>
        <w:t>Reommendations</w:t>
      </w:r>
      <w:proofErr w:type="spellEnd"/>
      <w:r>
        <w:t>, p53</w:t>
      </w:r>
    </w:p>
  </w:footnote>
  <w:footnote w:id="64">
    <w:p w14:paraId="6AB77398" w14:textId="7F2E2DDE" w:rsidR="00D45681" w:rsidRDefault="00D45681">
      <w:pPr>
        <w:pStyle w:val="FootnoteText"/>
      </w:pPr>
      <w:r>
        <w:rPr>
          <w:rStyle w:val="FootnoteReference"/>
        </w:rPr>
        <w:footnoteRef/>
      </w:r>
      <w:r>
        <w:t xml:space="preserve"> Data obtained from QAI</w:t>
      </w:r>
      <w:r w:rsidR="00494896">
        <w:t xml:space="preserve"> who facilitate the QIDAN network.</w:t>
      </w:r>
    </w:p>
  </w:footnote>
  <w:footnote w:id="65">
    <w:p w14:paraId="363D22FE" w14:textId="482F80FB" w:rsidR="00F40C91" w:rsidRPr="00F40C91" w:rsidRDefault="00F40C91">
      <w:pPr>
        <w:pStyle w:val="FootnoteText"/>
        <w:rPr>
          <w:lang w:val="en-US"/>
        </w:rPr>
      </w:pPr>
      <w:r>
        <w:rPr>
          <w:rStyle w:val="FootnoteReference"/>
        </w:rPr>
        <w:footnoteRef/>
      </w:r>
      <w:r>
        <w:t xml:space="preserve"> </w:t>
      </w:r>
      <w:r>
        <w:rPr>
          <w:lang w:val="en-US"/>
        </w:rPr>
        <w:t xml:space="preserve">QIDAN (2022) </w:t>
      </w:r>
      <w:r w:rsidRPr="00CC06FD">
        <w:rPr>
          <w:i/>
          <w:iCs/>
          <w:lang w:val="en-US"/>
        </w:rPr>
        <w:t>Review of the National Disability Advocacy Framework 2022-2025</w:t>
      </w:r>
      <w:r>
        <w:rPr>
          <w:lang w:val="en-US"/>
        </w:rPr>
        <w:t>, p</w:t>
      </w:r>
      <w:r w:rsidR="00B4239C">
        <w:rPr>
          <w:lang w:val="en-US"/>
        </w:rPr>
        <w:t>6</w:t>
      </w:r>
    </w:p>
  </w:footnote>
  <w:footnote w:id="66">
    <w:p w14:paraId="656C25BB" w14:textId="78CC5AB2" w:rsidR="005D2969" w:rsidRPr="005D2969" w:rsidRDefault="005D2969">
      <w:pPr>
        <w:pStyle w:val="FootnoteText"/>
        <w:rPr>
          <w:lang w:val="en-US"/>
        </w:rPr>
      </w:pPr>
      <w:r>
        <w:rPr>
          <w:rStyle w:val="FootnoteReference"/>
        </w:rPr>
        <w:footnoteRef/>
      </w:r>
      <w:r>
        <w:t xml:space="preserve"> </w:t>
      </w:r>
      <w:r w:rsidR="00601C16">
        <w:t>For example,</w:t>
      </w:r>
      <w:r w:rsidR="00FC2AA5">
        <w:t xml:space="preserve"> increased funding for independent advocacy was a recommendation of the Royal Commission </w:t>
      </w:r>
      <w:r w:rsidR="009B5D27">
        <w:t>into Aged Care Quality and Safety</w:t>
      </w:r>
      <w:r w:rsidR="008F3B14">
        <w:t xml:space="preserve"> – recommendation 106 of the Final Report</w:t>
      </w:r>
    </w:p>
  </w:footnote>
  <w:footnote w:id="67">
    <w:p w14:paraId="1658B802" w14:textId="79AAD2E6" w:rsidR="00D07513" w:rsidRDefault="00D07513">
      <w:pPr>
        <w:pStyle w:val="FootnoteText"/>
      </w:pPr>
      <w:r>
        <w:rPr>
          <w:rStyle w:val="FootnoteReference"/>
        </w:rPr>
        <w:footnoteRef/>
      </w:r>
      <w:r>
        <w:t xml:space="preserve"> See comments from ADA </w:t>
      </w:r>
      <w:r w:rsidR="002209A6">
        <w:t xml:space="preserve">Australia </w:t>
      </w:r>
      <w:r>
        <w:t xml:space="preserve">Chief Executive Officer </w:t>
      </w:r>
      <w:r w:rsidR="002209A6">
        <w:t xml:space="preserve">in </w:t>
      </w:r>
      <w:r w:rsidR="002209A6" w:rsidRPr="002209A6">
        <w:t>https://probonoaustralia.com.au/news/2021/03/disability-groups-fight-for-qld-advocacy-funding/</w:t>
      </w:r>
    </w:p>
  </w:footnote>
  <w:footnote w:id="68">
    <w:p w14:paraId="4CC027FD" w14:textId="7682CB7D" w:rsidR="00B80605" w:rsidRPr="00B80605" w:rsidRDefault="00B80605">
      <w:pPr>
        <w:pStyle w:val="FootnoteText"/>
        <w:rPr>
          <w:lang w:val="en-US"/>
        </w:rPr>
      </w:pPr>
      <w:r>
        <w:rPr>
          <w:rStyle w:val="FootnoteReference"/>
        </w:rPr>
        <w:footnoteRef/>
      </w:r>
      <w:r>
        <w:t xml:space="preserve"> Office of the Public Advocate (2022) </w:t>
      </w:r>
      <w:r w:rsidRPr="003B4F6A">
        <w:rPr>
          <w:i/>
          <w:iCs/>
        </w:rPr>
        <w:t>Adult Safeguarding in Queensland, Volume Two: Reform Recommendations</w:t>
      </w:r>
      <w:r>
        <w:t>, p5</w:t>
      </w:r>
      <w:r w:rsidR="004D689F">
        <w:t>4</w:t>
      </w:r>
    </w:p>
  </w:footnote>
  <w:footnote w:id="69">
    <w:p w14:paraId="02B9BA33" w14:textId="1A6EB84F" w:rsidR="009D4F6B" w:rsidRPr="009D4F6B" w:rsidRDefault="009D4F6B">
      <w:pPr>
        <w:pStyle w:val="FootnoteText"/>
        <w:rPr>
          <w:lang w:val="en-US"/>
        </w:rPr>
      </w:pPr>
      <w:r>
        <w:rPr>
          <w:rStyle w:val="FootnoteReference"/>
        </w:rPr>
        <w:footnoteRef/>
      </w:r>
      <w:r>
        <w:t xml:space="preserve"> </w:t>
      </w:r>
      <w:r w:rsidR="00355961">
        <w:rPr>
          <w:lang w:val="en-US"/>
        </w:rPr>
        <w:t xml:space="preserve">QIDAN (2022) </w:t>
      </w:r>
      <w:r w:rsidR="00355961" w:rsidRPr="00CC06FD">
        <w:rPr>
          <w:i/>
          <w:iCs/>
          <w:lang w:val="en-US"/>
        </w:rPr>
        <w:t>Review of the National Disability Advocacy Framework 2022-2025</w:t>
      </w:r>
      <w:r w:rsidR="00355961">
        <w:rPr>
          <w:lang w:val="en-US"/>
        </w:rPr>
        <w:t>, p</w:t>
      </w:r>
      <w:r w:rsidR="00B80605">
        <w:rPr>
          <w:lang w:val="en-US"/>
        </w:rPr>
        <w:t xml:space="preserve"> 6</w:t>
      </w:r>
    </w:p>
  </w:footnote>
  <w:footnote w:id="70">
    <w:p w14:paraId="1A9E6278" w14:textId="21CD11DD" w:rsidR="00152977" w:rsidRDefault="00152977">
      <w:pPr>
        <w:pStyle w:val="FootnoteText"/>
      </w:pPr>
      <w:r>
        <w:rPr>
          <w:rStyle w:val="FootnoteReference"/>
        </w:rPr>
        <w:footnoteRef/>
      </w:r>
      <w:r>
        <w:t xml:space="preserve"> </w:t>
      </w:r>
      <w:r w:rsidR="00125E0B">
        <w:t>DANA submission to the Disability Royal Commission into Violence, Abuse, Neglect and Exploitation, ‘Independent Disability Advocacy’</w:t>
      </w:r>
      <w:r w:rsidR="007F40CC">
        <w:t>, Decem</w:t>
      </w:r>
      <w:r w:rsidR="0022305D">
        <w:t>ber 2022</w:t>
      </w:r>
    </w:p>
  </w:footnote>
  <w:footnote w:id="71">
    <w:p w14:paraId="409F1B79" w14:textId="0B0D6832" w:rsidR="00FE0BA4" w:rsidRPr="000A1BE0" w:rsidRDefault="00FE0BA4" w:rsidP="00FE0BA4">
      <w:pPr>
        <w:pStyle w:val="FootnoteText"/>
        <w:rPr>
          <w:lang w:val="en-US"/>
        </w:rPr>
      </w:pPr>
      <w:r>
        <w:rPr>
          <w:rStyle w:val="FootnoteReference"/>
        </w:rPr>
        <w:footnoteRef/>
      </w:r>
      <w:r>
        <w:t xml:space="preserve"> </w:t>
      </w:r>
      <w:r w:rsidR="00C701DB">
        <w:t xml:space="preserve">Human Rights Law Centre (2022) </w:t>
      </w:r>
      <w:r w:rsidR="00C701DB" w:rsidRPr="00CC06FD">
        <w:rPr>
          <w:i/>
          <w:iCs/>
          <w:lang w:val="en-US"/>
        </w:rPr>
        <w:t>Charters of Human Rights Make Our Lives Better – Here are 101 cases showing how</w:t>
      </w:r>
      <w:r>
        <w:rPr>
          <w:lang w:val="en-US"/>
        </w:rPr>
        <w:t>, p18</w:t>
      </w:r>
    </w:p>
  </w:footnote>
  <w:footnote w:id="72">
    <w:p w14:paraId="32EDC1E1" w14:textId="77777777" w:rsidR="00FE0BA4" w:rsidRPr="00DD1FEF" w:rsidRDefault="00FE0BA4" w:rsidP="00FE0BA4">
      <w:pPr>
        <w:pStyle w:val="FootnoteText"/>
        <w:rPr>
          <w:lang w:val="en-US"/>
        </w:rPr>
      </w:pPr>
      <w:r>
        <w:rPr>
          <w:rStyle w:val="FootnoteReference"/>
        </w:rPr>
        <w:footnoteRef/>
      </w:r>
      <w:r>
        <w:t xml:space="preserve"> </w:t>
      </w:r>
      <w:r>
        <w:rPr>
          <w:lang w:val="en-US"/>
        </w:rPr>
        <w:t>Ibid, p19</w:t>
      </w:r>
    </w:p>
  </w:footnote>
  <w:footnote w:id="73">
    <w:p w14:paraId="2C844E70" w14:textId="19DED367" w:rsidR="00AA073E" w:rsidRPr="00AA073E" w:rsidRDefault="00AA073E">
      <w:pPr>
        <w:pStyle w:val="FootnoteText"/>
        <w:rPr>
          <w:lang w:val="en-US"/>
        </w:rPr>
      </w:pPr>
      <w:r>
        <w:rPr>
          <w:rStyle w:val="FootnoteReference"/>
        </w:rPr>
        <w:footnoteRef/>
      </w:r>
      <w:r>
        <w:t xml:space="preserve"> </w:t>
      </w:r>
      <w:r w:rsidR="00917F25">
        <w:t>Ibid, p2</w:t>
      </w:r>
    </w:p>
  </w:footnote>
  <w:footnote w:id="74">
    <w:p w14:paraId="4818AC8C" w14:textId="77777777" w:rsidR="0084565A" w:rsidRPr="00CC06FD" w:rsidRDefault="0084565A" w:rsidP="0084565A">
      <w:pPr>
        <w:pStyle w:val="FootnoteText"/>
        <w:rPr>
          <w:lang w:val="en-US"/>
        </w:rPr>
      </w:pPr>
      <w:r>
        <w:rPr>
          <w:rStyle w:val="FootnoteReference"/>
        </w:rPr>
        <w:footnoteRef/>
      </w:r>
      <w:r>
        <w:t xml:space="preserve"> </w:t>
      </w:r>
      <w:r>
        <w:rPr>
          <w:lang w:val="en-US"/>
        </w:rPr>
        <w:t>Ibid, p2</w:t>
      </w:r>
    </w:p>
  </w:footnote>
  <w:footnote w:id="75">
    <w:p w14:paraId="08A98EEA" w14:textId="7478631C" w:rsidR="00047B05" w:rsidRPr="00047B05" w:rsidRDefault="00047B05">
      <w:pPr>
        <w:pStyle w:val="FootnoteText"/>
        <w:rPr>
          <w:lang w:val="en-US"/>
        </w:rPr>
      </w:pPr>
      <w:r>
        <w:rPr>
          <w:rStyle w:val="FootnoteReference"/>
        </w:rPr>
        <w:footnoteRef/>
      </w:r>
      <w:r>
        <w:t xml:space="preserve"> </w:t>
      </w:r>
      <w:r>
        <w:rPr>
          <w:lang w:val="en-US"/>
        </w:rPr>
        <w:t xml:space="preserve">See QAI’s submission to the DRC on Places of Detention in Qld; </w:t>
      </w:r>
      <w:r w:rsidR="00CC39A0" w:rsidRPr="00CC39A0">
        <w:rPr>
          <w:lang w:val="en-US"/>
        </w:rPr>
        <w:t>https://qai.org.au/2022/09/02/places-of-detention-in-queensland/</w:t>
      </w:r>
    </w:p>
  </w:footnote>
  <w:footnote w:id="76">
    <w:p w14:paraId="06DD783B" w14:textId="389D9191" w:rsidR="00E36751" w:rsidRDefault="00E36751">
      <w:pPr>
        <w:pStyle w:val="FootnoteText"/>
      </w:pPr>
      <w:r>
        <w:rPr>
          <w:rStyle w:val="FootnoteReference"/>
        </w:rPr>
        <w:footnoteRef/>
      </w:r>
      <w:r>
        <w:t xml:space="preserve"> Anecdotal account from advocates at Amparo Advocacy</w:t>
      </w:r>
      <w:r w:rsidR="001017F4">
        <w:t xml:space="preserve"> Inc</w:t>
      </w:r>
    </w:p>
  </w:footnote>
  <w:footnote w:id="77">
    <w:p w14:paraId="6480CB1C" w14:textId="77777777" w:rsidR="00F27A2C" w:rsidRPr="00B426A4" w:rsidRDefault="00F27A2C" w:rsidP="00F27A2C">
      <w:pPr>
        <w:pStyle w:val="FootnoteText"/>
      </w:pPr>
      <w:r>
        <w:rPr>
          <w:rStyle w:val="FootnoteReference"/>
        </w:rPr>
        <w:footnoteRef/>
      </w:r>
      <w:r>
        <w:t xml:space="preserve"> QAI &amp; ATSILS (2022) </w:t>
      </w:r>
      <w:r w:rsidRPr="00A56756">
        <w:rPr>
          <w:i/>
          <w:iCs/>
        </w:rPr>
        <w:t>The need for inquiry into school disciplinary absences in Queensland state schools</w:t>
      </w:r>
      <w:r>
        <w:rPr>
          <w:i/>
          <w:iCs/>
        </w:rPr>
        <w:t>;</w:t>
      </w:r>
      <w:r w:rsidRPr="00B426A4">
        <w:t xml:space="preserve"> https://qai.org.au/2022/02/16/qai-and-atsils-call-for-inquiry-into-school-disciplinary-absences/</w:t>
      </w:r>
    </w:p>
  </w:footnote>
  <w:footnote w:id="78">
    <w:p w14:paraId="1B4FD8DC" w14:textId="12000C72" w:rsidR="00061888" w:rsidRDefault="00061888">
      <w:pPr>
        <w:pStyle w:val="FootnoteText"/>
      </w:pPr>
      <w:r>
        <w:rPr>
          <w:rStyle w:val="FootnoteReference"/>
        </w:rPr>
        <w:footnoteRef/>
      </w:r>
      <w:r>
        <w:t xml:space="preserve"> </w:t>
      </w:r>
      <w:r w:rsidR="00B148A4" w:rsidRPr="00B148A4">
        <w:t>https://qai.org.au/2022/11/25/qld-children-denied-equal-access-to-education/</w:t>
      </w:r>
    </w:p>
  </w:footnote>
  <w:footnote w:id="79">
    <w:p w14:paraId="6546D35E" w14:textId="5DB48B9B" w:rsidR="00405236" w:rsidRDefault="00405236">
      <w:pPr>
        <w:pStyle w:val="FootnoteText"/>
      </w:pPr>
      <w:r>
        <w:rPr>
          <w:rStyle w:val="FootnoteReference"/>
        </w:rPr>
        <w:footnoteRef/>
      </w:r>
      <w:r>
        <w:t xml:space="preserve"> Committee Against Torture, Dec 2022, Concluding observations on the sixth periodic report of Australia (CAT/C/AUS/CO/6), p12</w:t>
      </w:r>
    </w:p>
  </w:footnote>
  <w:footnote w:id="80">
    <w:p w14:paraId="51DDCF83" w14:textId="1C5D600D" w:rsidR="000F405F" w:rsidRDefault="000F405F">
      <w:pPr>
        <w:pStyle w:val="FootnoteText"/>
      </w:pPr>
      <w:r>
        <w:rPr>
          <w:rStyle w:val="FootnoteReference"/>
        </w:rPr>
        <w:footnoteRef/>
      </w:r>
      <w:r>
        <w:t xml:space="preserve"> </w:t>
      </w:r>
      <w:r w:rsidR="0071748A">
        <w:t xml:space="preserve">Steele, L. &amp; </w:t>
      </w:r>
      <w:proofErr w:type="spellStart"/>
      <w:r w:rsidR="0071748A">
        <w:t>Swaffer</w:t>
      </w:r>
      <w:proofErr w:type="spellEnd"/>
      <w:r w:rsidR="0071748A">
        <w:t>, K. (</w:t>
      </w:r>
      <w:r w:rsidR="00777F38">
        <w:t xml:space="preserve">2022) </w:t>
      </w:r>
      <w:r w:rsidR="0058417E" w:rsidRPr="00777F38">
        <w:rPr>
          <w:i/>
          <w:iCs/>
        </w:rPr>
        <w:t>Reparations for Harms Experienced in Residential Aged Care</w:t>
      </w:r>
      <w:r w:rsidR="00777F38">
        <w:t>. Health and Human Rights Journal, 24, 2</w:t>
      </w:r>
    </w:p>
  </w:footnote>
  <w:footnote w:id="81">
    <w:p w14:paraId="3B60906D" w14:textId="73334A74" w:rsidR="007C7CFD" w:rsidRDefault="007C7CFD">
      <w:pPr>
        <w:pStyle w:val="FootnoteText"/>
      </w:pPr>
      <w:r>
        <w:rPr>
          <w:rStyle w:val="FootnoteReference"/>
        </w:rPr>
        <w:footnoteRef/>
      </w:r>
      <w:r>
        <w:t xml:space="preserve"> Ibid, p</w:t>
      </w:r>
      <w:r w:rsidR="00406412">
        <w:t>76</w:t>
      </w:r>
    </w:p>
  </w:footnote>
  <w:footnote w:id="82">
    <w:p w14:paraId="4FDCBE30" w14:textId="0232B8F0" w:rsidR="006A4F89" w:rsidRDefault="006A4F89">
      <w:pPr>
        <w:pStyle w:val="FootnoteText"/>
      </w:pPr>
      <w:r>
        <w:rPr>
          <w:rStyle w:val="FootnoteReference"/>
        </w:rPr>
        <w:footnoteRef/>
      </w:r>
      <w:r>
        <w:t xml:space="preserve"> Ibid, p77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1E4EC79F" w:rsidR="009F7112" w:rsidRDefault="00D42CE4" w:rsidP="004073CD">
    <w:pPr>
      <w:pStyle w:val="Header"/>
      <w:spacing w:after="480"/>
      <w:ind w:left="1560"/>
      <w:rPr>
        <w:b/>
        <w:bCs/>
        <w:sz w:val="40"/>
        <w:szCs w:val="40"/>
      </w:rPr>
    </w:pPr>
    <w:r w:rsidRPr="00D42CE4">
      <w:rPr>
        <w:b/>
        <w:bCs/>
        <w:noProof/>
        <w:color w:val="FF0000"/>
        <w:sz w:val="40"/>
        <w:szCs w:val="40"/>
        <w:lang w:eastAsia="en-AU"/>
      </w:rPr>
      <w:drawing>
        <wp:anchor distT="0" distB="0" distL="114300" distR="114300" simplePos="0" relativeHeight="251658240" behindDoc="0" locked="0" layoutInCell="1" allowOverlap="1" wp14:anchorId="5DE66E9C" wp14:editId="6D063667">
          <wp:simplePos x="0" y="0"/>
          <wp:positionH relativeFrom="margin">
            <wp:posOffset>-152400</wp:posOffset>
          </wp:positionH>
          <wp:positionV relativeFrom="paragraph">
            <wp:posOffset>-230505</wp:posOffset>
          </wp:positionV>
          <wp:extent cx="962025" cy="617220"/>
          <wp:effectExtent l="0" t="0" r="9525"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220"/>
                  </a:xfrm>
                  <a:prstGeom prst="rect">
                    <a:avLst/>
                  </a:prstGeom>
                </pic:spPr>
              </pic:pic>
            </a:graphicData>
          </a:graphic>
          <wp14:sizeRelH relativeFrom="margin">
            <wp14:pctWidth>0</wp14:pctWidth>
          </wp14:sizeRelH>
          <wp14:sizeRelV relativeFrom="margin">
            <wp14:pctHeight>0</wp14:pctHeight>
          </wp14:sizeRelV>
        </wp:anchor>
      </w:drawing>
    </w:r>
    <w:r w:rsidR="006127CF" w:rsidRPr="00D42CE4">
      <w:rPr>
        <w:rFonts w:ascii="Calibri Light" w:hAnsi="Calibri Light"/>
        <w:b/>
        <w:bCs/>
        <w:noProof/>
        <w:color w:val="FF0000"/>
        <w:sz w:val="40"/>
        <w:szCs w:val="40"/>
        <w:lang w:eastAsia="en-AU"/>
      </w:rPr>
      <mc:AlternateContent>
        <mc:Choice Requires="wps">
          <w:drawing>
            <wp:anchor distT="0" distB="0" distL="114300" distR="114300" simplePos="0" relativeHeight="251658241" behindDoc="0" locked="0" layoutInCell="1" allowOverlap="1" wp14:anchorId="4D095972" wp14:editId="226208FA">
              <wp:simplePos x="0" y="0"/>
              <wp:positionH relativeFrom="margin">
                <wp:posOffset>3049588</wp:posOffset>
              </wp:positionH>
              <wp:positionV relativeFrom="paragraph">
                <wp:posOffset>-3422333</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38D72" id="Rectangle 3" o:spid="_x0000_s1026" alt="&quot;&quot;" style="position:absolute;margin-left:240.15pt;margin-top:-269.5pt;width:6.1pt;height:616.55pt;rotation:90;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Pr="00D42CE4">
      <w:rPr>
        <w:b/>
        <w:bCs/>
        <w:color w:val="FF0000"/>
        <w:sz w:val="40"/>
        <w:szCs w:val="40"/>
      </w:rPr>
      <w:t>Q</w:t>
    </w:r>
    <w:r w:rsidRPr="00D42CE4">
      <w:rPr>
        <w:b/>
        <w:bCs/>
        <w:sz w:val="40"/>
        <w:szCs w:val="40"/>
      </w:rPr>
      <w:t xml:space="preserve">ueensland </w:t>
    </w:r>
    <w:r w:rsidRPr="00D42CE4">
      <w:rPr>
        <w:b/>
        <w:bCs/>
        <w:color w:val="FF0000"/>
        <w:sz w:val="40"/>
        <w:szCs w:val="40"/>
      </w:rPr>
      <w:t>A</w:t>
    </w:r>
    <w:r w:rsidRPr="00D42CE4">
      <w:rPr>
        <w:b/>
        <w:bCs/>
        <w:sz w:val="40"/>
        <w:szCs w:val="40"/>
      </w:rPr>
      <w:t xml:space="preserve">dvocacy for </w:t>
    </w:r>
    <w:r w:rsidRPr="00D42CE4">
      <w:rPr>
        <w:b/>
        <w:bCs/>
        <w:color w:val="FF0000"/>
        <w:sz w:val="40"/>
        <w:szCs w:val="40"/>
      </w:rPr>
      <w:t>I</w:t>
    </w:r>
    <w:r w:rsidRPr="00D42CE4">
      <w:rPr>
        <w:b/>
        <w:bCs/>
        <w:sz w:val="40"/>
        <w:szCs w:val="40"/>
      </w:rPr>
      <w:t>nclusion</w:t>
    </w:r>
  </w:p>
  <w:p w14:paraId="1CCA036E" w14:textId="7AF1CF8F" w:rsidR="00D47DF5" w:rsidRPr="004073CD" w:rsidRDefault="00D47DF5" w:rsidP="004073CD">
    <w:pPr>
      <w:pStyle w:val="Header"/>
      <w:ind w:left="1560" w:right="-319"/>
      <w:jc w:val="right"/>
      <w:rPr>
        <w:sz w:val="28"/>
        <w:szCs w:val="28"/>
      </w:rPr>
    </w:pPr>
    <w:r w:rsidRPr="004073CD">
      <w:rPr>
        <w:sz w:val="28"/>
        <w:szCs w:val="28"/>
      </w:rPr>
      <w:t>Advocacy for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E5B6" w14:textId="7A71A71F" w:rsidR="001545DE" w:rsidRPr="001545DE" w:rsidRDefault="001545DE" w:rsidP="0015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071"/>
    <w:multiLevelType w:val="hybridMultilevel"/>
    <w:tmpl w:val="79760E1C"/>
    <w:lvl w:ilvl="0" w:tplc="0C090019">
      <w:start w:val="1"/>
      <w:numFmt w:val="lowerLetter"/>
      <w:lvlText w:val="%1."/>
      <w:lvlJc w:val="left"/>
      <w:pPr>
        <w:ind w:left="1175" w:hanging="360"/>
      </w:pPr>
    </w:lvl>
    <w:lvl w:ilvl="1" w:tplc="FFFFFFFF" w:tentative="1">
      <w:start w:val="1"/>
      <w:numFmt w:val="lowerLetter"/>
      <w:lvlText w:val="%2."/>
      <w:lvlJc w:val="left"/>
      <w:pPr>
        <w:ind w:left="1895" w:hanging="360"/>
      </w:pPr>
    </w:lvl>
    <w:lvl w:ilvl="2" w:tplc="FFFFFFFF" w:tentative="1">
      <w:start w:val="1"/>
      <w:numFmt w:val="lowerRoman"/>
      <w:lvlText w:val="%3."/>
      <w:lvlJc w:val="right"/>
      <w:pPr>
        <w:ind w:left="2615" w:hanging="180"/>
      </w:pPr>
    </w:lvl>
    <w:lvl w:ilvl="3" w:tplc="FFFFFFFF" w:tentative="1">
      <w:start w:val="1"/>
      <w:numFmt w:val="decimal"/>
      <w:lvlText w:val="%4."/>
      <w:lvlJc w:val="left"/>
      <w:pPr>
        <w:ind w:left="3335" w:hanging="360"/>
      </w:pPr>
    </w:lvl>
    <w:lvl w:ilvl="4" w:tplc="FFFFFFFF" w:tentative="1">
      <w:start w:val="1"/>
      <w:numFmt w:val="lowerLetter"/>
      <w:lvlText w:val="%5."/>
      <w:lvlJc w:val="left"/>
      <w:pPr>
        <w:ind w:left="4055" w:hanging="360"/>
      </w:pPr>
    </w:lvl>
    <w:lvl w:ilvl="5" w:tplc="FFFFFFFF" w:tentative="1">
      <w:start w:val="1"/>
      <w:numFmt w:val="lowerRoman"/>
      <w:lvlText w:val="%6."/>
      <w:lvlJc w:val="right"/>
      <w:pPr>
        <w:ind w:left="4775" w:hanging="180"/>
      </w:pPr>
    </w:lvl>
    <w:lvl w:ilvl="6" w:tplc="FFFFFFFF" w:tentative="1">
      <w:start w:val="1"/>
      <w:numFmt w:val="decimal"/>
      <w:lvlText w:val="%7."/>
      <w:lvlJc w:val="left"/>
      <w:pPr>
        <w:ind w:left="5495" w:hanging="360"/>
      </w:pPr>
    </w:lvl>
    <w:lvl w:ilvl="7" w:tplc="FFFFFFFF" w:tentative="1">
      <w:start w:val="1"/>
      <w:numFmt w:val="lowerLetter"/>
      <w:lvlText w:val="%8."/>
      <w:lvlJc w:val="left"/>
      <w:pPr>
        <w:ind w:left="6215" w:hanging="360"/>
      </w:pPr>
    </w:lvl>
    <w:lvl w:ilvl="8" w:tplc="FFFFFFFF" w:tentative="1">
      <w:start w:val="1"/>
      <w:numFmt w:val="lowerRoman"/>
      <w:lvlText w:val="%9."/>
      <w:lvlJc w:val="right"/>
      <w:pPr>
        <w:ind w:left="6935" w:hanging="180"/>
      </w:pPr>
    </w:lvl>
  </w:abstractNum>
  <w:abstractNum w:abstractNumId="1" w15:restartNumberingAfterBreak="0">
    <w:nsid w:val="08C643F7"/>
    <w:multiLevelType w:val="hybridMultilevel"/>
    <w:tmpl w:val="23889600"/>
    <w:lvl w:ilvl="0" w:tplc="0C09000F">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10524CF1"/>
    <w:multiLevelType w:val="hybridMultilevel"/>
    <w:tmpl w:val="193442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853BD2"/>
    <w:multiLevelType w:val="hybridMultilevel"/>
    <w:tmpl w:val="B9B2850A"/>
    <w:lvl w:ilvl="0" w:tplc="AA482490">
      <w:start w:val="1"/>
      <w:numFmt w:val="lowerLetter"/>
      <w:lvlText w:val="%1."/>
      <w:lvlJc w:val="left"/>
      <w:pPr>
        <w:ind w:left="1175" w:hanging="360"/>
      </w:pPr>
    </w:lvl>
    <w:lvl w:ilvl="1" w:tplc="FFFFFFFF" w:tentative="1">
      <w:start w:val="1"/>
      <w:numFmt w:val="lowerLetter"/>
      <w:lvlText w:val="%2."/>
      <w:lvlJc w:val="left"/>
      <w:pPr>
        <w:ind w:left="1895" w:hanging="360"/>
      </w:pPr>
    </w:lvl>
    <w:lvl w:ilvl="2" w:tplc="FFFFFFFF" w:tentative="1">
      <w:start w:val="1"/>
      <w:numFmt w:val="lowerRoman"/>
      <w:lvlText w:val="%3."/>
      <w:lvlJc w:val="right"/>
      <w:pPr>
        <w:ind w:left="2615" w:hanging="180"/>
      </w:pPr>
    </w:lvl>
    <w:lvl w:ilvl="3" w:tplc="FFFFFFFF" w:tentative="1">
      <w:start w:val="1"/>
      <w:numFmt w:val="decimal"/>
      <w:lvlText w:val="%4."/>
      <w:lvlJc w:val="left"/>
      <w:pPr>
        <w:ind w:left="3335" w:hanging="360"/>
      </w:pPr>
    </w:lvl>
    <w:lvl w:ilvl="4" w:tplc="FFFFFFFF" w:tentative="1">
      <w:start w:val="1"/>
      <w:numFmt w:val="lowerLetter"/>
      <w:lvlText w:val="%5."/>
      <w:lvlJc w:val="left"/>
      <w:pPr>
        <w:ind w:left="4055" w:hanging="360"/>
      </w:pPr>
    </w:lvl>
    <w:lvl w:ilvl="5" w:tplc="FFFFFFFF" w:tentative="1">
      <w:start w:val="1"/>
      <w:numFmt w:val="lowerRoman"/>
      <w:lvlText w:val="%6."/>
      <w:lvlJc w:val="right"/>
      <w:pPr>
        <w:ind w:left="4775" w:hanging="180"/>
      </w:pPr>
    </w:lvl>
    <w:lvl w:ilvl="6" w:tplc="FFFFFFFF" w:tentative="1">
      <w:start w:val="1"/>
      <w:numFmt w:val="decimal"/>
      <w:lvlText w:val="%7."/>
      <w:lvlJc w:val="left"/>
      <w:pPr>
        <w:ind w:left="5495" w:hanging="360"/>
      </w:pPr>
    </w:lvl>
    <w:lvl w:ilvl="7" w:tplc="FFFFFFFF" w:tentative="1">
      <w:start w:val="1"/>
      <w:numFmt w:val="lowerLetter"/>
      <w:lvlText w:val="%8."/>
      <w:lvlJc w:val="left"/>
      <w:pPr>
        <w:ind w:left="6215" w:hanging="360"/>
      </w:pPr>
    </w:lvl>
    <w:lvl w:ilvl="8" w:tplc="FFFFFFFF" w:tentative="1">
      <w:start w:val="1"/>
      <w:numFmt w:val="lowerRoman"/>
      <w:lvlText w:val="%9."/>
      <w:lvlJc w:val="right"/>
      <w:pPr>
        <w:ind w:left="6935" w:hanging="180"/>
      </w:pPr>
    </w:lvl>
  </w:abstractNum>
  <w:abstractNum w:abstractNumId="4" w15:restartNumberingAfterBreak="0">
    <w:nsid w:val="121C0239"/>
    <w:multiLevelType w:val="hybridMultilevel"/>
    <w:tmpl w:val="E6DACD0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4B08FD"/>
    <w:multiLevelType w:val="hybridMultilevel"/>
    <w:tmpl w:val="2BD2935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4A06512"/>
    <w:multiLevelType w:val="hybridMultilevel"/>
    <w:tmpl w:val="7BF4D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D81923"/>
    <w:multiLevelType w:val="hybridMultilevel"/>
    <w:tmpl w:val="B9B2850A"/>
    <w:lvl w:ilvl="0" w:tplc="FFFFFFFF">
      <w:start w:val="1"/>
      <w:numFmt w:val="lowerLetter"/>
      <w:lvlText w:val="%1."/>
      <w:lvlJc w:val="left"/>
      <w:pPr>
        <w:ind w:left="1175" w:hanging="360"/>
      </w:pPr>
    </w:lvl>
    <w:lvl w:ilvl="1" w:tplc="FFFFFFFF" w:tentative="1">
      <w:start w:val="1"/>
      <w:numFmt w:val="lowerLetter"/>
      <w:lvlText w:val="%2."/>
      <w:lvlJc w:val="left"/>
      <w:pPr>
        <w:ind w:left="1895" w:hanging="360"/>
      </w:pPr>
    </w:lvl>
    <w:lvl w:ilvl="2" w:tplc="FFFFFFFF" w:tentative="1">
      <w:start w:val="1"/>
      <w:numFmt w:val="lowerRoman"/>
      <w:lvlText w:val="%3."/>
      <w:lvlJc w:val="right"/>
      <w:pPr>
        <w:ind w:left="2615" w:hanging="180"/>
      </w:pPr>
    </w:lvl>
    <w:lvl w:ilvl="3" w:tplc="FFFFFFFF" w:tentative="1">
      <w:start w:val="1"/>
      <w:numFmt w:val="decimal"/>
      <w:lvlText w:val="%4."/>
      <w:lvlJc w:val="left"/>
      <w:pPr>
        <w:ind w:left="3335" w:hanging="360"/>
      </w:pPr>
    </w:lvl>
    <w:lvl w:ilvl="4" w:tplc="FFFFFFFF" w:tentative="1">
      <w:start w:val="1"/>
      <w:numFmt w:val="lowerLetter"/>
      <w:lvlText w:val="%5."/>
      <w:lvlJc w:val="left"/>
      <w:pPr>
        <w:ind w:left="4055" w:hanging="360"/>
      </w:pPr>
    </w:lvl>
    <w:lvl w:ilvl="5" w:tplc="FFFFFFFF" w:tentative="1">
      <w:start w:val="1"/>
      <w:numFmt w:val="lowerRoman"/>
      <w:lvlText w:val="%6."/>
      <w:lvlJc w:val="right"/>
      <w:pPr>
        <w:ind w:left="4775" w:hanging="180"/>
      </w:pPr>
    </w:lvl>
    <w:lvl w:ilvl="6" w:tplc="FFFFFFFF" w:tentative="1">
      <w:start w:val="1"/>
      <w:numFmt w:val="decimal"/>
      <w:lvlText w:val="%7."/>
      <w:lvlJc w:val="left"/>
      <w:pPr>
        <w:ind w:left="5495" w:hanging="360"/>
      </w:pPr>
    </w:lvl>
    <w:lvl w:ilvl="7" w:tplc="FFFFFFFF" w:tentative="1">
      <w:start w:val="1"/>
      <w:numFmt w:val="lowerLetter"/>
      <w:lvlText w:val="%8."/>
      <w:lvlJc w:val="left"/>
      <w:pPr>
        <w:ind w:left="6215" w:hanging="360"/>
      </w:pPr>
    </w:lvl>
    <w:lvl w:ilvl="8" w:tplc="FFFFFFFF" w:tentative="1">
      <w:start w:val="1"/>
      <w:numFmt w:val="lowerRoman"/>
      <w:lvlText w:val="%9."/>
      <w:lvlJc w:val="right"/>
      <w:pPr>
        <w:ind w:left="6935" w:hanging="180"/>
      </w:pPr>
    </w:lvl>
  </w:abstractNum>
  <w:abstractNum w:abstractNumId="8" w15:restartNumberingAfterBreak="0">
    <w:nsid w:val="231E6BAE"/>
    <w:multiLevelType w:val="hybridMultilevel"/>
    <w:tmpl w:val="9712294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41F6762"/>
    <w:multiLevelType w:val="hybridMultilevel"/>
    <w:tmpl w:val="65003592"/>
    <w:lvl w:ilvl="0" w:tplc="FFFFFFFF">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EA3DCE"/>
    <w:multiLevelType w:val="hybridMultilevel"/>
    <w:tmpl w:val="B3CE5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E75702"/>
    <w:multiLevelType w:val="hybridMultilevel"/>
    <w:tmpl w:val="B9B2850A"/>
    <w:lvl w:ilvl="0" w:tplc="FFFFFFFF">
      <w:start w:val="1"/>
      <w:numFmt w:val="lowerLetter"/>
      <w:lvlText w:val="%1."/>
      <w:lvlJc w:val="left"/>
      <w:pPr>
        <w:ind w:left="1175" w:hanging="360"/>
      </w:pPr>
    </w:lvl>
    <w:lvl w:ilvl="1" w:tplc="FFFFFFFF" w:tentative="1">
      <w:start w:val="1"/>
      <w:numFmt w:val="lowerLetter"/>
      <w:lvlText w:val="%2."/>
      <w:lvlJc w:val="left"/>
      <w:pPr>
        <w:ind w:left="1895" w:hanging="360"/>
      </w:pPr>
    </w:lvl>
    <w:lvl w:ilvl="2" w:tplc="FFFFFFFF" w:tentative="1">
      <w:start w:val="1"/>
      <w:numFmt w:val="lowerRoman"/>
      <w:lvlText w:val="%3."/>
      <w:lvlJc w:val="right"/>
      <w:pPr>
        <w:ind w:left="2615" w:hanging="180"/>
      </w:pPr>
    </w:lvl>
    <w:lvl w:ilvl="3" w:tplc="FFFFFFFF" w:tentative="1">
      <w:start w:val="1"/>
      <w:numFmt w:val="decimal"/>
      <w:lvlText w:val="%4."/>
      <w:lvlJc w:val="left"/>
      <w:pPr>
        <w:ind w:left="3335" w:hanging="360"/>
      </w:pPr>
    </w:lvl>
    <w:lvl w:ilvl="4" w:tplc="FFFFFFFF" w:tentative="1">
      <w:start w:val="1"/>
      <w:numFmt w:val="lowerLetter"/>
      <w:lvlText w:val="%5."/>
      <w:lvlJc w:val="left"/>
      <w:pPr>
        <w:ind w:left="4055" w:hanging="360"/>
      </w:pPr>
    </w:lvl>
    <w:lvl w:ilvl="5" w:tplc="FFFFFFFF" w:tentative="1">
      <w:start w:val="1"/>
      <w:numFmt w:val="lowerRoman"/>
      <w:lvlText w:val="%6."/>
      <w:lvlJc w:val="right"/>
      <w:pPr>
        <w:ind w:left="4775" w:hanging="180"/>
      </w:pPr>
    </w:lvl>
    <w:lvl w:ilvl="6" w:tplc="FFFFFFFF" w:tentative="1">
      <w:start w:val="1"/>
      <w:numFmt w:val="decimal"/>
      <w:lvlText w:val="%7."/>
      <w:lvlJc w:val="left"/>
      <w:pPr>
        <w:ind w:left="5495" w:hanging="360"/>
      </w:pPr>
    </w:lvl>
    <w:lvl w:ilvl="7" w:tplc="FFFFFFFF" w:tentative="1">
      <w:start w:val="1"/>
      <w:numFmt w:val="lowerLetter"/>
      <w:lvlText w:val="%8."/>
      <w:lvlJc w:val="left"/>
      <w:pPr>
        <w:ind w:left="6215" w:hanging="360"/>
      </w:pPr>
    </w:lvl>
    <w:lvl w:ilvl="8" w:tplc="FFFFFFFF" w:tentative="1">
      <w:start w:val="1"/>
      <w:numFmt w:val="lowerRoman"/>
      <w:lvlText w:val="%9."/>
      <w:lvlJc w:val="right"/>
      <w:pPr>
        <w:ind w:left="6935" w:hanging="180"/>
      </w:pPr>
    </w:lvl>
  </w:abstractNum>
  <w:abstractNum w:abstractNumId="12" w15:restartNumberingAfterBreak="0">
    <w:nsid w:val="29561173"/>
    <w:multiLevelType w:val="hybridMultilevel"/>
    <w:tmpl w:val="24540F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36193F"/>
    <w:multiLevelType w:val="hybridMultilevel"/>
    <w:tmpl w:val="79C4B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D6150E"/>
    <w:multiLevelType w:val="hybridMultilevel"/>
    <w:tmpl w:val="B9B2850A"/>
    <w:lvl w:ilvl="0" w:tplc="FFFFFFFF">
      <w:start w:val="1"/>
      <w:numFmt w:val="lowerLetter"/>
      <w:lvlText w:val="%1."/>
      <w:lvlJc w:val="left"/>
      <w:pPr>
        <w:ind w:left="1175" w:hanging="360"/>
      </w:pPr>
    </w:lvl>
    <w:lvl w:ilvl="1" w:tplc="FFFFFFFF" w:tentative="1">
      <w:start w:val="1"/>
      <w:numFmt w:val="lowerLetter"/>
      <w:lvlText w:val="%2."/>
      <w:lvlJc w:val="left"/>
      <w:pPr>
        <w:ind w:left="1895" w:hanging="360"/>
      </w:pPr>
    </w:lvl>
    <w:lvl w:ilvl="2" w:tplc="FFFFFFFF" w:tentative="1">
      <w:start w:val="1"/>
      <w:numFmt w:val="lowerRoman"/>
      <w:lvlText w:val="%3."/>
      <w:lvlJc w:val="right"/>
      <w:pPr>
        <w:ind w:left="2615" w:hanging="180"/>
      </w:pPr>
    </w:lvl>
    <w:lvl w:ilvl="3" w:tplc="FFFFFFFF" w:tentative="1">
      <w:start w:val="1"/>
      <w:numFmt w:val="decimal"/>
      <w:lvlText w:val="%4."/>
      <w:lvlJc w:val="left"/>
      <w:pPr>
        <w:ind w:left="3335" w:hanging="360"/>
      </w:pPr>
    </w:lvl>
    <w:lvl w:ilvl="4" w:tplc="FFFFFFFF" w:tentative="1">
      <w:start w:val="1"/>
      <w:numFmt w:val="lowerLetter"/>
      <w:lvlText w:val="%5."/>
      <w:lvlJc w:val="left"/>
      <w:pPr>
        <w:ind w:left="4055" w:hanging="360"/>
      </w:pPr>
    </w:lvl>
    <w:lvl w:ilvl="5" w:tplc="FFFFFFFF" w:tentative="1">
      <w:start w:val="1"/>
      <w:numFmt w:val="lowerRoman"/>
      <w:lvlText w:val="%6."/>
      <w:lvlJc w:val="right"/>
      <w:pPr>
        <w:ind w:left="4775" w:hanging="180"/>
      </w:pPr>
    </w:lvl>
    <w:lvl w:ilvl="6" w:tplc="FFFFFFFF" w:tentative="1">
      <w:start w:val="1"/>
      <w:numFmt w:val="decimal"/>
      <w:lvlText w:val="%7."/>
      <w:lvlJc w:val="left"/>
      <w:pPr>
        <w:ind w:left="5495" w:hanging="360"/>
      </w:pPr>
    </w:lvl>
    <w:lvl w:ilvl="7" w:tplc="FFFFFFFF" w:tentative="1">
      <w:start w:val="1"/>
      <w:numFmt w:val="lowerLetter"/>
      <w:lvlText w:val="%8."/>
      <w:lvlJc w:val="left"/>
      <w:pPr>
        <w:ind w:left="6215" w:hanging="360"/>
      </w:pPr>
    </w:lvl>
    <w:lvl w:ilvl="8" w:tplc="FFFFFFFF" w:tentative="1">
      <w:start w:val="1"/>
      <w:numFmt w:val="lowerRoman"/>
      <w:lvlText w:val="%9."/>
      <w:lvlJc w:val="right"/>
      <w:pPr>
        <w:ind w:left="6935" w:hanging="180"/>
      </w:pPr>
    </w:lvl>
  </w:abstractNum>
  <w:abstractNum w:abstractNumId="15" w15:restartNumberingAfterBreak="0">
    <w:nsid w:val="2B1208F8"/>
    <w:multiLevelType w:val="hybridMultilevel"/>
    <w:tmpl w:val="8E8027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54780E"/>
    <w:multiLevelType w:val="hybridMultilevel"/>
    <w:tmpl w:val="21C4AC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CD3850"/>
    <w:multiLevelType w:val="hybridMultilevel"/>
    <w:tmpl w:val="FDB227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562958"/>
    <w:multiLevelType w:val="hybridMultilevel"/>
    <w:tmpl w:val="A394DDF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E0928DB"/>
    <w:multiLevelType w:val="hybridMultilevel"/>
    <w:tmpl w:val="E12E2CD8"/>
    <w:lvl w:ilvl="0" w:tplc="671AB5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3F33FA"/>
    <w:multiLevelType w:val="hybridMultilevel"/>
    <w:tmpl w:val="5282A5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B55F00"/>
    <w:multiLevelType w:val="hybridMultilevel"/>
    <w:tmpl w:val="B820139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F235B52"/>
    <w:multiLevelType w:val="hybridMultilevel"/>
    <w:tmpl w:val="429E26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22108B"/>
    <w:multiLevelType w:val="hybridMultilevel"/>
    <w:tmpl w:val="CB4E034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8594C07"/>
    <w:multiLevelType w:val="hybridMultilevel"/>
    <w:tmpl w:val="B5261FC8"/>
    <w:lvl w:ilvl="0" w:tplc="0C09001B">
      <w:start w:val="1"/>
      <w:numFmt w:val="lowerRoman"/>
      <w:lvlText w:val="%1."/>
      <w:lvlJc w:val="right"/>
      <w:pPr>
        <w:ind w:left="1175" w:hanging="360"/>
      </w:pPr>
    </w:lvl>
    <w:lvl w:ilvl="1" w:tplc="0C090019" w:tentative="1">
      <w:start w:val="1"/>
      <w:numFmt w:val="lowerLetter"/>
      <w:lvlText w:val="%2."/>
      <w:lvlJc w:val="left"/>
      <w:pPr>
        <w:ind w:left="1895" w:hanging="360"/>
      </w:pPr>
    </w:lvl>
    <w:lvl w:ilvl="2" w:tplc="0C09001B" w:tentative="1">
      <w:start w:val="1"/>
      <w:numFmt w:val="lowerRoman"/>
      <w:lvlText w:val="%3."/>
      <w:lvlJc w:val="right"/>
      <w:pPr>
        <w:ind w:left="2615" w:hanging="180"/>
      </w:pPr>
    </w:lvl>
    <w:lvl w:ilvl="3" w:tplc="0C09000F" w:tentative="1">
      <w:start w:val="1"/>
      <w:numFmt w:val="decimal"/>
      <w:lvlText w:val="%4."/>
      <w:lvlJc w:val="left"/>
      <w:pPr>
        <w:ind w:left="3335" w:hanging="360"/>
      </w:pPr>
    </w:lvl>
    <w:lvl w:ilvl="4" w:tplc="0C090019" w:tentative="1">
      <w:start w:val="1"/>
      <w:numFmt w:val="lowerLetter"/>
      <w:lvlText w:val="%5."/>
      <w:lvlJc w:val="left"/>
      <w:pPr>
        <w:ind w:left="4055" w:hanging="360"/>
      </w:pPr>
    </w:lvl>
    <w:lvl w:ilvl="5" w:tplc="0C09001B" w:tentative="1">
      <w:start w:val="1"/>
      <w:numFmt w:val="lowerRoman"/>
      <w:lvlText w:val="%6."/>
      <w:lvlJc w:val="right"/>
      <w:pPr>
        <w:ind w:left="4775" w:hanging="180"/>
      </w:pPr>
    </w:lvl>
    <w:lvl w:ilvl="6" w:tplc="0C09000F" w:tentative="1">
      <w:start w:val="1"/>
      <w:numFmt w:val="decimal"/>
      <w:lvlText w:val="%7."/>
      <w:lvlJc w:val="left"/>
      <w:pPr>
        <w:ind w:left="5495" w:hanging="360"/>
      </w:pPr>
    </w:lvl>
    <w:lvl w:ilvl="7" w:tplc="0C090019" w:tentative="1">
      <w:start w:val="1"/>
      <w:numFmt w:val="lowerLetter"/>
      <w:lvlText w:val="%8."/>
      <w:lvlJc w:val="left"/>
      <w:pPr>
        <w:ind w:left="6215" w:hanging="360"/>
      </w:pPr>
    </w:lvl>
    <w:lvl w:ilvl="8" w:tplc="0C09001B" w:tentative="1">
      <w:start w:val="1"/>
      <w:numFmt w:val="lowerRoman"/>
      <w:lvlText w:val="%9."/>
      <w:lvlJc w:val="right"/>
      <w:pPr>
        <w:ind w:left="6935" w:hanging="180"/>
      </w:pPr>
    </w:lvl>
  </w:abstractNum>
  <w:abstractNum w:abstractNumId="26" w15:restartNumberingAfterBreak="0">
    <w:nsid w:val="48A34901"/>
    <w:multiLevelType w:val="hybridMultilevel"/>
    <w:tmpl w:val="D4A68EE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4B5369E8"/>
    <w:multiLevelType w:val="hybridMultilevel"/>
    <w:tmpl w:val="859298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4B7D477F"/>
    <w:multiLevelType w:val="hybridMultilevel"/>
    <w:tmpl w:val="4126E0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0060A6"/>
    <w:multiLevelType w:val="hybridMultilevel"/>
    <w:tmpl w:val="D66A5E74"/>
    <w:lvl w:ilvl="0" w:tplc="0C090019">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3C0B9B"/>
    <w:multiLevelType w:val="hybridMultilevel"/>
    <w:tmpl w:val="27F64CF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C52E25"/>
    <w:multiLevelType w:val="hybridMultilevel"/>
    <w:tmpl w:val="1F4CF4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4A6E5B"/>
    <w:multiLevelType w:val="hybridMultilevel"/>
    <w:tmpl w:val="C2363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C40259"/>
    <w:multiLevelType w:val="hybridMultilevel"/>
    <w:tmpl w:val="82EE51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CF0AAE"/>
    <w:multiLevelType w:val="hybridMultilevel"/>
    <w:tmpl w:val="C9D0AD6A"/>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017D68"/>
    <w:multiLevelType w:val="hybridMultilevel"/>
    <w:tmpl w:val="C53C2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D66731"/>
    <w:multiLevelType w:val="hybridMultilevel"/>
    <w:tmpl w:val="8BF48C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1C2B7B"/>
    <w:multiLevelType w:val="hybridMultilevel"/>
    <w:tmpl w:val="8E80274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B4505E"/>
    <w:multiLevelType w:val="hybridMultilevel"/>
    <w:tmpl w:val="B9B2850A"/>
    <w:lvl w:ilvl="0" w:tplc="FFFFFFFF">
      <w:start w:val="1"/>
      <w:numFmt w:val="lowerLetter"/>
      <w:lvlText w:val="%1."/>
      <w:lvlJc w:val="left"/>
      <w:pPr>
        <w:ind w:left="1175" w:hanging="360"/>
      </w:pPr>
    </w:lvl>
    <w:lvl w:ilvl="1" w:tplc="FFFFFFFF" w:tentative="1">
      <w:start w:val="1"/>
      <w:numFmt w:val="lowerLetter"/>
      <w:lvlText w:val="%2."/>
      <w:lvlJc w:val="left"/>
      <w:pPr>
        <w:ind w:left="1895" w:hanging="360"/>
      </w:pPr>
    </w:lvl>
    <w:lvl w:ilvl="2" w:tplc="FFFFFFFF" w:tentative="1">
      <w:start w:val="1"/>
      <w:numFmt w:val="lowerRoman"/>
      <w:lvlText w:val="%3."/>
      <w:lvlJc w:val="right"/>
      <w:pPr>
        <w:ind w:left="2615" w:hanging="180"/>
      </w:pPr>
    </w:lvl>
    <w:lvl w:ilvl="3" w:tplc="FFFFFFFF" w:tentative="1">
      <w:start w:val="1"/>
      <w:numFmt w:val="decimal"/>
      <w:lvlText w:val="%4."/>
      <w:lvlJc w:val="left"/>
      <w:pPr>
        <w:ind w:left="3335" w:hanging="360"/>
      </w:pPr>
    </w:lvl>
    <w:lvl w:ilvl="4" w:tplc="FFFFFFFF" w:tentative="1">
      <w:start w:val="1"/>
      <w:numFmt w:val="lowerLetter"/>
      <w:lvlText w:val="%5."/>
      <w:lvlJc w:val="left"/>
      <w:pPr>
        <w:ind w:left="4055" w:hanging="360"/>
      </w:pPr>
    </w:lvl>
    <w:lvl w:ilvl="5" w:tplc="FFFFFFFF" w:tentative="1">
      <w:start w:val="1"/>
      <w:numFmt w:val="lowerRoman"/>
      <w:lvlText w:val="%6."/>
      <w:lvlJc w:val="right"/>
      <w:pPr>
        <w:ind w:left="4775" w:hanging="180"/>
      </w:pPr>
    </w:lvl>
    <w:lvl w:ilvl="6" w:tplc="FFFFFFFF" w:tentative="1">
      <w:start w:val="1"/>
      <w:numFmt w:val="decimal"/>
      <w:lvlText w:val="%7."/>
      <w:lvlJc w:val="left"/>
      <w:pPr>
        <w:ind w:left="5495" w:hanging="360"/>
      </w:pPr>
    </w:lvl>
    <w:lvl w:ilvl="7" w:tplc="FFFFFFFF" w:tentative="1">
      <w:start w:val="1"/>
      <w:numFmt w:val="lowerLetter"/>
      <w:lvlText w:val="%8."/>
      <w:lvlJc w:val="left"/>
      <w:pPr>
        <w:ind w:left="6215" w:hanging="360"/>
      </w:pPr>
    </w:lvl>
    <w:lvl w:ilvl="8" w:tplc="FFFFFFFF" w:tentative="1">
      <w:start w:val="1"/>
      <w:numFmt w:val="lowerRoman"/>
      <w:lvlText w:val="%9."/>
      <w:lvlJc w:val="right"/>
      <w:pPr>
        <w:ind w:left="6935" w:hanging="180"/>
      </w:pPr>
    </w:lvl>
  </w:abstractNum>
  <w:abstractNum w:abstractNumId="39" w15:restartNumberingAfterBreak="0">
    <w:nsid w:val="69C9191C"/>
    <w:multiLevelType w:val="hybridMultilevel"/>
    <w:tmpl w:val="15B4191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225441A"/>
    <w:multiLevelType w:val="hybridMultilevel"/>
    <w:tmpl w:val="7CF8B236"/>
    <w:lvl w:ilvl="0" w:tplc="07581BA2">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C137F5"/>
    <w:multiLevelType w:val="hybridMultilevel"/>
    <w:tmpl w:val="ED9CF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BD4762"/>
    <w:multiLevelType w:val="hybridMultilevel"/>
    <w:tmpl w:val="610EEA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EE2F47"/>
    <w:multiLevelType w:val="hybridMultilevel"/>
    <w:tmpl w:val="EC8EB50A"/>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4" w15:restartNumberingAfterBreak="0">
    <w:nsid w:val="7A2231C8"/>
    <w:multiLevelType w:val="hybridMultilevel"/>
    <w:tmpl w:val="4B38044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E24088A"/>
    <w:multiLevelType w:val="hybridMultilevel"/>
    <w:tmpl w:val="ADFACA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F552CC"/>
    <w:multiLevelType w:val="hybridMultilevel"/>
    <w:tmpl w:val="9E023ACE"/>
    <w:lvl w:ilvl="0" w:tplc="0C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384F37"/>
    <w:multiLevelType w:val="hybridMultilevel"/>
    <w:tmpl w:val="6994E59E"/>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8" w15:restartNumberingAfterBreak="0">
    <w:nsid w:val="7FA83448"/>
    <w:multiLevelType w:val="hybridMultilevel"/>
    <w:tmpl w:val="B92EC7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4161966">
    <w:abstractNumId w:val="19"/>
  </w:num>
  <w:num w:numId="2" w16cid:durableId="1310745365">
    <w:abstractNumId w:val="40"/>
  </w:num>
  <w:num w:numId="3" w16cid:durableId="338043484">
    <w:abstractNumId w:val="33"/>
  </w:num>
  <w:num w:numId="4" w16cid:durableId="447165261">
    <w:abstractNumId w:val="35"/>
  </w:num>
  <w:num w:numId="5" w16cid:durableId="1516116990">
    <w:abstractNumId w:val="30"/>
  </w:num>
  <w:num w:numId="6" w16cid:durableId="290404838">
    <w:abstractNumId w:val="10"/>
  </w:num>
  <w:num w:numId="7" w16cid:durableId="1931692905">
    <w:abstractNumId w:val="32"/>
  </w:num>
  <w:num w:numId="8" w16cid:durableId="1436559660">
    <w:abstractNumId w:val="25"/>
  </w:num>
  <w:num w:numId="9" w16cid:durableId="391394559">
    <w:abstractNumId w:val="3"/>
  </w:num>
  <w:num w:numId="10" w16cid:durableId="1905946008">
    <w:abstractNumId w:val="12"/>
  </w:num>
  <w:num w:numId="11" w16cid:durableId="1148933083">
    <w:abstractNumId w:val="20"/>
  </w:num>
  <w:num w:numId="12" w16cid:durableId="1719665653">
    <w:abstractNumId w:val="38"/>
  </w:num>
  <w:num w:numId="13" w16cid:durableId="2131314356">
    <w:abstractNumId w:val="7"/>
  </w:num>
  <w:num w:numId="14" w16cid:durableId="1668358532">
    <w:abstractNumId w:val="14"/>
  </w:num>
  <w:num w:numId="15" w16cid:durableId="12414830">
    <w:abstractNumId w:val="0"/>
  </w:num>
  <w:num w:numId="16" w16cid:durableId="2013607527">
    <w:abstractNumId w:val="28"/>
  </w:num>
  <w:num w:numId="17" w16cid:durableId="591013531">
    <w:abstractNumId w:val="23"/>
  </w:num>
  <w:num w:numId="18" w16cid:durableId="250893973">
    <w:abstractNumId w:val="39"/>
  </w:num>
  <w:num w:numId="19" w16cid:durableId="1420910424">
    <w:abstractNumId w:val="2"/>
  </w:num>
  <w:num w:numId="20" w16cid:durableId="177161182">
    <w:abstractNumId w:val="31"/>
  </w:num>
  <w:num w:numId="21" w16cid:durableId="1091391600">
    <w:abstractNumId w:val="16"/>
  </w:num>
  <w:num w:numId="22" w16cid:durableId="586038696">
    <w:abstractNumId w:val="4"/>
  </w:num>
  <w:num w:numId="23" w16cid:durableId="547298423">
    <w:abstractNumId w:val="21"/>
  </w:num>
  <w:num w:numId="24" w16cid:durableId="2052458151">
    <w:abstractNumId w:val="36"/>
  </w:num>
  <w:num w:numId="25" w16cid:durableId="644119639">
    <w:abstractNumId w:val="42"/>
  </w:num>
  <w:num w:numId="26" w16cid:durableId="170800522">
    <w:abstractNumId w:val="13"/>
  </w:num>
  <w:num w:numId="27" w16cid:durableId="1822385168">
    <w:abstractNumId w:val="6"/>
  </w:num>
  <w:num w:numId="28" w16cid:durableId="1157266378">
    <w:abstractNumId w:val="27"/>
  </w:num>
  <w:num w:numId="29" w16cid:durableId="998073842">
    <w:abstractNumId w:val="43"/>
  </w:num>
  <w:num w:numId="30" w16cid:durableId="1358896518">
    <w:abstractNumId w:val="47"/>
  </w:num>
  <w:num w:numId="31" w16cid:durableId="1225722112">
    <w:abstractNumId w:val="5"/>
  </w:num>
  <w:num w:numId="32" w16cid:durableId="2068526055">
    <w:abstractNumId w:val="8"/>
  </w:num>
  <w:num w:numId="33" w16cid:durableId="1645698698">
    <w:abstractNumId w:val="24"/>
  </w:num>
  <w:num w:numId="34" w16cid:durableId="723871180">
    <w:abstractNumId w:val="46"/>
  </w:num>
  <w:num w:numId="35" w16cid:durableId="2146849896">
    <w:abstractNumId w:val="22"/>
  </w:num>
  <w:num w:numId="36" w16cid:durableId="1858930255">
    <w:abstractNumId w:val="1"/>
  </w:num>
  <w:num w:numId="37" w16cid:durableId="1190609349">
    <w:abstractNumId w:val="41"/>
  </w:num>
  <w:num w:numId="38" w16cid:durableId="1879005720">
    <w:abstractNumId w:val="44"/>
  </w:num>
  <w:num w:numId="39" w16cid:durableId="892276380">
    <w:abstractNumId w:val="11"/>
  </w:num>
  <w:num w:numId="40" w16cid:durableId="1418330213">
    <w:abstractNumId w:val="34"/>
  </w:num>
  <w:num w:numId="41" w16cid:durableId="1187062745">
    <w:abstractNumId w:val="48"/>
  </w:num>
  <w:num w:numId="42" w16cid:durableId="392125217">
    <w:abstractNumId w:val="26"/>
  </w:num>
  <w:num w:numId="43" w16cid:durableId="536242649">
    <w:abstractNumId w:val="45"/>
  </w:num>
  <w:num w:numId="44" w16cid:durableId="1450709057">
    <w:abstractNumId w:val="29"/>
  </w:num>
  <w:num w:numId="45" w16cid:durableId="1090739390">
    <w:abstractNumId w:val="15"/>
  </w:num>
  <w:num w:numId="46" w16cid:durableId="83305301">
    <w:abstractNumId w:val="18"/>
  </w:num>
  <w:num w:numId="47" w16cid:durableId="622422430">
    <w:abstractNumId w:val="17"/>
  </w:num>
  <w:num w:numId="48" w16cid:durableId="1622683421">
    <w:abstractNumId w:val="9"/>
  </w:num>
  <w:num w:numId="49" w16cid:durableId="142051883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02E7"/>
    <w:rsid w:val="00000520"/>
    <w:rsid w:val="00001243"/>
    <w:rsid w:val="0000145A"/>
    <w:rsid w:val="00002276"/>
    <w:rsid w:val="00002477"/>
    <w:rsid w:val="0000249F"/>
    <w:rsid w:val="00002925"/>
    <w:rsid w:val="00003611"/>
    <w:rsid w:val="00003625"/>
    <w:rsid w:val="000036F5"/>
    <w:rsid w:val="0000433E"/>
    <w:rsid w:val="00004727"/>
    <w:rsid w:val="000058F4"/>
    <w:rsid w:val="00005997"/>
    <w:rsid w:val="00005A2D"/>
    <w:rsid w:val="00005A76"/>
    <w:rsid w:val="0000686F"/>
    <w:rsid w:val="00010183"/>
    <w:rsid w:val="00010C5F"/>
    <w:rsid w:val="000114FB"/>
    <w:rsid w:val="00011803"/>
    <w:rsid w:val="0001187C"/>
    <w:rsid w:val="00012CBF"/>
    <w:rsid w:val="0001358C"/>
    <w:rsid w:val="000142CA"/>
    <w:rsid w:val="000148FC"/>
    <w:rsid w:val="00015094"/>
    <w:rsid w:val="000152D2"/>
    <w:rsid w:val="000159B3"/>
    <w:rsid w:val="0001716C"/>
    <w:rsid w:val="0001730A"/>
    <w:rsid w:val="00017884"/>
    <w:rsid w:val="00020DC7"/>
    <w:rsid w:val="000211AA"/>
    <w:rsid w:val="0002288C"/>
    <w:rsid w:val="000230AA"/>
    <w:rsid w:val="00023CA8"/>
    <w:rsid w:val="00023E3E"/>
    <w:rsid w:val="0002455F"/>
    <w:rsid w:val="00025097"/>
    <w:rsid w:val="00030271"/>
    <w:rsid w:val="00030364"/>
    <w:rsid w:val="00030A4B"/>
    <w:rsid w:val="00030F5E"/>
    <w:rsid w:val="00030F95"/>
    <w:rsid w:val="00031143"/>
    <w:rsid w:val="000313CB"/>
    <w:rsid w:val="00031560"/>
    <w:rsid w:val="00031771"/>
    <w:rsid w:val="00031E2C"/>
    <w:rsid w:val="00032100"/>
    <w:rsid w:val="00032BA6"/>
    <w:rsid w:val="00032E5C"/>
    <w:rsid w:val="00035A6D"/>
    <w:rsid w:val="00040A5A"/>
    <w:rsid w:val="00040D90"/>
    <w:rsid w:val="0004111B"/>
    <w:rsid w:val="00041457"/>
    <w:rsid w:val="00041AF8"/>
    <w:rsid w:val="000427AE"/>
    <w:rsid w:val="00043A30"/>
    <w:rsid w:val="000442D9"/>
    <w:rsid w:val="000449DF"/>
    <w:rsid w:val="00044EE0"/>
    <w:rsid w:val="000451C9"/>
    <w:rsid w:val="000452BA"/>
    <w:rsid w:val="000472F2"/>
    <w:rsid w:val="00047B05"/>
    <w:rsid w:val="00047BAE"/>
    <w:rsid w:val="000505AC"/>
    <w:rsid w:val="000506A5"/>
    <w:rsid w:val="00050AC9"/>
    <w:rsid w:val="00051009"/>
    <w:rsid w:val="00052555"/>
    <w:rsid w:val="000533DC"/>
    <w:rsid w:val="00053FF0"/>
    <w:rsid w:val="000541D8"/>
    <w:rsid w:val="00054B40"/>
    <w:rsid w:val="00054CD7"/>
    <w:rsid w:val="00055B42"/>
    <w:rsid w:val="00055DD7"/>
    <w:rsid w:val="000564B4"/>
    <w:rsid w:val="00056831"/>
    <w:rsid w:val="0005716E"/>
    <w:rsid w:val="00060000"/>
    <w:rsid w:val="000602BB"/>
    <w:rsid w:val="00060B73"/>
    <w:rsid w:val="00060D18"/>
    <w:rsid w:val="000616A3"/>
    <w:rsid w:val="000616CE"/>
    <w:rsid w:val="00061888"/>
    <w:rsid w:val="00061B0F"/>
    <w:rsid w:val="000629DD"/>
    <w:rsid w:val="00062A13"/>
    <w:rsid w:val="00062C8C"/>
    <w:rsid w:val="00063029"/>
    <w:rsid w:val="000632F4"/>
    <w:rsid w:val="0006487C"/>
    <w:rsid w:val="0006526C"/>
    <w:rsid w:val="00065CB2"/>
    <w:rsid w:val="00065CD2"/>
    <w:rsid w:val="000662CD"/>
    <w:rsid w:val="00066BFB"/>
    <w:rsid w:val="00067009"/>
    <w:rsid w:val="0006743A"/>
    <w:rsid w:val="000720E4"/>
    <w:rsid w:val="00072872"/>
    <w:rsid w:val="00073FD2"/>
    <w:rsid w:val="000749D7"/>
    <w:rsid w:val="000755A4"/>
    <w:rsid w:val="00075652"/>
    <w:rsid w:val="0007569E"/>
    <w:rsid w:val="00076FD4"/>
    <w:rsid w:val="00077504"/>
    <w:rsid w:val="00080A9C"/>
    <w:rsid w:val="00081548"/>
    <w:rsid w:val="000819B9"/>
    <w:rsid w:val="00081C7F"/>
    <w:rsid w:val="00081DAD"/>
    <w:rsid w:val="000821A8"/>
    <w:rsid w:val="0008257C"/>
    <w:rsid w:val="000832C7"/>
    <w:rsid w:val="00083787"/>
    <w:rsid w:val="00083D5F"/>
    <w:rsid w:val="00084010"/>
    <w:rsid w:val="00085304"/>
    <w:rsid w:val="00085364"/>
    <w:rsid w:val="000859D9"/>
    <w:rsid w:val="00086FCC"/>
    <w:rsid w:val="000871B4"/>
    <w:rsid w:val="000875D0"/>
    <w:rsid w:val="0009052A"/>
    <w:rsid w:val="000910A6"/>
    <w:rsid w:val="00092228"/>
    <w:rsid w:val="00093015"/>
    <w:rsid w:val="0009349D"/>
    <w:rsid w:val="0009356B"/>
    <w:rsid w:val="00093792"/>
    <w:rsid w:val="000939F6"/>
    <w:rsid w:val="00094FAC"/>
    <w:rsid w:val="000951BB"/>
    <w:rsid w:val="000951C9"/>
    <w:rsid w:val="00096031"/>
    <w:rsid w:val="00096C5F"/>
    <w:rsid w:val="00096DB7"/>
    <w:rsid w:val="00097BF6"/>
    <w:rsid w:val="00097ECD"/>
    <w:rsid w:val="000A022A"/>
    <w:rsid w:val="000A116F"/>
    <w:rsid w:val="000A1ABB"/>
    <w:rsid w:val="000A1BAF"/>
    <w:rsid w:val="000A1BE0"/>
    <w:rsid w:val="000A289D"/>
    <w:rsid w:val="000A323F"/>
    <w:rsid w:val="000A35C9"/>
    <w:rsid w:val="000A366F"/>
    <w:rsid w:val="000A379B"/>
    <w:rsid w:val="000A4790"/>
    <w:rsid w:val="000A5C3E"/>
    <w:rsid w:val="000A5D65"/>
    <w:rsid w:val="000A6230"/>
    <w:rsid w:val="000A673E"/>
    <w:rsid w:val="000A6DB7"/>
    <w:rsid w:val="000A6DE1"/>
    <w:rsid w:val="000A77FC"/>
    <w:rsid w:val="000A7BC2"/>
    <w:rsid w:val="000B023F"/>
    <w:rsid w:val="000B0B61"/>
    <w:rsid w:val="000B108D"/>
    <w:rsid w:val="000B1816"/>
    <w:rsid w:val="000B1C61"/>
    <w:rsid w:val="000B22C5"/>
    <w:rsid w:val="000B3436"/>
    <w:rsid w:val="000B39E9"/>
    <w:rsid w:val="000B4CAD"/>
    <w:rsid w:val="000B5011"/>
    <w:rsid w:val="000B502F"/>
    <w:rsid w:val="000B6729"/>
    <w:rsid w:val="000B6831"/>
    <w:rsid w:val="000B6C0E"/>
    <w:rsid w:val="000B6DC9"/>
    <w:rsid w:val="000B774A"/>
    <w:rsid w:val="000C01B0"/>
    <w:rsid w:val="000C0405"/>
    <w:rsid w:val="000C07EF"/>
    <w:rsid w:val="000C1B50"/>
    <w:rsid w:val="000C32CB"/>
    <w:rsid w:val="000C3604"/>
    <w:rsid w:val="000C3E6B"/>
    <w:rsid w:val="000C45D5"/>
    <w:rsid w:val="000C4EC2"/>
    <w:rsid w:val="000C554B"/>
    <w:rsid w:val="000C5BD4"/>
    <w:rsid w:val="000C648A"/>
    <w:rsid w:val="000C71C3"/>
    <w:rsid w:val="000C755C"/>
    <w:rsid w:val="000D0F9C"/>
    <w:rsid w:val="000D139E"/>
    <w:rsid w:val="000D1D2F"/>
    <w:rsid w:val="000D3E09"/>
    <w:rsid w:val="000D5209"/>
    <w:rsid w:val="000D5571"/>
    <w:rsid w:val="000D5BB5"/>
    <w:rsid w:val="000D695F"/>
    <w:rsid w:val="000D7B38"/>
    <w:rsid w:val="000D7C4A"/>
    <w:rsid w:val="000D7EEA"/>
    <w:rsid w:val="000E02BB"/>
    <w:rsid w:val="000E0341"/>
    <w:rsid w:val="000E16FF"/>
    <w:rsid w:val="000E21F9"/>
    <w:rsid w:val="000E25A5"/>
    <w:rsid w:val="000E2BC3"/>
    <w:rsid w:val="000E35D5"/>
    <w:rsid w:val="000E416B"/>
    <w:rsid w:val="000E431A"/>
    <w:rsid w:val="000E4E62"/>
    <w:rsid w:val="000E4FEF"/>
    <w:rsid w:val="000E5B5C"/>
    <w:rsid w:val="000E62E5"/>
    <w:rsid w:val="000E718F"/>
    <w:rsid w:val="000F024E"/>
    <w:rsid w:val="000F0924"/>
    <w:rsid w:val="000F26D5"/>
    <w:rsid w:val="000F27B8"/>
    <w:rsid w:val="000F27F7"/>
    <w:rsid w:val="000F282F"/>
    <w:rsid w:val="000F284D"/>
    <w:rsid w:val="000F2D86"/>
    <w:rsid w:val="000F351A"/>
    <w:rsid w:val="000F399F"/>
    <w:rsid w:val="000F3B7C"/>
    <w:rsid w:val="000F405F"/>
    <w:rsid w:val="000F40C9"/>
    <w:rsid w:val="000F4536"/>
    <w:rsid w:val="000F4C11"/>
    <w:rsid w:val="000F550A"/>
    <w:rsid w:val="000F6054"/>
    <w:rsid w:val="000F7A7E"/>
    <w:rsid w:val="00100595"/>
    <w:rsid w:val="00101358"/>
    <w:rsid w:val="001017F4"/>
    <w:rsid w:val="00101BC9"/>
    <w:rsid w:val="00101CAD"/>
    <w:rsid w:val="001021D4"/>
    <w:rsid w:val="00102244"/>
    <w:rsid w:val="0010230C"/>
    <w:rsid w:val="00102475"/>
    <w:rsid w:val="001026FA"/>
    <w:rsid w:val="00102762"/>
    <w:rsid w:val="00104BE0"/>
    <w:rsid w:val="00104C0E"/>
    <w:rsid w:val="00105922"/>
    <w:rsid w:val="00105C9F"/>
    <w:rsid w:val="001062D2"/>
    <w:rsid w:val="00106AD0"/>
    <w:rsid w:val="0010774C"/>
    <w:rsid w:val="0011046A"/>
    <w:rsid w:val="00111947"/>
    <w:rsid w:val="00111A5D"/>
    <w:rsid w:val="00111E84"/>
    <w:rsid w:val="00113196"/>
    <w:rsid w:val="00113233"/>
    <w:rsid w:val="00113577"/>
    <w:rsid w:val="00114326"/>
    <w:rsid w:val="001144FD"/>
    <w:rsid w:val="0011598A"/>
    <w:rsid w:val="00115C70"/>
    <w:rsid w:val="00116714"/>
    <w:rsid w:val="0011704B"/>
    <w:rsid w:val="0012009E"/>
    <w:rsid w:val="00120910"/>
    <w:rsid w:val="00122297"/>
    <w:rsid w:val="001222D5"/>
    <w:rsid w:val="001224C8"/>
    <w:rsid w:val="00122816"/>
    <w:rsid w:val="00122EAA"/>
    <w:rsid w:val="00123C52"/>
    <w:rsid w:val="00123D81"/>
    <w:rsid w:val="0012481F"/>
    <w:rsid w:val="00125E0B"/>
    <w:rsid w:val="0013060D"/>
    <w:rsid w:val="00131B38"/>
    <w:rsid w:val="00131E5E"/>
    <w:rsid w:val="001320B4"/>
    <w:rsid w:val="00132174"/>
    <w:rsid w:val="00132D00"/>
    <w:rsid w:val="0013341A"/>
    <w:rsid w:val="001347ED"/>
    <w:rsid w:val="00134A7B"/>
    <w:rsid w:val="001351BB"/>
    <w:rsid w:val="00135897"/>
    <w:rsid w:val="00135F60"/>
    <w:rsid w:val="0013671C"/>
    <w:rsid w:val="00136822"/>
    <w:rsid w:val="0014048E"/>
    <w:rsid w:val="00141408"/>
    <w:rsid w:val="00142D6A"/>
    <w:rsid w:val="00143CD9"/>
    <w:rsid w:val="0014551E"/>
    <w:rsid w:val="00145DBA"/>
    <w:rsid w:val="0014680D"/>
    <w:rsid w:val="001471B1"/>
    <w:rsid w:val="001473BC"/>
    <w:rsid w:val="00147C08"/>
    <w:rsid w:val="00147F0E"/>
    <w:rsid w:val="00150B6E"/>
    <w:rsid w:val="0015120C"/>
    <w:rsid w:val="0015185F"/>
    <w:rsid w:val="00151B55"/>
    <w:rsid w:val="00151EB8"/>
    <w:rsid w:val="0015207A"/>
    <w:rsid w:val="00152977"/>
    <w:rsid w:val="00153B57"/>
    <w:rsid w:val="00153BA4"/>
    <w:rsid w:val="0015411F"/>
    <w:rsid w:val="0015445A"/>
    <w:rsid w:val="00154515"/>
    <w:rsid w:val="001545DE"/>
    <w:rsid w:val="00155843"/>
    <w:rsid w:val="0015655B"/>
    <w:rsid w:val="00161574"/>
    <w:rsid w:val="00161897"/>
    <w:rsid w:val="001621E7"/>
    <w:rsid w:val="0016227E"/>
    <w:rsid w:val="0016258E"/>
    <w:rsid w:val="00162A87"/>
    <w:rsid w:val="00164116"/>
    <w:rsid w:val="00164121"/>
    <w:rsid w:val="00164267"/>
    <w:rsid w:val="00164A55"/>
    <w:rsid w:val="00164CCC"/>
    <w:rsid w:val="001650B8"/>
    <w:rsid w:val="00165A7E"/>
    <w:rsid w:val="00166BBE"/>
    <w:rsid w:val="00170AEB"/>
    <w:rsid w:val="00170E02"/>
    <w:rsid w:val="00170EC7"/>
    <w:rsid w:val="00171B5B"/>
    <w:rsid w:val="00171C09"/>
    <w:rsid w:val="00171E4B"/>
    <w:rsid w:val="001723EF"/>
    <w:rsid w:val="00173006"/>
    <w:rsid w:val="0017316C"/>
    <w:rsid w:val="0017332F"/>
    <w:rsid w:val="00173357"/>
    <w:rsid w:val="00173993"/>
    <w:rsid w:val="00173A34"/>
    <w:rsid w:val="00173D9A"/>
    <w:rsid w:val="001746D1"/>
    <w:rsid w:val="0017517B"/>
    <w:rsid w:val="001758B5"/>
    <w:rsid w:val="00175B00"/>
    <w:rsid w:val="00176799"/>
    <w:rsid w:val="0017764C"/>
    <w:rsid w:val="0017798D"/>
    <w:rsid w:val="001802D1"/>
    <w:rsid w:val="00180557"/>
    <w:rsid w:val="00180584"/>
    <w:rsid w:val="00181FC1"/>
    <w:rsid w:val="0018251D"/>
    <w:rsid w:val="00182AE5"/>
    <w:rsid w:val="00182BFC"/>
    <w:rsid w:val="00182EC5"/>
    <w:rsid w:val="00183F04"/>
    <w:rsid w:val="00183FF7"/>
    <w:rsid w:val="001840A0"/>
    <w:rsid w:val="001843AC"/>
    <w:rsid w:val="00184D82"/>
    <w:rsid w:val="001852F4"/>
    <w:rsid w:val="0018688E"/>
    <w:rsid w:val="001902DE"/>
    <w:rsid w:val="0019082C"/>
    <w:rsid w:val="001909DF"/>
    <w:rsid w:val="00191989"/>
    <w:rsid w:val="00192562"/>
    <w:rsid w:val="001935F0"/>
    <w:rsid w:val="0019419B"/>
    <w:rsid w:val="001949F4"/>
    <w:rsid w:val="00195096"/>
    <w:rsid w:val="001956EC"/>
    <w:rsid w:val="00195CE5"/>
    <w:rsid w:val="00195CF6"/>
    <w:rsid w:val="00195EE0"/>
    <w:rsid w:val="00195FC0"/>
    <w:rsid w:val="001964DB"/>
    <w:rsid w:val="00196FDC"/>
    <w:rsid w:val="001975E8"/>
    <w:rsid w:val="001A10E9"/>
    <w:rsid w:val="001A165A"/>
    <w:rsid w:val="001A252D"/>
    <w:rsid w:val="001A2DD1"/>
    <w:rsid w:val="001A34D2"/>
    <w:rsid w:val="001A34FD"/>
    <w:rsid w:val="001A392D"/>
    <w:rsid w:val="001A39A2"/>
    <w:rsid w:val="001A40BD"/>
    <w:rsid w:val="001A48F8"/>
    <w:rsid w:val="001A48FE"/>
    <w:rsid w:val="001A49B9"/>
    <w:rsid w:val="001A517C"/>
    <w:rsid w:val="001A54DA"/>
    <w:rsid w:val="001A5D44"/>
    <w:rsid w:val="001A7C26"/>
    <w:rsid w:val="001A7CD1"/>
    <w:rsid w:val="001B0C2A"/>
    <w:rsid w:val="001B1988"/>
    <w:rsid w:val="001B1C55"/>
    <w:rsid w:val="001B2B17"/>
    <w:rsid w:val="001B371F"/>
    <w:rsid w:val="001B468C"/>
    <w:rsid w:val="001B4AEF"/>
    <w:rsid w:val="001B4E5C"/>
    <w:rsid w:val="001B511E"/>
    <w:rsid w:val="001B59D0"/>
    <w:rsid w:val="001B5CD8"/>
    <w:rsid w:val="001B5D21"/>
    <w:rsid w:val="001B7194"/>
    <w:rsid w:val="001B7F47"/>
    <w:rsid w:val="001C0FE9"/>
    <w:rsid w:val="001C17C9"/>
    <w:rsid w:val="001C188C"/>
    <w:rsid w:val="001C1D87"/>
    <w:rsid w:val="001C278C"/>
    <w:rsid w:val="001C3FA9"/>
    <w:rsid w:val="001C4554"/>
    <w:rsid w:val="001C45AC"/>
    <w:rsid w:val="001C58FF"/>
    <w:rsid w:val="001C6974"/>
    <w:rsid w:val="001D01BD"/>
    <w:rsid w:val="001D01F0"/>
    <w:rsid w:val="001D064C"/>
    <w:rsid w:val="001D0DFB"/>
    <w:rsid w:val="001D1986"/>
    <w:rsid w:val="001D28C3"/>
    <w:rsid w:val="001D2C7F"/>
    <w:rsid w:val="001D312B"/>
    <w:rsid w:val="001D3538"/>
    <w:rsid w:val="001D3D6D"/>
    <w:rsid w:val="001D5137"/>
    <w:rsid w:val="001D54C0"/>
    <w:rsid w:val="001D6D91"/>
    <w:rsid w:val="001D771E"/>
    <w:rsid w:val="001D7815"/>
    <w:rsid w:val="001E06D1"/>
    <w:rsid w:val="001E12AC"/>
    <w:rsid w:val="001E1943"/>
    <w:rsid w:val="001E23A1"/>
    <w:rsid w:val="001E258B"/>
    <w:rsid w:val="001E2720"/>
    <w:rsid w:val="001E2A35"/>
    <w:rsid w:val="001E2E0D"/>
    <w:rsid w:val="001E3C5B"/>
    <w:rsid w:val="001E3EC3"/>
    <w:rsid w:val="001E4E71"/>
    <w:rsid w:val="001E510E"/>
    <w:rsid w:val="001E553B"/>
    <w:rsid w:val="001E56D5"/>
    <w:rsid w:val="001E5D30"/>
    <w:rsid w:val="001E651F"/>
    <w:rsid w:val="001E678E"/>
    <w:rsid w:val="001E6EE7"/>
    <w:rsid w:val="001E71CF"/>
    <w:rsid w:val="001F28F6"/>
    <w:rsid w:val="001F2CA7"/>
    <w:rsid w:val="001F45FF"/>
    <w:rsid w:val="001F4DE2"/>
    <w:rsid w:val="001F50A9"/>
    <w:rsid w:val="001F5A5C"/>
    <w:rsid w:val="002004DF"/>
    <w:rsid w:val="002006C3"/>
    <w:rsid w:val="00200897"/>
    <w:rsid w:val="00200FE6"/>
    <w:rsid w:val="00201351"/>
    <w:rsid w:val="002020DB"/>
    <w:rsid w:val="002059F4"/>
    <w:rsid w:val="002065A6"/>
    <w:rsid w:val="002065FC"/>
    <w:rsid w:val="0020683D"/>
    <w:rsid w:val="0020751C"/>
    <w:rsid w:val="0020776A"/>
    <w:rsid w:val="00210CD7"/>
    <w:rsid w:val="002110FE"/>
    <w:rsid w:val="00212218"/>
    <w:rsid w:val="00214066"/>
    <w:rsid w:val="002155AC"/>
    <w:rsid w:val="0021573F"/>
    <w:rsid w:val="00216F27"/>
    <w:rsid w:val="00220518"/>
    <w:rsid w:val="002208AD"/>
    <w:rsid w:val="002209A6"/>
    <w:rsid w:val="00220C36"/>
    <w:rsid w:val="002215BF"/>
    <w:rsid w:val="00221C31"/>
    <w:rsid w:val="00221D51"/>
    <w:rsid w:val="00222E71"/>
    <w:rsid w:val="0022305D"/>
    <w:rsid w:val="00223A05"/>
    <w:rsid w:val="00223E0F"/>
    <w:rsid w:val="00223F14"/>
    <w:rsid w:val="00225473"/>
    <w:rsid w:val="002275FA"/>
    <w:rsid w:val="002300ED"/>
    <w:rsid w:val="0023087C"/>
    <w:rsid w:val="00230EEF"/>
    <w:rsid w:val="002313D8"/>
    <w:rsid w:val="00232D3F"/>
    <w:rsid w:val="00232DDC"/>
    <w:rsid w:val="00233303"/>
    <w:rsid w:val="002341CF"/>
    <w:rsid w:val="00234DA9"/>
    <w:rsid w:val="0023533B"/>
    <w:rsid w:val="00235806"/>
    <w:rsid w:val="00235E28"/>
    <w:rsid w:val="00236988"/>
    <w:rsid w:val="00236D27"/>
    <w:rsid w:val="0023752D"/>
    <w:rsid w:val="0023797D"/>
    <w:rsid w:val="00237C44"/>
    <w:rsid w:val="0024044C"/>
    <w:rsid w:val="0024066F"/>
    <w:rsid w:val="0024105E"/>
    <w:rsid w:val="00242835"/>
    <w:rsid w:val="00242955"/>
    <w:rsid w:val="002434F4"/>
    <w:rsid w:val="00243F3A"/>
    <w:rsid w:val="002449AF"/>
    <w:rsid w:val="002451D3"/>
    <w:rsid w:val="00245984"/>
    <w:rsid w:val="00245E02"/>
    <w:rsid w:val="002460FE"/>
    <w:rsid w:val="0024713C"/>
    <w:rsid w:val="002476A1"/>
    <w:rsid w:val="002479D7"/>
    <w:rsid w:val="0025080E"/>
    <w:rsid w:val="0025280B"/>
    <w:rsid w:val="002529FC"/>
    <w:rsid w:val="00252FE5"/>
    <w:rsid w:val="002544C3"/>
    <w:rsid w:val="0025522E"/>
    <w:rsid w:val="00255972"/>
    <w:rsid w:val="00260E6E"/>
    <w:rsid w:val="002613D3"/>
    <w:rsid w:val="002613F0"/>
    <w:rsid w:val="002616A1"/>
    <w:rsid w:val="00262AB8"/>
    <w:rsid w:val="00262D45"/>
    <w:rsid w:val="00262FDF"/>
    <w:rsid w:val="00263366"/>
    <w:rsid w:val="00263372"/>
    <w:rsid w:val="00263E33"/>
    <w:rsid w:val="002657C6"/>
    <w:rsid w:val="002661E3"/>
    <w:rsid w:val="0026633B"/>
    <w:rsid w:val="002665F4"/>
    <w:rsid w:val="00267DFB"/>
    <w:rsid w:val="00270818"/>
    <w:rsid w:val="00270BF8"/>
    <w:rsid w:val="00272998"/>
    <w:rsid w:val="00272D63"/>
    <w:rsid w:val="00273889"/>
    <w:rsid w:val="00273B40"/>
    <w:rsid w:val="002740D2"/>
    <w:rsid w:val="00274C04"/>
    <w:rsid w:val="00276449"/>
    <w:rsid w:val="0027650A"/>
    <w:rsid w:val="00276824"/>
    <w:rsid w:val="00276A71"/>
    <w:rsid w:val="00276E6B"/>
    <w:rsid w:val="002771B3"/>
    <w:rsid w:val="00280C52"/>
    <w:rsid w:val="00281E52"/>
    <w:rsid w:val="00282BF6"/>
    <w:rsid w:val="00283342"/>
    <w:rsid w:val="0028369B"/>
    <w:rsid w:val="002838DB"/>
    <w:rsid w:val="00284866"/>
    <w:rsid w:val="002848ED"/>
    <w:rsid w:val="00284F1E"/>
    <w:rsid w:val="00284F90"/>
    <w:rsid w:val="00285626"/>
    <w:rsid w:val="002856BA"/>
    <w:rsid w:val="00287333"/>
    <w:rsid w:val="00287660"/>
    <w:rsid w:val="00287B08"/>
    <w:rsid w:val="00287FC9"/>
    <w:rsid w:val="002900A8"/>
    <w:rsid w:val="00290CAB"/>
    <w:rsid w:val="00292A1E"/>
    <w:rsid w:val="00293412"/>
    <w:rsid w:val="00293F9B"/>
    <w:rsid w:val="00294B04"/>
    <w:rsid w:val="00295399"/>
    <w:rsid w:val="002954F8"/>
    <w:rsid w:val="00295E32"/>
    <w:rsid w:val="00295FB7"/>
    <w:rsid w:val="002960B4"/>
    <w:rsid w:val="00296BE8"/>
    <w:rsid w:val="00297642"/>
    <w:rsid w:val="002977F3"/>
    <w:rsid w:val="00297CDF"/>
    <w:rsid w:val="002A004A"/>
    <w:rsid w:val="002A05BD"/>
    <w:rsid w:val="002A1D9B"/>
    <w:rsid w:val="002A1DB3"/>
    <w:rsid w:val="002A2735"/>
    <w:rsid w:val="002A34F4"/>
    <w:rsid w:val="002A3A97"/>
    <w:rsid w:val="002A3AEE"/>
    <w:rsid w:val="002A457B"/>
    <w:rsid w:val="002A4631"/>
    <w:rsid w:val="002A57A0"/>
    <w:rsid w:val="002A5F28"/>
    <w:rsid w:val="002A6142"/>
    <w:rsid w:val="002A615F"/>
    <w:rsid w:val="002A6E88"/>
    <w:rsid w:val="002A78E3"/>
    <w:rsid w:val="002B0196"/>
    <w:rsid w:val="002B0776"/>
    <w:rsid w:val="002B091B"/>
    <w:rsid w:val="002B1C50"/>
    <w:rsid w:val="002B2203"/>
    <w:rsid w:val="002B2710"/>
    <w:rsid w:val="002B3C9A"/>
    <w:rsid w:val="002B45E5"/>
    <w:rsid w:val="002B4615"/>
    <w:rsid w:val="002B49AC"/>
    <w:rsid w:val="002B4BEF"/>
    <w:rsid w:val="002B5C65"/>
    <w:rsid w:val="002B5FE3"/>
    <w:rsid w:val="002C0444"/>
    <w:rsid w:val="002C174F"/>
    <w:rsid w:val="002C24F1"/>
    <w:rsid w:val="002C331A"/>
    <w:rsid w:val="002C345B"/>
    <w:rsid w:val="002C3C67"/>
    <w:rsid w:val="002C432A"/>
    <w:rsid w:val="002C4607"/>
    <w:rsid w:val="002C641F"/>
    <w:rsid w:val="002D2A45"/>
    <w:rsid w:val="002D360C"/>
    <w:rsid w:val="002D38BB"/>
    <w:rsid w:val="002D3A78"/>
    <w:rsid w:val="002D4C54"/>
    <w:rsid w:val="002D5578"/>
    <w:rsid w:val="002D58B9"/>
    <w:rsid w:val="002D6734"/>
    <w:rsid w:val="002D6BFA"/>
    <w:rsid w:val="002D6E90"/>
    <w:rsid w:val="002D7081"/>
    <w:rsid w:val="002D76AC"/>
    <w:rsid w:val="002E030C"/>
    <w:rsid w:val="002E1164"/>
    <w:rsid w:val="002E1651"/>
    <w:rsid w:val="002E16FA"/>
    <w:rsid w:val="002E23D4"/>
    <w:rsid w:val="002E2497"/>
    <w:rsid w:val="002E2517"/>
    <w:rsid w:val="002E3474"/>
    <w:rsid w:val="002E4281"/>
    <w:rsid w:val="002E4442"/>
    <w:rsid w:val="002E4EFA"/>
    <w:rsid w:val="002E55B6"/>
    <w:rsid w:val="002E5E15"/>
    <w:rsid w:val="002E60D3"/>
    <w:rsid w:val="002E74F9"/>
    <w:rsid w:val="002E7F89"/>
    <w:rsid w:val="002F0183"/>
    <w:rsid w:val="002F0666"/>
    <w:rsid w:val="002F07C3"/>
    <w:rsid w:val="002F0CD0"/>
    <w:rsid w:val="002F11CD"/>
    <w:rsid w:val="002F2404"/>
    <w:rsid w:val="002F2614"/>
    <w:rsid w:val="002F3A52"/>
    <w:rsid w:val="002F4881"/>
    <w:rsid w:val="002F4932"/>
    <w:rsid w:val="002F4DD2"/>
    <w:rsid w:val="002F66C0"/>
    <w:rsid w:val="002F76F5"/>
    <w:rsid w:val="002F7EB5"/>
    <w:rsid w:val="0030039C"/>
    <w:rsid w:val="003007D3"/>
    <w:rsid w:val="00300D02"/>
    <w:rsid w:val="0030126A"/>
    <w:rsid w:val="00301910"/>
    <w:rsid w:val="003021BE"/>
    <w:rsid w:val="00302F26"/>
    <w:rsid w:val="00303C0B"/>
    <w:rsid w:val="00303D44"/>
    <w:rsid w:val="00303F54"/>
    <w:rsid w:val="00304D00"/>
    <w:rsid w:val="0030642E"/>
    <w:rsid w:val="003102B6"/>
    <w:rsid w:val="00310C02"/>
    <w:rsid w:val="003117B9"/>
    <w:rsid w:val="0031235D"/>
    <w:rsid w:val="00312984"/>
    <w:rsid w:val="00312A14"/>
    <w:rsid w:val="00313E6D"/>
    <w:rsid w:val="00314501"/>
    <w:rsid w:val="00316F16"/>
    <w:rsid w:val="00317863"/>
    <w:rsid w:val="00317AC1"/>
    <w:rsid w:val="00320108"/>
    <w:rsid w:val="0032058B"/>
    <w:rsid w:val="00320810"/>
    <w:rsid w:val="003208B2"/>
    <w:rsid w:val="00320A47"/>
    <w:rsid w:val="00321355"/>
    <w:rsid w:val="00321A42"/>
    <w:rsid w:val="0032206E"/>
    <w:rsid w:val="00322593"/>
    <w:rsid w:val="00322E7D"/>
    <w:rsid w:val="0033134E"/>
    <w:rsid w:val="00331542"/>
    <w:rsid w:val="00333176"/>
    <w:rsid w:val="003333E0"/>
    <w:rsid w:val="00333FFD"/>
    <w:rsid w:val="00334B1F"/>
    <w:rsid w:val="003356FE"/>
    <w:rsid w:val="0033754D"/>
    <w:rsid w:val="00337F69"/>
    <w:rsid w:val="00337FC6"/>
    <w:rsid w:val="00340BF1"/>
    <w:rsid w:val="00340C6E"/>
    <w:rsid w:val="00342183"/>
    <w:rsid w:val="00342DD3"/>
    <w:rsid w:val="0034356A"/>
    <w:rsid w:val="00343A7F"/>
    <w:rsid w:val="00344DB8"/>
    <w:rsid w:val="00345913"/>
    <w:rsid w:val="00345C97"/>
    <w:rsid w:val="0034618C"/>
    <w:rsid w:val="003461C8"/>
    <w:rsid w:val="00346784"/>
    <w:rsid w:val="003467D5"/>
    <w:rsid w:val="00346996"/>
    <w:rsid w:val="003473C0"/>
    <w:rsid w:val="00347C76"/>
    <w:rsid w:val="00350DAD"/>
    <w:rsid w:val="003515FA"/>
    <w:rsid w:val="00353E55"/>
    <w:rsid w:val="00353EEC"/>
    <w:rsid w:val="003548CD"/>
    <w:rsid w:val="003549FE"/>
    <w:rsid w:val="00354B4D"/>
    <w:rsid w:val="00355961"/>
    <w:rsid w:val="003571DB"/>
    <w:rsid w:val="00357230"/>
    <w:rsid w:val="003602A3"/>
    <w:rsid w:val="00361274"/>
    <w:rsid w:val="00361657"/>
    <w:rsid w:val="00361669"/>
    <w:rsid w:val="00363BC4"/>
    <w:rsid w:val="00363E26"/>
    <w:rsid w:val="00364791"/>
    <w:rsid w:val="0036587E"/>
    <w:rsid w:val="00366132"/>
    <w:rsid w:val="003663C5"/>
    <w:rsid w:val="00367386"/>
    <w:rsid w:val="00370B11"/>
    <w:rsid w:val="00370C93"/>
    <w:rsid w:val="00371393"/>
    <w:rsid w:val="0037182F"/>
    <w:rsid w:val="00372348"/>
    <w:rsid w:val="0037299C"/>
    <w:rsid w:val="003729E5"/>
    <w:rsid w:val="00373235"/>
    <w:rsid w:val="00373847"/>
    <w:rsid w:val="00375E1A"/>
    <w:rsid w:val="003762D0"/>
    <w:rsid w:val="0037691B"/>
    <w:rsid w:val="0038030C"/>
    <w:rsid w:val="00380CD5"/>
    <w:rsid w:val="00382D9B"/>
    <w:rsid w:val="00382F11"/>
    <w:rsid w:val="003830F4"/>
    <w:rsid w:val="00383471"/>
    <w:rsid w:val="00383F9F"/>
    <w:rsid w:val="00384353"/>
    <w:rsid w:val="003851DF"/>
    <w:rsid w:val="003857EB"/>
    <w:rsid w:val="00386A85"/>
    <w:rsid w:val="0038744F"/>
    <w:rsid w:val="0038759C"/>
    <w:rsid w:val="003917ED"/>
    <w:rsid w:val="00393E46"/>
    <w:rsid w:val="00394787"/>
    <w:rsid w:val="003948D8"/>
    <w:rsid w:val="0039493C"/>
    <w:rsid w:val="00394CDE"/>
    <w:rsid w:val="0039575D"/>
    <w:rsid w:val="00395BBD"/>
    <w:rsid w:val="00396323"/>
    <w:rsid w:val="00396B7A"/>
    <w:rsid w:val="0039740E"/>
    <w:rsid w:val="00397A0B"/>
    <w:rsid w:val="003A0197"/>
    <w:rsid w:val="003A0AF1"/>
    <w:rsid w:val="003A1256"/>
    <w:rsid w:val="003A1E3B"/>
    <w:rsid w:val="003A237A"/>
    <w:rsid w:val="003A23B4"/>
    <w:rsid w:val="003A269A"/>
    <w:rsid w:val="003A2739"/>
    <w:rsid w:val="003A3744"/>
    <w:rsid w:val="003A37C6"/>
    <w:rsid w:val="003A3987"/>
    <w:rsid w:val="003A3AFF"/>
    <w:rsid w:val="003A3C97"/>
    <w:rsid w:val="003A3EA0"/>
    <w:rsid w:val="003A46C2"/>
    <w:rsid w:val="003A51D7"/>
    <w:rsid w:val="003A5613"/>
    <w:rsid w:val="003A5830"/>
    <w:rsid w:val="003A5A43"/>
    <w:rsid w:val="003A6547"/>
    <w:rsid w:val="003A6AC4"/>
    <w:rsid w:val="003A6C52"/>
    <w:rsid w:val="003A6FB3"/>
    <w:rsid w:val="003A71A2"/>
    <w:rsid w:val="003A7D3B"/>
    <w:rsid w:val="003B0E47"/>
    <w:rsid w:val="003B0EB4"/>
    <w:rsid w:val="003B1FB2"/>
    <w:rsid w:val="003B22D3"/>
    <w:rsid w:val="003B3DAC"/>
    <w:rsid w:val="003B3F54"/>
    <w:rsid w:val="003B407E"/>
    <w:rsid w:val="003B498A"/>
    <w:rsid w:val="003B4F6A"/>
    <w:rsid w:val="003B4FEE"/>
    <w:rsid w:val="003B5205"/>
    <w:rsid w:val="003B5623"/>
    <w:rsid w:val="003B5702"/>
    <w:rsid w:val="003B5838"/>
    <w:rsid w:val="003B6958"/>
    <w:rsid w:val="003B7A50"/>
    <w:rsid w:val="003C0516"/>
    <w:rsid w:val="003C0756"/>
    <w:rsid w:val="003C19DE"/>
    <w:rsid w:val="003C1E8E"/>
    <w:rsid w:val="003C2014"/>
    <w:rsid w:val="003C25CA"/>
    <w:rsid w:val="003C2A88"/>
    <w:rsid w:val="003C2B09"/>
    <w:rsid w:val="003C2DDB"/>
    <w:rsid w:val="003C362C"/>
    <w:rsid w:val="003C36CF"/>
    <w:rsid w:val="003C3B73"/>
    <w:rsid w:val="003C3FCE"/>
    <w:rsid w:val="003C5B5D"/>
    <w:rsid w:val="003C728B"/>
    <w:rsid w:val="003C7AF1"/>
    <w:rsid w:val="003D03B9"/>
    <w:rsid w:val="003D0685"/>
    <w:rsid w:val="003D1249"/>
    <w:rsid w:val="003D1BC0"/>
    <w:rsid w:val="003D1CB9"/>
    <w:rsid w:val="003D23D9"/>
    <w:rsid w:val="003D2EE8"/>
    <w:rsid w:val="003D40FC"/>
    <w:rsid w:val="003D423D"/>
    <w:rsid w:val="003D44CD"/>
    <w:rsid w:val="003D6155"/>
    <w:rsid w:val="003D6921"/>
    <w:rsid w:val="003D6E55"/>
    <w:rsid w:val="003D7B7E"/>
    <w:rsid w:val="003E0AED"/>
    <w:rsid w:val="003E1F73"/>
    <w:rsid w:val="003E237D"/>
    <w:rsid w:val="003E28E5"/>
    <w:rsid w:val="003E294A"/>
    <w:rsid w:val="003E2EA0"/>
    <w:rsid w:val="003E3711"/>
    <w:rsid w:val="003E3BFB"/>
    <w:rsid w:val="003E3C03"/>
    <w:rsid w:val="003E4131"/>
    <w:rsid w:val="003E658F"/>
    <w:rsid w:val="003E7E2B"/>
    <w:rsid w:val="003F023B"/>
    <w:rsid w:val="003F0BAB"/>
    <w:rsid w:val="003F10B5"/>
    <w:rsid w:val="003F1E98"/>
    <w:rsid w:val="003F264E"/>
    <w:rsid w:val="003F45C8"/>
    <w:rsid w:val="003F54C5"/>
    <w:rsid w:val="003F5CD7"/>
    <w:rsid w:val="003F6699"/>
    <w:rsid w:val="003F6B37"/>
    <w:rsid w:val="003F6C03"/>
    <w:rsid w:val="003F7909"/>
    <w:rsid w:val="003F7DAD"/>
    <w:rsid w:val="00400FCB"/>
    <w:rsid w:val="004010EB"/>
    <w:rsid w:val="00404FE1"/>
    <w:rsid w:val="00405236"/>
    <w:rsid w:val="00405631"/>
    <w:rsid w:val="004061D1"/>
    <w:rsid w:val="00406412"/>
    <w:rsid w:val="00406AAB"/>
    <w:rsid w:val="00406FE2"/>
    <w:rsid w:val="004073CD"/>
    <w:rsid w:val="00410851"/>
    <w:rsid w:val="00413479"/>
    <w:rsid w:val="00413E84"/>
    <w:rsid w:val="00414367"/>
    <w:rsid w:val="00414432"/>
    <w:rsid w:val="00414CF4"/>
    <w:rsid w:val="00416BD1"/>
    <w:rsid w:val="00416D80"/>
    <w:rsid w:val="00417687"/>
    <w:rsid w:val="0042001A"/>
    <w:rsid w:val="00421C87"/>
    <w:rsid w:val="00423F15"/>
    <w:rsid w:val="004243A3"/>
    <w:rsid w:val="004248EF"/>
    <w:rsid w:val="00424A14"/>
    <w:rsid w:val="004265DA"/>
    <w:rsid w:val="00426A2F"/>
    <w:rsid w:val="0042721B"/>
    <w:rsid w:val="00427305"/>
    <w:rsid w:val="004273B3"/>
    <w:rsid w:val="004275A9"/>
    <w:rsid w:val="00427D11"/>
    <w:rsid w:val="00427D21"/>
    <w:rsid w:val="004306D1"/>
    <w:rsid w:val="00430779"/>
    <w:rsid w:val="0043085C"/>
    <w:rsid w:val="00431056"/>
    <w:rsid w:val="004311C5"/>
    <w:rsid w:val="00431593"/>
    <w:rsid w:val="00432C3A"/>
    <w:rsid w:val="00433D4B"/>
    <w:rsid w:val="004355CA"/>
    <w:rsid w:val="0043597C"/>
    <w:rsid w:val="004365B1"/>
    <w:rsid w:val="0043790D"/>
    <w:rsid w:val="00437EB8"/>
    <w:rsid w:val="0044007C"/>
    <w:rsid w:val="0044160F"/>
    <w:rsid w:val="00441D74"/>
    <w:rsid w:val="004420D6"/>
    <w:rsid w:val="004426CE"/>
    <w:rsid w:val="00442984"/>
    <w:rsid w:val="00442A4C"/>
    <w:rsid w:val="00442C38"/>
    <w:rsid w:val="00443DEE"/>
    <w:rsid w:val="00444A7E"/>
    <w:rsid w:val="00444B25"/>
    <w:rsid w:val="0044617D"/>
    <w:rsid w:val="004464C3"/>
    <w:rsid w:val="00446814"/>
    <w:rsid w:val="00446A31"/>
    <w:rsid w:val="00446AAB"/>
    <w:rsid w:val="0044709E"/>
    <w:rsid w:val="0044712F"/>
    <w:rsid w:val="0045039B"/>
    <w:rsid w:val="00451897"/>
    <w:rsid w:val="00452030"/>
    <w:rsid w:val="00452C7A"/>
    <w:rsid w:val="004533D8"/>
    <w:rsid w:val="00453534"/>
    <w:rsid w:val="00453A67"/>
    <w:rsid w:val="00453D64"/>
    <w:rsid w:val="00454433"/>
    <w:rsid w:val="00454C50"/>
    <w:rsid w:val="0045533E"/>
    <w:rsid w:val="00455595"/>
    <w:rsid w:val="004559F2"/>
    <w:rsid w:val="00455E63"/>
    <w:rsid w:val="004563EA"/>
    <w:rsid w:val="004564DD"/>
    <w:rsid w:val="00456FD8"/>
    <w:rsid w:val="00457926"/>
    <w:rsid w:val="00457971"/>
    <w:rsid w:val="0046055E"/>
    <w:rsid w:val="00460568"/>
    <w:rsid w:val="00460D79"/>
    <w:rsid w:val="00461FA9"/>
    <w:rsid w:val="004623CF"/>
    <w:rsid w:val="00462846"/>
    <w:rsid w:val="0046404D"/>
    <w:rsid w:val="00464090"/>
    <w:rsid w:val="0046493D"/>
    <w:rsid w:val="004656AB"/>
    <w:rsid w:val="00465B24"/>
    <w:rsid w:val="004661C9"/>
    <w:rsid w:val="00466437"/>
    <w:rsid w:val="00466ED7"/>
    <w:rsid w:val="00467361"/>
    <w:rsid w:val="004673A2"/>
    <w:rsid w:val="00467B72"/>
    <w:rsid w:val="00467BF5"/>
    <w:rsid w:val="004705EE"/>
    <w:rsid w:val="004707AD"/>
    <w:rsid w:val="00471F7C"/>
    <w:rsid w:val="0047290E"/>
    <w:rsid w:val="00472F77"/>
    <w:rsid w:val="004735CC"/>
    <w:rsid w:val="00474994"/>
    <w:rsid w:val="00474B26"/>
    <w:rsid w:val="00475628"/>
    <w:rsid w:val="00477218"/>
    <w:rsid w:val="0047768A"/>
    <w:rsid w:val="00480948"/>
    <w:rsid w:val="00480A16"/>
    <w:rsid w:val="0048139F"/>
    <w:rsid w:val="004814C2"/>
    <w:rsid w:val="00481523"/>
    <w:rsid w:val="0048160A"/>
    <w:rsid w:val="00481917"/>
    <w:rsid w:val="00482FCE"/>
    <w:rsid w:val="00483616"/>
    <w:rsid w:val="00483C5B"/>
    <w:rsid w:val="00483D33"/>
    <w:rsid w:val="00484250"/>
    <w:rsid w:val="004849FD"/>
    <w:rsid w:val="00484AED"/>
    <w:rsid w:val="00484B66"/>
    <w:rsid w:val="0048530A"/>
    <w:rsid w:val="0048563B"/>
    <w:rsid w:val="00485EE1"/>
    <w:rsid w:val="004868BE"/>
    <w:rsid w:val="004874EF"/>
    <w:rsid w:val="00487DC3"/>
    <w:rsid w:val="00490569"/>
    <w:rsid w:val="00490FF7"/>
    <w:rsid w:val="00491467"/>
    <w:rsid w:val="00491985"/>
    <w:rsid w:val="00491A81"/>
    <w:rsid w:val="004920B8"/>
    <w:rsid w:val="00492F87"/>
    <w:rsid w:val="004930F0"/>
    <w:rsid w:val="00494452"/>
    <w:rsid w:val="00494734"/>
    <w:rsid w:val="00494896"/>
    <w:rsid w:val="0049647B"/>
    <w:rsid w:val="004969AE"/>
    <w:rsid w:val="00496D31"/>
    <w:rsid w:val="004A0F7B"/>
    <w:rsid w:val="004A1896"/>
    <w:rsid w:val="004A1ADB"/>
    <w:rsid w:val="004A1DCE"/>
    <w:rsid w:val="004A1EA7"/>
    <w:rsid w:val="004A1F94"/>
    <w:rsid w:val="004A2000"/>
    <w:rsid w:val="004A2564"/>
    <w:rsid w:val="004A34E1"/>
    <w:rsid w:val="004A4145"/>
    <w:rsid w:val="004A41FE"/>
    <w:rsid w:val="004A4457"/>
    <w:rsid w:val="004A455E"/>
    <w:rsid w:val="004A4C67"/>
    <w:rsid w:val="004A5344"/>
    <w:rsid w:val="004A6225"/>
    <w:rsid w:val="004A7561"/>
    <w:rsid w:val="004A7BB0"/>
    <w:rsid w:val="004A7E47"/>
    <w:rsid w:val="004B00BF"/>
    <w:rsid w:val="004B0BF6"/>
    <w:rsid w:val="004B109D"/>
    <w:rsid w:val="004B1249"/>
    <w:rsid w:val="004B14CF"/>
    <w:rsid w:val="004B1872"/>
    <w:rsid w:val="004B1AF4"/>
    <w:rsid w:val="004B2D43"/>
    <w:rsid w:val="004B3608"/>
    <w:rsid w:val="004B3765"/>
    <w:rsid w:val="004B450E"/>
    <w:rsid w:val="004B4564"/>
    <w:rsid w:val="004B4B1C"/>
    <w:rsid w:val="004B5288"/>
    <w:rsid w:val="004B5D76"/>
    <w:rsid w:val="004B645A"/>
    <w:rsid w:val="004B6490"/>
    <w:rsid w:val="004B7726"/>
    <w:rsid w:val="004C086C"/>
    <w:rsid w:val="004C114D"/>
    <w:rsid w:val="004C1777"/>
    <w:rsid w:val="004C187C"/>
    <w:rsid w:val="004C21CA"/>
    <w:rsid w:val="004C21EB"/>
    <w:rsid w:val="004C2D14"/>
    <w:rsid w:val="004C32C8"/>
    <w:rsid w:val="004C3BBB"/>
    <w:rsid w:val="004C3C94"/>
    <w:rsid w:val="004C4ABF"/>
    <w:rsid w:val="004C50FF"/>
    <w:rsid w:val="004C5989"/>
    <w:rsid w:val="004C5B2D"/>
    <w:rsid w:val="004C5CCA"/>
    <w:rsid w:val="004C7566"/>
    <w:rsid w:val="004C7AA4"/>
    <w:rsid w:val="004D14C8"/>
    <w:rsid w:val="004D16F1"/>
    <w:rsid w:val="004D2536"/>
    <w:rsid w:val="004D2D29"/>
    <w:rsid w:val="004D32AB"/>
    <w:rsid w:val="004D39A0"/>
    <w:rsid w:val="004D3C19"/>
    <w:rsid w:val="004D41BD"/>
    <w:rsid w:val="004D6185"/>
    <w:rsid w:val="004D689F"/>
    <w:rsid w:val="004D6A77"/>
    <w:rsid w:val="004D6DF6"/>
    <w:rsid w:val="004D745E"/>
    <w:rsid w:val="004D7761"/>
    <w:rsid w:val="004D7CFB"/>
    <w:rsid w:val="004D7DF0"/>
    <w:rsid w:val="004E07FC"/>
    <w:rsid w:val="004E0876"/>
    <w:rsid w:val="004E10BA"/>
    <w:rsid w:val="004E1134"/>
    <w:rsid w:val="004E12C8"/>
    <w:rsid w:val="004E1513"/>
    <w:rsid w:val="004E18B6"/>
    <w:rsid w:val="004E26B7"/>
    <w:rsid w:val="004E3125"/>
    <w:rsid w:val="004E3674"/>
    <w:rsid w:val="004E4959"/>
    <w:rsid w:val="004E4FB7"/>
    <w:rsid w:val="004E5D95"/>
    <w:rsid w:val="004E7260"/>
    <w:rsid w:val="004E749D"/>
    <w:rsid w:val="004E7A32"/>
    <w:rsid w:val="004E7ACA"/>
    <w:rsid w:val="004E7F7D"/>
    <w:rsid w:val="004F010C"/>
    <w:rsid w:val="004F0FB6"/>
    <w:rsid w:val="004F101A"/>
    <w:rsid w:val="004F1A27"/>
    <w:rsid w:val="004F1C4A"/>
    <w:rsid w:val="004F1FA7"/>
    <w:rsid w:val="004F38E8"/>
    <w:rsid w:val="004F4FC1"/>
    <w:rsid w:val="004F54A5"/>
    <w:rsid w:val="004F5F54"/>
    <w:rsid w:val="004F670F"/>
    <w:rsid w:val="004F7222"/>
    <w:rsid w:val="005002AC"/>
    <w:rsid w:val="005002E3"/>
    <w:rsid w:val="00500812"/>
    <w:rsid w:val="005027AA"/>
    <w:rsid w:val="005027B6"/>
    <w:rsid w:val="0050285E"/>
    <w:rsid w:val="0050298F"/>
    <w:rsid w:val="00502B7E"/>
    <w:rsid w:val="00502F07"/>
    <w:rsid w:val="00503836"/>
    <w:rsid w:val="0050419D"/>
    <w:rsid w:val="005048C0"/>
    <w:rsid w:val="005053E5"/>
    <w:rsid w:val="00505EAB"/>
    <w:rsid w:val="005069B8"/>
    <w:rsid w:val="00506F5C"/>
    <w:rsid w:val="005074CD"/>
    <w:rsid w:val="00507C1E"/>
    <w:rsid w:val="00507FE2"/>
    <w:rsid w:val="0051020A"/>
    <w:rsid w:val="00510495"/>
    <w:rsid w:val="00510B25"/>
    <w:rsid w:val="00512B61"/>
    <w:rsid w:val="00513993"/>
    <w:rsid w:val="00514AE7"/>
    <w:rsid w:val="0051600D"/>
    <w:rsid w:val="00516A51"/>
    <w:rsid w:val="00517BC4"/>
    <w:rsid w:val="0052048F"/>
    <w:rsid w:val="00521319"/>
    <w:rsid w:val="00521D18"/>
    <w:rsid w:val="00522263"/>
    <w:rsid w:val="005235B3"/>
    <w:rsid w:val="005248CE"/>
    <w:rsid w:val="0052505A"/>
    <w:rsid w:val="005252C7"/>
    <w:rsid w:val="005252EE"/>
    <w:rsid w:val="00525BB8"/>
    <w:rsid w:val="00526221"/>
    <w:rsid w:val="005268B2"/>
    <w:rsid w:val="00527230"/>
    <w:rsid w:val="00527CA5"/>
    <w:rsid w:val="005307AD"/>
    <w:rsid w:val="00530F3E"/>
    <w:rsid w:val="00531678"/>
    <w:rsid w:val="00532288"/>
    <w:rsid w:val="005334DB"/>
    <w:rsid w:val="00533A53"/>
    <w:rsid w:val="00533BA4"/>
    <w:rsid w:val="00533F3A"/>
    <w:rsid w:val="00534A4D"/>
    <w:rsid w:val="00535D17"/>
    <w:rsid w:val="00536017"/>
    <w:rsid w:val="00541761"/>
    <w:rsid w:val="00541D64"/>
    <w:rsid w:val="00542572"/>
    <w:rsid w:val="00542593"/>
    <w:rsid w:val="00544BC3"/>
    <w:rsid w:val="00544D77"/>
    <w:rsid w:val="00544E2C"/>
    <w:rsid w:val="00544E80"/>
    <w:rsid w:val="00545326"/>
    <w:rsid w:val="00545342"/>
    <w:rsid w:val="0054574E"/>
    <w:rsid w:val="00546658"/>
    <w:rsid w:val="005466DF"/>
    <w:rsid w:val="00546A9C"/>
    <w:rsid w:val="00547056"/>
    <w:rsid w:val="00547EF0"/>
    <w:rsid w:val="00550F6C"/>
    <w:rsid w:val="005514D1"/>
    <w:rsid w:val="005516F2"/>
    <w:rsid w:val="0055193D"/>
    <w:rsid w:val="00552A9E"/>
    <w:rsid w:val="00554750"/>
    <w:rsid w:val="005549CB"/>
    <w:rsid w:val="00554C14"/>
    <w:rsid w:val="005552A7"/>
    <w:rsid w:val="005558A1"/>
    <w:rsid w:val="00555DC3"/>
    <w:rsid w:val="005568E7"/>
    <w:rsid w:val="00556F57"/>
    <w:rsid w:val="00556F71"/>
    <w:rsid w:val="00557014"/>
    <w:rsid w:val="005570BB"/>
    <w:rsid w:val="00557682"/>
    <w:rsid w:val="0055793D"/>
    <w:rsid w:val="00557DDD"/>
    <w:rsid w:val="0056077D"/>
    <w:rsid w:val="00561A03"/>
    <w:rsid w:val="00561E7A"/>
    <w:rsid w:val="0056301B"/>
    <w:rsid w:val="0056302D"/>
    <w:rsid w:val="00563BF8"/>
    <w:rsid w:val="005640EC"/>
    <w:rsid w:val="005649DD"/>
    <w:rsid w:val="00565F15"/>
    <w:rsid w:val="005660BE"/>
    <w:rsid w:val="005665C8"/>
    <w:rsid w:val="005674DD"/>
    <w:rsid w:val="0057151D"/>
    <w:rsid w:val="005720B9"/>
    <w:rsid w:val="00572706"/>
    <w:rsid w:val="00572B16"/>
    <w:rsid w:val="00572C88"/>
    <w:rsid w:val="00572EB3"/>
    <w:rsid w:val="00573925"/>
    <w:rsid w:val="005748A6"/>
    <w:rsid w:val="00574A44"/>
    <w:rsid w:val="00575D4F"/>
    <w:rsid w:val="00576169"/>
    <w:rsid w:val="00577746"/>
    <w:rsid w:val="00577969"/>
    <w:rsid w:val="00580783"/>
    <w:rsid w:val="00580D21"/>
    <w:rsid w:val="00580F6D"/>
    <w:rsid w:val="005813F5"/>
    <w:rsid w:val="00581889"/>
    <w:rsid w:val="00581D19"/>
    <w:rsid w:val="00582419"/>
    <w:rsid w:val="00582E8C"/>
    <w:rsid w:val="0058417E"/>
    <w:rsid w:val="00586F53"/>
    <w:rsid w:val="00590CFA"/>
    <w:rsid w:val="00591B58"/>
    <w:rsid w:val="00591FA9"/>
    <w:rsid w:val="00592AAD"/>
    <w:rsid w:val="005930A6"/>
    <w:rsid w:val="00593DEC"/>
    <w:rsid w:val="0059488D"/>
    <w:rsid w:val="0059528D"/>
    <w:rsid w:val="00595A5A"/>
    <w:rsid w:val="00595E04"/>
    <w:rsid w:val="005961B1"/>
    <w:rsid w:val="00596316"/>
    <w:rsid w:val="005965D4"/>
    <w:rsid w:val="0059679F"/>
    <w:rsid w:val="00597865"/>
    <w:rsid w:val="005A09A4"/>
    <w:rsid w:val="005A0E6E"/>
    <w:rsid w:val="005A2636"/>
    <w:rsid w:val="005A493D"/>
    <w:rsid w:val="005A4A4A"/>
    <w:rsid w:val="005A77CD"/>
    <w:rsid w:val="005A78BC"/>
    <w:rsid w:val="005A790E"/>
    <w:rsid w:val="005A7AC8"/>
    <w:rsid w:val="005A7CF8"/>
    <w:rsid w:val="005B001E"/>
    <w:rsid w:val="005B2232"/>
    <w:rsid w:val="005B29E2"/>
    <w:rsid w:val="005B313E"/>
    <w:rsid w:val="005B3221"/>
    <w:rsid w:val="005B4310"/>
    <w:rsid w:val="005B4827"/>
    <w:rsid w:val="005B4924"/>
    <w:rsid w:val="005B4B37"/>
    <w:rsid w:val="005B617E"/>
    <w:rsid w:val="005B65CC"/>
    <w:rsid w:val="005B7C94"/>
    <w:rsid w:val="005C08AF"/>
    <w:rsid w:val="005C11F3"/>
    <w:rsid w:val="005C13AD"/>
    <w:rsid w:val="005C1676"/>
    <w:rsid w:val="005C3949"/>
    <w:rsid w:val="005C3C38"/>
    <w:rsid w:val="005C4440"/>
    <w:rsid w:val="005C4605"/>
    <w:rsid w:val="005C50C0"/>
    <w:rsid w:val="005C5209"/>
    <w:rsid w:val="005C61D3"/>
    <w:rsid w:val="005C64E4"/>
    <w:rsid w:val="005C73A0"/>
    <w:rsid w:val="005C776D"/>
    <w:rsid w:val="005D131C"/>
    <w:rsid w:val="005D1C0C"/>
    <w:rsid w:val="005D2969"/>
    <w:rsid w:val="005D30F8"/>
    <w:rsid w:val="005D48D0"/>
    <w:rsid w:val="005D49D8"/>
    <w:rsid w:val="005D4FD8"/>
    <w:rsid w:val="005D6161"/>
    <w:rsid w:val="005D6991"/>
    <w:rsid w:val="005D78F4"/>
    <w:rsid w:val="005E03CF"/>
    <w:rsid w:val="005E249D"/>
    <w:rsid w:val="005E2C2C"/>
    <w:rsid w:val="005E2F16"/>
    <w:rsid w:val="005E3375"/>
    <w:rsid w:val="005E358B"/>
    <w:rsid w:val="005E3955"/>
    <w:rsid w:val="005E3B80"/>
    <w:rsid w:val="005E40DB"/>
    <w:rsid w:val="005E506A"/>
    <w:rsid w:val="005E50CC"/>
    <w:rsid w:val="005E51A3"/>
    <w:rsid w:val="005E5961"/>
    <w:rsid w:val="005E621E"/>
    <w:rsid w:val="005E6694"/>
    <w:rsid w:val="005E6953"/>
    <w:rsid w:val="005E6AD0"/>
    <w:rsid w:val="005E7920"/>
    <w:rsid w:val="005F0F7A"/>
    <w:rsid w:val="005F1295"/>
    <w:rsid w:val="005F1678"/>
    <w:rsid w:val="005F21B0"/>
    <w:rsid w:val="005F2FC3"/>
    <w:rsid w:val="005F333C"/>
    <w:rsid w:val="005F44B1"/>
    <w:rsid w:val="005F5108"/>
    <w:rsid w:val="005F5867"/>
    <w:rsid w:val="005F5A51"/>
    <w:rsid w:val="005F6B0A"/>
    <w:rsid w:val="005F77BF"/>
    <w:rsid w:val="00600004"/>
    <w:rsid w:val="0060014C"/>
    <w:rsid w:val="00600C2A"/>
    <w:rsid w:val="00601963"/>
    <w:rsid w:val="00601C16"/>
    <w:rsid w:val="00602099"/>
    <w:rsid w:val="006020A5"/>
    <w:rsid w:val="00602DF3"/>
    <w:rsid w:val="00602F6E"/>
    <w:rsid w:val="006038EF"/>
    <w:rsid w:val="006039A2"/>
    <w:rsid w:val="006051D2"/>
    <w:rsid w:val="00605CE2"/>
    <w:rsid w:val="006067D2"/>
    <w:rsid w:val="00606FB1"/>
    <w:rsid w:val="0060775C"/>
    <w:rsid w:val="00610B7E"/>
    <w:rsid w:val="00610E06"/>
    <w:rsid w:val="00610F31"/>
    <w:rsid w:val="00611F91"/>
    <w:rsid w:val="00612075"/>
    <w:rsid w:val="006127CF"/>
    <w:rsid w:val="006129C7"/>
    <w:rsid w:val="00612B4D"/>
    <w:rsid w:val="0061318D"/>
    <w:rsid w:val="00613BB2"/>
    <w:rsid w:val="00613C5A"/>
    <w:rsid w:val="006147F7"/>
    <w:rsid w:val="00614D06"/>
    <w:rsid w:val="006152C2"/>
    <w:rsid w:val="00616022"/>
    <w:rsid w:val="0061608A"/>
    <w:rsid w:val="006160F4"/>
    <w:rsid w:val="00616C3B"/>
    <w:rsid w:val="00617F53"/>
    <w:rsid w:val="00620562"/>
    <w:rsid w:val="006205EB"/>
    <w:rsid w:val="0062091D"/>
    <w:rsid w:val="00620A03"/>
    <w:rsid w:val="00620E7B"/>
    <w:rsid w:val="00621EC5"/>
    <w:rsid w:val="006226AC"/>
    <w:rsid w:val="0062292C"/>
    <w:rsid w:val="00623A0C"/>
    <w:rsid w:val="00624C0E"/>
    <w:rsid w:val="0062557A"/>
    <w:rsid w:val="0062643A"/>
    <w:rsid w:val="00626D6A"/>
    <w:rsid w:val="00626DBF"/>
    <w:rsid w:val="00627896"/>
    <w:rsid w:val="00627BBC"/>
    <w:rsid w:val="00630D90"/>
    <w:rsid w:val="00631078"/>
    <w:rsid w:val="006314D6"/>
    <w:rsid w:val="00631AB2"/>
    <w:rsid w:val="00632B87"/>
    <w:rsid w:val="006330A4"/>
    <w:rsid w:val="006331F0"/>
    <w:rsid w:val="0063365E"/>
    <w:rsid w:val="0063383E"/>
    <w:rsid w:val="00633D90"/>
    <w:rsid w:val="00634A97"/>
    <w:rsid w:val="006355E4"/>
    <w:rsid w:val="00635FD5"/>
    <w:rsid w:val="00636BD1"/>
    <w:rsid w:val="00636D91"/>
    <w:rsid w:val="006376F2"/>
    <w:rsid w:val="00637DDA"/>
    <w:rsid w:val="00640301"/>
    <w:rsid w:val="006406E4"/>
    <w:rsid w:val="00640AF0"/>
    <w:rsid w:val="00640D38"/>
    <w:rsid w:val="00640FD4"/>
    <w:rsid w:val="0064283A"/>
    <w:rsid w:val="00643EFB"/>
    <w:rsid w:val="00644293"/>
    <w:rsid w:val="006442F9"/>
    <w:rsid w:val="00644DDF"/>
    <w:rsid w:val="0064585B"/>
    <w:rsid w:val="006461B0"/>
    <w:rsid w:val="00650FA6"/>
    <w:rsid w:val="0065186F"/>
    <w:rsid w:val="00653A82"/>
    <w:rsid w:val="00653A98"/>
    <w:rsid w:val="00653F3D"/>
    <w:rsid w:val="00655B02"/>
    <w:rsid w:val="006562B3"/>
    <w:rsid w:val="006568EB"/>
    <w:rsid w:val="00656BCF"/>
    <w:rsid w:val="006574FC"/>
    <w:rsid w:val="006600D8"/>
    <w:rsid w:val="00660629"/>
    <w:rsid w:val="00660F53"/>
    <w:rsid w:val="006611F2"/>
    <w:rsid w:val="006618AC"/>
    <w:rsid w:val="00662DB8"/>
    <w:rsid w:val="006636CA"/>
    <w:rsid w:val="00663E7E"/>
    <w:rsid w:val="00665058"/>
    <w:rsid w:val="006656B9"/>
    <w:rsid w:val="00666328"/>
    <w:rsid w:val="006663C6"/>
    <w:rsid w:val="006664CA"/>
    <w:rsid w:val="0067077E"/>
    <w:rsid w:val="00670D6D"/>
    <w:rsid w:val="006718B1"/>
    <w:rsid w:val="00672E4B"/>
    <w:rsid w:val="00675640"/>
    <w:rsid w:val="0067583F"/>
    <w:rsid w:val="00676013"/>
    <w:rsid w:val="006766A4"/>
    <w:rsid w:val="006776C6"/>
    <w:rsid w:val="00677BD5"/>
    <w:rsid w:val="006801C9"/>
    <w:rsid w:val="00680656"/>
    <w:rsid w:val="00680EE6"/>
    <w:rsid w:val="0068151F"/>
    <w:rsid w:val="0068152A"/>
    <w:rsid w:val="0068204B"/>
    <w:rsid w:val="006821B0"/>
    <w:rsid w:val="00682D6A"/>
    <w:rsid w:val="00683676"/>
    <w:rsid w:val="00684257"/>
    <w:rsid w:val="00685031"/>
    <w:rsid w:val="0068521F"/>
    <w:rsid w:val="0068592B"/>
    <w:rsid w:val="00685CB2"/>
    <w:rsid w:val="00686060"/>
    <w:rsid w:val="006863CB"/>
    <w:rsid w:val="00687A1D"/>
    <w:rsid w:val="00687C96"/>
    <w:rsid w:val="00692629"/>
    <w:rsid w:val="0069341A"/>
    <w:rsid w:val="006943E2"/>
    <w:rsid w:val="00694FC1"/>
    <w:rsid w:val="006955C6"/>
    <w:rsid w:val="00696906"/>
    <w:rsid w:val="00697CD2"/>
    <w:rsid w:val="006A18E1"/>
    <w:rsid w:val="006A2083"/>
    <w:rsid w:val="006A3018"/>
    <w:rsid w:val="006A418B"/>
    <w:rsid w:val="006A4F89"/>
    <w:rsid w:val="006A51F9"/>
    <w:rsid w:val="006A7182"/>
    <w:rsid w:val="006A76FA"/>
    <w:rsid w:val="006A77D9"/>
    <w:rsid w:val="006B1CE4"/>
    <w:rsid w:val="006B2549"/>
    <w:rsid w:val="006B46A9"/>
    <w:rsid w:val="006B480C"/>
    <w:rsid w:val="006B4A85"/>
    <w:rsid w:val="006B50AA"/>
    <w:rsid w:val="006B7E18"/>
    <w:rsid w:val="006B7F7B"/>
    <w:rsid w:val="006C2066"/>
    <w:rsid w:val="006C2980"/>
    <w:rsid w:val="006C5A31"/>
    <w:rsid w:val="006C66DF"/>
    <w:rsid w:val="006C7D38"/>
    <w:rsid w:val="006D0EF9"/>
    <w:rsid w:val="006D2C2B"/>
    <w:rsid w:val="006D2F31"/>
    <w:rsid w:val="006D3CA5"/>
    <w:rsid w:val="006D4B8F"/>
    <w:rsid w:val="006D4D6F"/>
    <w:rsid w:val="006D543F"/>
    <w:rsid w:val="006D5F71"/>
    <w:rsid w:val="006D61F2"/>
    <w:rsid w:val="006E0732"/>
    <w:rsid w:val="006E088A"/>
    <w:rsid w:val="006E161D"/>
    <w:rsid w:val="006E462D"/>
    <w:rsid w:val="006E4B1A"/>
    <w:rsid w:val="006E4B7F"/>
    <w:rsid w:val="006E4EE7"/>
    <w:rsid w:val="006E5119"/>
    <w:rsid w:val="006E5143"/>
    <w:rsid w:val="006E5707"/>
    <w:rsid w:val="006E5CA9"/>
    <w:rsid w:val="006E62AD"/>
    <w:rsid w:val="006E6326"/>
    <w:rsid w:val="006E67CE"/>
    <w:rsid w:val="006E6DD4"/>
    <w:rsid w:val="006E78E8"/>
    <w:rsid w:val="006F0244"/>
    <w:rsid w:val="006F0862"/>
    <w:rsid w:val="006F25C3"/>
    <w:rsid w:val="006F2E20"/>
    <w:rsid w:val="006F3EF3"/>
    <w:rsid w:val="006F45F7"/>
    <w:rsid w:val="006F4661"/>
    <w:rsid w:val="006F4674"/>
    <w:rsid w:val="006F4D7A"/>
    <w:rsid w:val="006F514F"/>
    <w:rsid w:val="006F5369"/>
    <w:rsid w:val="006F53BF"/>
    <w:rsid w:val="006F5A3F"/>
    <w:rsid w:val="006F5EA1"/>
    <w:rsid w:val="006F6288"/>
    <w:rsid w:val="006F63EF"/>
    <w:rsid w:val="006F699E"/>
    <w:rsid w:val="006F7AC9"/>
    <w:rsid w:val="006F7BBB"/>
    <w:rsid w:val="00700312"/>
    <w:rsid w:val="007005D6"/>
    <w:rsid w:val="0070144C"/>
    <w:rsid w:val="0070145F"/>
    <w:rsid w:val="00701F32"/>
    <w:rsid w:val="00701FA6"/>
    <w:rsid w:val="007040CA"/>
    <w:rsid w:val="00704209"/>
    <w:rsid w:val="0070486D"/>
    <w:rsid w:val="0070560B"/>
    <w:rsid w:val="007057AD"/>
    <w:rsid w:val="00705870"/>
    <w:rsid w:val="0070626D"/>
    <w:rsid w:val="00706DE8"/>
    <w:rsid w:val="00707360"/>
    <w:rsid w:val="007103A9"/>
    <w:rsid w:val="00710C2D"/>
    <w:rsid w:val="00710CBD"/>
    <w:rsid w:val="00710FE0"/>
    <w:rsid w:val="0071248F"/>
    <w:rsid w:val="0071254C"/>
    <w:rsid w:val="0071278D"/>
    <w:rsid w:val="00712E97"/>
    <w:rsid w:val="007137CD"/>
    <w:rsid w:val="00714310"/>
    <w:rsid w:val="00714AAE"/>
    <w:rsid w:val="007158AB"/>
    <w:rsid w:val="00715A89"/>
    <w:rsid w:val="00716858"/>
    <w:rsid w:val="00717241"/>
    <w:rsid w:val="0071748A"/>
    <w:rsid w:val="00717923"/>
    <w:rsid w:val="00720D91"/>
    <w:rsid w:val="00721FDA"/>
    <w:rsid w:val="00723D21"/>
    <w:rsid w:val="00723E3D"/>
    <w:rsid w:val="00724B98"/>
    <w:rsid w:val="00724DE8"/>
    <w:rsid w:val="00724ED9"/>
    <w:rsid w:val="00724F7F"/>
    <w:rsid w:val="00725DC1"/>
    <w:rsid w:val="00730574"/>
    <w:rsid w:val="00730C4D"/>
    <w:rsid w:val="00730FF1"/>
    <w:rsid w:val="007313E4"/>
    <w:rsid w:val="0073165C"/>
    <w:rsid w:val="00732492"/>
    <w:rsid w:val="007325AE"/>
    <w:rsid w:val="007337E0"/>
    <w:rsid w:val="00734123"/>
    <w:rsid w:val="0073422C"/>
    <w:rsid w:val="007345E8"/>
    <w:rsid w:val="00734F49"/>
    <w:rsid w:val="0073509D"/>
    <w:rsid w:val="00735296"/>
    <w:rsid w:val="0073533F"/>
    <w:rsid w:val="007353D1"/>
    <w:rsid w:val="00735665"/>
    <w:rsid w:val="00735877"/>
    <w:rsid w:val="007365D3"/>
    <w:rsid w:val="00736BC5"/>
    <w:rsid w:val="0074092F"/>
    <w:rsid w:val="00740BD4"/>
    <w:rsid w:val="00740C4E"/>
    <w:rsid w:val="0074104D"/>
    <w:rsid w:val="00741A9A"/>
    <w:rsid w:val="00741AC9"/>
    <w:rsid w:val="00742A26"/>
    <w:rsid w:val="00743B45"/>
    <w:rsid w:val="00743DF7"/>
    <w:rsid w:val="00745082"/>
    <w:rsid w:val="00745687"/>
    <w:rsid w:val="00745980"/>
    <w:rsid w:val="007459D3"/>
    <w:rsid w:val="00745E07"/>
    <w:rsid w:val="0074607D"/>
    <w:rsid w:val="007469DB"/>
    <w:rsid w:val="00746A19"/>
    <w:rsid w:val="00747F0F"/>
    <w:rsid w:val="007504EE"/>
    <w:rsid w:val="00751447"/>
    <w:rsid w:val="007514A1"/>
    <w:rsid w:val="00751A36"/>
    <w:rsid w:val="00752377"/>
    <w:rsid w:val="00752846"/>
    <w:rsid w:val="007529A3"/>
    <w:rsid w:val="00753503"/>
    <w:rsid w:val="0075390F"/>
    <w:rsid w:val="00754443"/>
    <w:rsid w:val="0075505E"/>
    <w:rsid w:val="0075632D"/>
    <w:rsid w:val="00756829"/>
    <w:rsid w:val="00756EF0"/>
    <w:rsid w:val="007570AB"/>
    <w:rsid w:val="00760556"/>
    <w:rsid w:val="00760961"/>
    <w:rsid w:val="00760F24"/>
    <w:rsid w:val="007614DB"/>
    <w:rsid w:val="00762790"/>
    <w:rsid w:val="00763C9F"/>
    <w:rsid w:val="0076428A"/>
    <w:rsid w:val="00764D4E"/>
    <w:rsid w:val="00764F06"/>
    <w:rsid w:val="00765B86"/>
    <w:rsid w:val="007668AB"/>
    <w:rsid w:val="007679BD"/>
    <w:rsid w:val="0077152B"/>
    <w:rsid w:val="00771F87"/>
    <w:rsid w:val="00772BBE"/>
    <w:rsid w:val="00773162"/>
    <w:rsid w:val="00774336"/>
    <w:rsid w:val="0077471E"/>
    <w:rsid w:val="0077476E"/>
    <w:rsid w:val="00775BA6"/>
    <w:rsid w:val="00775FC4"/>
    <w:rsid w:val="00777EB0"/>
    <w:rsid w:val="00777EDF"/>
    <w:rsid w:val="00777F38"/>
    <w:rsid w:val="00780DAB"/>
    <w:rsid w:val="00781B54"/>
    <w:rsid w:val="00781EF1"/>
    <w:rsid w:val="007820AC"/>
    <w:rsid w:val="007825FE"/>
    <w:rsid w:val="007828BC"/>
    <w:rsid w:val="007832DC"/>
    <w:rsid w:val="00783C17"/>
    <w:rsid w:val="007844B1"/>
    <w:rsid w:val="00784919"/>
    <w:rsid w:val="00784F06"/>
    <w:rsid w:val="0078597D"/>
    <w:rsid w:val="00785A45"/>
    <w:rsid w:val="00786AA6"/>
    <w:rsid w:val="0078762B"/>
    <w:rsid w:val="00787A0F"/>
    <w:rsid w:val="007913BE"/>
    <w:rsid w:val="00791B69"/>
    <w:rsid w:val="00791D71"/>
    <w:rsid w:val="00791DFF"/>
    <w:rsid w:val="007924FF"/>
    <w:rsid w:val="007928B6"/>
    <w:rsid w:val="00792F75"/>
    <w:rsid w:val="007937DB"/>
    <w:rsid w:val="007940B0"/>
    <w:rsid w:val="007941BE"/>
    <w:rsid w:val="00794724"/>
    <w:rsid w:val="00796221"/>
    <w:rsid w:val="00796504"/>
    <w:rsid w:val="00796870"/>
    <w:rsid w:val="00796CC1"/>
    <w:rsid w:val="007976D1"/>
    <w:rsid w:val="007A0056"/>
    <w:rsid w:val="007A15A2"/>
    <w:rsid w:val="007A1A27"/>
    <w:rsid w:val="007A2F12"/>
    <w:rsid w:val="007A3172"/>
    <w:rsid w:val="007A3268"/>
    <w:rsid w:val="007A32DF"/>
    <w:rsid w:val="007A659B"/>
    <w:rsid w:val="007A69E7"/>
    <w:rsid w:val="007A7BE9"/>
    <w:rsid w:val="007B0B11"/>
    <w:rsid w:val="007B1210"/>
    <w:rsid w:val="007B1336"/>
    <w:rsid w:val="007B1D53"/>
    <w:rsid w:val="007B2FE9"/>
    <w:rsid w:val="007B3360"/>
    <w:rsid w:val="007B3969"/>
    <w:rsid w:val="007B3B69"/>
    <w:rsid w:val="007B3F32"/>
    <w:rsid w:val="007B43F3"/>
    <w:rsid w:val="007B45E3"/>
    <w:rsid w:val="007B4ED5"/>
    <w:rsid w:val="007B6275"/>
    <w:rsid w:val="007B740F"/>
    <w:rsid w:val="007B7973"/>
    <w:rsid w:val="007C10BF"/>
    <w:rsid w:val="007C146B"/>
    <w:rsid w:val="007C149F"/>
    <w:rsid w:val="007C1674"/>
    <w:rsid w:val="007C17EF"/>
    <w:rsid w:val="007C2839"/>
    <w:rsid w:val="007C2CC1"/>
    <w:rsid w:val="007C2F50"/>
    <w:rsid w:val="007C37CA"/>
    <w:rsid w:val="007C44B4"/>
    <w:rsid w:val="007C4AC8"/>
    <w:rsid w:val="007C74CC"/>
    <w:rsid w:val="007C7B19"/>
    <w:rsid w:val="007C7CFD"/>
    <w:rsid w:val="007D03FD"/>
    <w:rsid w:val="007D0E41"/>
    <w:rsid w:val="007D0F07"/>
    <w:rsid w:val="007D1087"/>
    <w:rsid w:val="007D10A8"/>
    <w:rsid w:val="007D10BA"/>
    <w:rsid w:val="007D129B"/>
    <w:rsid w:val="007D181B"/>
    <w:rsid w:val="007D1D53"/>
    <w:rsid w:val="007D2499"/>
    <w:rsid w:val="007D3427"/>
    <w:rsid w:val="007D34C0"/>
    <w:rsid w:val="007D36D4"/>
    <w:rsid w:val="007D3C64"/>
    <w:rsid w:val="007D3C91"/>
    <w:rsid w:val="007D3F55"/>
    <w:rsid w:val="007D4256"/>
    <w:rsid w:val="007D7D6D"/>
    <w:rsid w:val="007D7E31"/>
    <w:rsid w:val="007E1BA2"/>
    <w:rsid w:val="007E1F61"/>
    <w:rsid w:val="007E29F9"/>
    <w:rsid w:val="007E398C"/>
    <w:rsid w:val="007E4151"/>
    <w:rsid w:val="007E4E8F"/>
    <w:rsid w:val="007E54BC"/>
    <w:rsid w:val="007E5C03"/>
    <w:rsid w:val="007E6687"/>
    <w:rsid w:val="007E765D"/>
    <w:rsid w:val="007E771D"/>
    <w:rsid w:val="007E7C22"/>
    <w:rsid w:val="007E7C70"/>
    <w:rsid w:val="007F138F"/>
    <w:rsid w:val="007F363E"/>
    <w:rsid w:val="007F3DFA"/>
    <w:rsid w:val="007F40CC"/>
    <w:rsid w:val="007F4271"/>
    <w:rsid w:val="007F45AE"/>
    <w:rsid w:val="007F5046"/>
    <w:rsid w:val="007F5187"/>
    <w:rsid w:val="007F536F"/>
    <w:rsid w:val="007F56E4"/>
    <w:rsid w:val="007F584B"/>
    <w:rsid w:val="007F5F50"/>
    <w:rsid w:val="007F608A"/>
    <w:rsid w:val="007F68EA"/>
    <w:rsid w:val="007F75F8"/>
    <w:rsid w:val="007F78ED"/>
    <w:rsid w:val="0080044B"/>
    <w:rsid w:val="0080049D"/>
    <w:rsid w:val="00801B57"/>
    <w:rsid w:val="00802455"/>
    <w:rsid w:val="00803146"/>
    <w:rsid w:val="00803E97"/>
    <w:rsid w:val="00804612"/>
    <w:rsid w:val="0080572D"/>
    <w:rsid w:val="00805BD4"/>
    <w:rsid w:val="00805F8D"/>
    <w:rsid w:val="0080611D"/>
    <w:rsid w:val="008076D2"/>
    <w:rsid w:val="008079D4"/>
    <w:rsid w:val="0081077B"/>
    <w:rsid w:val="00810C3D"/>
    <w:rsid w:val="00812550"/>
    <w:rsid w:val="00812889"/>
    <w:rsid w:val="008135D2"/>
    <w:rsid w:val="00813FC1"/>
    <w:rsid w:val="00815991"/>
    <w:rsid w:val="008165EC"/>
    <w:rsid w:val="00820B36"/>
    <w:rsid w:val="00820C08"/>
    <w:rsid w:val="00820E78"/>
    <w:rsid w:val="00820FBE"/>
    <w:rsid w:val="0082123C"/>
    <w:rsid w:val="008218CF"/>
    <w:rsid w:val="00821C59"/>
    <w:rsid w:val="008222EE"/>
    <w:rsid w:val="00822931"/>
    <w:rsid w:val="00823116"/>
    <w:rsid w:val="00823D68"/>
    <w:rsid w:val="008252D2"/>
    <w:rsid w:val="00825847"/>
    <w:rsid w:val="00825EE7"/>
    <w:rsid w:val="00826252"/>
    <w:rsid w:val="008262D7"/>
    <w:rsid w:val="00826A7B"/>
    <w:rsid w:val="008271C3"/>
    <w:rsid w:val="0082752E"/>
    <w:rsid w:val="00827653"/>
    <w:rsid w:val="0082767B"/>
    <w:rsid w:val="00830A3C"/>
    <w:rsid w:val="0083121D"/>
    <w:rsid w:val="008316EB"/>
    <w:rsid w:val="0083179B"/>
    <w:rsid w:val="008326C9"/>
    <w:rsid w:val="0083334F"/>
    <w:rsid w:val="00833FB1"/>
    <w:rsid w:val="00834188"/>
    <w:rsid w:val="00834535"/>
    <w:rsid w:val="00834BD7"/>
    <w:rsid w:val="00835D94"/>
    <w:rsid w:val="00836966"/>
    <w:rsid w:val="00836C94"/>
    <w:rsid w:val="0083716D"/>
    <w:rsid w:val="0084068A"/>
    <w:rsid w:val="00840DFC"/>
    <w:rsid w:val="0084133A"/>
    <w:rsid w:val="0084175A"/>
    <w:rsid w:val="0084184B"/>
    <w:rsid w:val="008424CB"/>
    <w:rsid w:val="00842B45"/>
    <w:rsid w:val="00844DCE"/>
    <w:rsid w:val="00844F3D"/>
    <w:rsid w:val="0084565A"/>
    <w:rsid w:val="00846280"/>
    <w:rsid w:val="00846434"/>
    <w:rsid w:val="00846E92"/>
    <w:rsid w:val="0084747D"/>
    <w:rsid w:val="00847528"/>
    <w:rsid w:val="0085001F"/>
    <w:rsid w:val="00850ABC"/>
    <w:rsid w:val="008510D3"/>
    <w:rsid w:val="008512AC"/>
    <w:rsid w:val="00851EC0"/>
    <w:rsid w:val="008537C4"/>
    <w:rsid w:val="00855703"/>
    <w:rsid w:val="0085598F"/>
    <w:rsid w:val="00855AC5"/>
    <w:rsid w:val="00855D7B"/>
    <w:rsid w:val="008564B0"/>
    <w:rsid w:val="0085788A"/>
    <w:rsid w:val="0085797A"/>
    <w:rsid w:val="00860ED6"/>
    <w:rsid w:val="00862269"/>
    <w:rsid w:val="00862322"/>
    <w:rsid w:val="00863876"/>
    <w:rsid w:val="00863A64"/>
    <w:rsid w:val="00863B66"/>
    <w:rsid w:val="00863F6A"/>
    <w:rsid w:val="008645F4"/>
    <w:rsid w:val="00864664"/>
    <w:rsid w:val="0086582A"/>
    <w:rsid w:val="00866C92"/>
    <w:rsid w:val="008670A3"/>
    <w:rsid w:val="00867F7D"/>
    <w:rsid w:val="008701B4"/>
    <w:rsid w:val="0087087C"/>
    <w:rsid w:val="0087094A"/>
    <w:rsid w:val="00871551"/>
    <w:rsid w:val="008738C5"/>
    <w:rsid w:val="00873E4E"/>
    <w:rsid w:val="00873EA1"/>
    <w:rsid w:val="008744EF"/>
    <w:rsid w:val="00874A8A"/>
    <w:rsid w:val="00874D8C"/>
    <w:rsid w:val="0087566D"/>
    <w:rsid w:val="00875C6F"/>
    <w:rsid w:val="0087611E"/>
    <w:rsid w:val="0087670F"/>
    <w:rsid w:val="008769F2"/>
    <w:rsid w:val="00877827"/>
    <w:rsid w:val="00877CD7"/>
    <w:rsid w:val="00877FB9"/>
    <w:rsid w:val="0088029F"/>
    <w:rsid w:val="00880323"/>
    <w:rsid w:val="00880756"/>
    <w:rsid w:val="00880A70"/>
    <w:rsid w:val="008816E8"/>
    <w:rsid w:val="0088170F"/>
    <w:rsid w:val="00881B56"/>
    <w:rsid w:val="008823A1"/>
    <w:rsid w:val="00882C96"/>
    <w:rsid w:val="00882DAF"/>
    <w:rsid w:val="00885669"/>
    <w:rsid w:val="008857D6"/>
    <w:rsid w:val="00885D9B"/>
    <w:rsid w:val="008860F9"/>
    <w:rsid w:val="0088612C"/>
    <w:rsid w:val="00887744"/>
    <w:rsid w:val="00887F00"/>
    <w:rsid w:val="00891740"/>
    <w:rsid w:val="0089333A"/>
    <w:rsid w:val="00893D10"/>
    <w:rsid w:val="00893EA9"/>
    <w:rsid w:val="008956B7"/>
    <w:rsid w:val="00896272"/>
    <w:rsid w:val="008976A5"/>
    <w:rsid w:val="00897732"/>
    <w:rsid w:val="0089783C"/>
    <w:rsid w:val="008A0E6C"/>
    <w:rsid w:val="008A1624"/>
    <w:rsid w:val="008A18EF"/>
    <w:rsid w:val="008A2809"/>
    <w:rsid w:val="008A3CB4"/>
    <w:rsid w:val="008A3CD7"/>
    <w:rsid w:val="008A4B91"/>
    <w:rsid w:val="008A5080"/>
    <w:rsid w:val="008A51CE"/>
    <w:rsid w:val="008A5AEC"/>
    <w:rsid w:val="008A69C4"/>
    <w:rsid w:val="008A6FD2"/>
    <w:rsid w:val="008A7E0C"/>
    <w:rsid w:val="008B0D2D"/>
    <w:rsid w:val="008B1E16"/>
    <w:rsid w:val="008B1EFD"/>
    <w:rsid w:val="008B2288"/>
    <w:rsid w:val="008B2BAA"/>
    <w:rsid w:val="008B2D53"/>
    <w:rsid w:val="008B31D7"/>
    <w:rsid w:val="008B3A8F"/>
    <w:rsid w:val="008B438D"/>
    <w:rsid w:val="008B46D2"/>
    <w:rsid w:val="008B4844"/>
    <w:rsid w:val="008B590B"/>
    <w:rsid w:val="008B5BBF"/>
    <w:rsid w:val="008B6597"/>
    <w:rsid w:val="008B6994"/>
    <w:rsid w:val="008B7A34"/>
    <w:rsid w:val="008C073D"/>
    <w:rsid w:val="008C0B75"/>
    <w:rsid w:val="008C0C60"/>
    <w:rsid w:val="008C12B1"/>
    <w:rsid w:val="008C17E2"/>
    <w:rsid w:val="008C19D8"/>
    <w:rsid w:val="008C1D4C"/>
    <w:rsid w:val="008C45A3"/>
    <w:rsid w:val="008C46A7"/>
    <w:rsid w:val="008C4A84"/>
    <w:rsid w:val="008C4D3B"/>
    <w:rsid w:val="008C4FB2"/>
    <w:rsid w:val="008C5C85"/>
    <w:rsid w:val="008C7393"/>
    <w:rsid w:val="008C75EC"/>
    <w:rsid w:val="008C78B4"/>
    <w:rsid w:val="008D0134"/>
    <w:rsid w:val="008D0496"/>
    <w:rsid w:val="008D04E1"/>
    <w:rsid w:val="008D1211"/>
    <w:rsid w:val="008D14E4"/>
    <w:rsid w:val="008D1CFB"/>
    <w:rsid w:val="008D3741"/>
    <w:rsid w:val="008D39A9"/>
    <w:rsid w:val="008D4E7B"/>
    <w:rsid w:val="008D508A"/>
    <w:rsid w:val="008D50AC"/>
    <w:rsid w:val="008D6795"/>
    <w:rsid w:val="008D6A30"/>
    <w:rsid w:val="008D6DB7"/>
    <w:rsid w:val="008E0744"/>
    <w:rsid w:val="008E0AD6"/>
    <w:rsid w:val="008E0B72"/>
    <w:rsid w:val="008E0E2C"/>
    <w:rsid w:val="008E0EBB"/>
    <w:rsid w:val="008E148D"/>
    <w:rsid w:val="008E2B7F"/>
    <w:rsid w:val="008E2C87"/>
    <w:rsid w:val="008E5055"/>
    <w:rsid w:val="008E657B"/>
    <w:rsid w:val="008E799B"/>
    <w:rsid w:val="008E7A4C"/>
    <w:rsid w:val="008E7B3F"/>
    <w:rsid w:val="008F0652"/>
    <w:rsid w:val="008F08C6"/>
    <w:rsid w:val="008F0CBA"/>
    <w:rsid w:val="008F1133"/>
    <w:rsid w:val="008F19A8"/>
    <w:rsid w:val="008F1AC0"/>
    <w:rsid w:val="008F2D9F"/>
    <w:rsid w:val="008F2E90"/>
    <w:rsid w:val="008F3B14"/>
    <w:rsid w:val="008F4736"/>
    <w:rsid w:val="008F4FAF"/>
    <w:rsid w:val="008F598B"/>
    <w:rsid w:val="008F5E7E"/>
    <w:rsid w:val="008F7130"/>
    <w:rsid w:val="008F7137"/>
    <w:rsid w:val="008F73D5"/>
    <w:rsid w:val="00900832"/>
    <w:rsid w:val="00901866"/>
    <w:rsid w:val="00902136"/>
    <w:rsid w:val="00903B4F"/>
    <w:rsid w:val="00903EE5"/>
    <w:rsid w:val="009050FD"/>
    <w:rsid w:val="0090511F"/>
    <w:rsid w:val="00910302"/>
    <w:rsid w:val="009116C9"/>
    <w:rsid w:val="00912994"/>
    <w:rsid w:val="00914AEC"/>
    <w:rsid w:val="00917284"/>
    <w:rsid w:val="00917F25"/>
    <w:rsid w:val="009211A6"/>
    <w:rsid w:val="009213BA"/>
    <w:rsid w:val="00921EC9"/>
    <w:rsid w:val="00922337"/>
    <w:rsid w:val="00922C07"/>
    <w:rsid w:val="0092339B"/>
    <w:rsid w:val="00923C2B"/>
    <w:rsid w:val="009244AB"/>
    <w:rsid w:val="009244CE"/>
    <w:rsid w:val="00925221"/>
    <w:rsid w:val="00925545"/>
    <w:rsid w:val="0092558C"/>
    <w:rsid w:val="0092592F"/>
    <w:rsid w:val="009259DB"/>
    <w:rsid w:val="00925AEE"/>
    <w:rsid w:val="00925D71"/>
    <w:rsid w:val="00925F34"/>
    <w:rsid w:val="00926217"/>
    <w:rsid w:val="0092689E"/>
    <w:rsid w:val="00927084"/>
    <w:rsid w:val="00927756"/>
    <w:rsid w:val="00927E89"/>
    <w:rsid w:val="009305AD"/>
    <w:rsid w:val="00930DE8"/>
    <w:rsid w:val="00931915"/>
    <w:rsid w:val="00931DD3"/>
    <w:rsid w:val="00932307"/>
    <w:rsid w:val="0093232F"/>
    <w:rsid w:val="00932F0B"/>
    <w:rsid w:val="00933245"/>
    <w:rsid w:val="009332BA"/>
    <w:rsid w:val="00933DD3"/>
    <w:rsid w:val="009350A8"/>
    <w:rsid w:val="0093522D"/>
    <w:rsid w:val="00935A7B"/>
    <w:rsid w:val="00935BC5"/>
    <w:rsid w:val="00935D42"/>
    <w:rsid w:val="0093635A"/>
    <w:rsid w:val="0093639F"/>
    <w:rsid w:val="00936CCD"/>
    <w:rsid w:val="00937327"/>
    <w:rsid w:val="00937E17"/>
    <w:rsid w:val="00940C21"/>
    <w:rsid w:val="0094217D"/>
    <w:rsid w:val="009428BC"/>
    <w:rsid w:val="00942E5D"/>
    <w:rsid w:val="00942F17"/>
    <w:rsid w:val="00942FC4"/>
    <w:rsid w:val="00943A7B"/>
    <w:rsid w:val="00943B3D"/>
    <w:rsid w:val="00945433"/>
    <w:rsid w:val="009460E4"/>
    <w:rsid w:val="00946921"/>
    <w:rsid w:val="00947410"/>
    <w:rsid w:val="00947D79"/>
    <w:rsid w:val="00947DDA"/>
    <w:rsid w:val="00947F0D"/>
    <w:rsid w:val="00950359"/>
    <w:rsid w:val="00950912"/>
    <w:rsid w:val="0095152E"/>
    <w:rsid w:val="00952D3F"/>
    <w:rsid w:val="00953195"/>
    <w:rsid w:val="00954DFC"/>
    <w:rsid w:val="00955168"/>
    <w:rsid w:val="009556AA"/>
    <w:rsid w:val="00955CFE"/>
    <w:rsid w:val="009562C1"/>
    <w:rsid w:val="00957358"/>
    <w:rsid w:val="00960339"/>
    <w:rsid w:val="009609B7"/>
    <w:rsid w:val="00960E11"/>
    <w:rsid w:val="00960E15"/>
    <w:rsid w:val="009614AF"/>
    <w:rsid w:val="00961A66"/>
    <w:rsid w:val="009620DA"/>
    <w:rsid w:val="00962C85"/>
    <w:rsid w:val="00962CE4"/>
    <w:rsid w:val="00964658"/>
    <w:rsid w:val="009651E7"/>
    <w:rsid w:val="00965951"/>
    <w:rsid w:val="00965C7F"/>
    <w:rsid w:val="00966646"/>
    <w:rsid w:val="00967AC9"/>
    <w:rsid w:val="00970699"/>
    <w:rsid w:val="0097096A"/>
    <w:rsid w:val="0097160B"/>
    <w:rsid w:val="009718F1"/>
    <w:rsid w:val="00972FC9"/>
    <w:rsid w:val="0097337F"/>
    <w:rsid w:val="009741AF"/>
    <w:rsid w:val="009752B4"/>
    <w:rsid w:val="009764E1"/>
    <w:rsid w:val="0098014A"/>
    <w:rsid w:val="00980B4D"/>
    <w:rsid w:val="00980E59"/>
    <w:rsid w:val="00980FE9"/>
    <w:rsid w:val="0098166A"/>
    <w:rsid w:val="0098205B"/>
    <w:rsid w:val="00983036"/>
    <w:rsid w:val="0098326D"/>
    <w:rsid w:val="00983328"/>
    <w:rsid w:val="0098423A"/>
    <w:rsid w:val="009843F9"/>
    <w:rsid w:val="00984D7E"/>
    <w:rsid w:val="00985075"/>
    <w:rsid w:val="0098524A"/>
    <w:rsid w:val="00986668"/>
    <w:rsid w:val="00986AC1"/>
    <w:rsid w:val="00986F50"/>
    <w:rsid w:val="0098752D"/>
    <w:rsid w:val="00990768"/>
    <w:rsid w:val="00990914"/>
    <w:rsid w:val="00990CCA"/>
    <w:rsid w:val="009911C1"/>
    <w:rsid w:val="009912A9"/>
    <w:rsid w:val="009914AC"/>
    <w:rsid w:val="00991624"/>
    <w:rsid w:val="00993366"/>
    <w:rsid w:val="0099410A"/>
    <w:rsid w:val="00994173"/>
    <w:rsid w:val="0099438D"/>
    <w:rsid w:val="0099512C"/>
    <w:rsid w:val="0099547E"/>
    <w:rsid w:val="00996D41"/>
    <w:rsid w:val="009975FD"/>
    <w:rsid w:val="009976D6"/>
    <w:rsid w:val="0099775C"/>
    <w:rsid w:val="00997BB6"/>
    <w:rsid w:val="009A00F3"/>
    <w:rsid w:val="009A0316"/>
    <w:rsid w:val="009A14BF"/>
    <w:rsid w:val="009A246E"/>
    <w:rsid w:val="009A28F9"/>
    <w:rsid w:val="009A37F3"/>
    <w:rsid w:val="009A3C4D"/>
    <w:rsid w:val="009A3D74"/>
    <w:rsid w:val="009A5753"/>
    <w:rsid w:val="009A591E"/>
    <w:rsid w:val="009A5BD8"/>
    <w:rsid w:val="009A60EA"/>
    <w:rsid w:val="009A6645"/>
    <w:rsid w:val="009A6873"/>
    <w:rsid w:val="009A78EF"/>
    <w:rsid w:val="009A7A9B"/>
    <w:rsid w:val="009A7D66"/>
    <w:rsid w:val="009A7D70"/>
    <w:rsid w:val="009B0079"/>
    <w:rsid w:val="009B085A"/>
    <w:rsid w:val="009B0F3B"/>
    <w:rsid w:val="009B113A"/>
    <w:rsid w:val="009B2974"/>
    <w:rsid w:val="009B2ACC"/>
    <w:rsid w:val="009B3A55"/>
    <w:rsid w:val="009B3DC8"/>
    <w:rsid w:val="009B4EB6"/>
    <w:rsid w:val="009B59EC"/>
    <w:rsid w:val="009B5A4A"/>
    <w:rsid w:val="009B5C38"/>
    <w:rsid w:val="009B5C62"/>
    <w:rsid w:val="009B5D27"/>
    <w:rsid w:val="009B6126"/>
    <w:rsid w:val="009B6CBF"/>
    <w:rsid w:val="009B6F0F"/>
    <w:rsid w:val="009B7090"/>
    <w:rsid w:val="009B70D1"/>
    <w:rsid w:val="009B78A3"/>
    <w:rsid w:val="009B7C05"/>
    <w:rsid w:val="009B7E3A"/>
    <w:rsid w:val="009C0D96"/>
    <w:rsid w:val="009C15DB"/>
    <w:rsid w:val="009C1C70"/>
    <w:rsid w:val="009C20B2"/>
    <w:rsid w:val="009C7DC9"/>
    <w:rsid w:val="009D0259"/>
    <w:rsid w:val="009D137C"/>
    <w:rsid w:val="009D16AD"/>
    <w:rsid w:val="009D16C6"/>
    <w:rsid w:val="009D1BB5"/>
    <w:rsid w:val="009D27EE"/>
    <w:rsid w:val="009D3178"/>
    <w:rsid w:val="009D3E90"/>
    <w:rsid w:val="009D4141"/>
    <w:rsid w:val="009D4F6B"/>
    <w:rsid w:val="009D5991"/>
    <w:rsid w:val="009D5F37"/>
    <w:rsid w:val="009D71B0"/>
    <w:rsid w:val="009E0F98"/>
    <w:rsid w:val="009E1B32"/>
    <w:rsid w:val="009E1B4C"/>
    <w:rsid w:val="009E1BC8"/>
    <w:rsid w:val="009E26B3"/>
    <w:rsid w:val="009E3B5C"/>
    <w:rsid w:val="009E3FED"/>
    <w:rsid w:val="009E570F"/>
    <w:rsid w:val="009E6681"/>
    <w:rsid w:val="009F05C7"/>
    <w:rsid w:val="009F0839"/>
    <w:rsid w:val="009F0AC7"/>
    <w:rsid w:val="009F0D48"/>
    <w:rsid w:val="009F1F65"/>
    <w:rsid w:val="009F2022"/>
    <w:rsid w:val="009F22F5"/>
    <w:rsid w:val="009F314D"/>
    <w:rsid w:val="009F32FF"/>
    <w:rsid w:val="009F3B8D"/>
    <w:rsid w:val="009F4093"/>
    <w:rsid w:val="009F41AE"/>
    <w:rsid w:val="009F46BA"/>
    <w:rsid w:val="009F47C2"/>
    <w:rsid w:val="009F52D4"/>
    <w:rsid w:val="009F681C"/>
    <w:rsid w:val="009F7112"/>
    <w:rsid w:val="009F75FF"/>
    <w:rsid w:val="00A00181"/>
    <w:rsid w:val="00A0045E"/>
    <w:rsid w:val="00A006C3"/>
    <w:rsid w:val="00A00B9F"/>
    <w:rsid w:val="00A00C1B"/>
    <w:rsid w:val="00A02249"/>
    <w:rsid w:val="00A024FE"/>
    <w:rsid w:val="00A03835"/>
    <w:rsid w:val="00A03F75"/>
    <w:rsid w:val="00A03F92"/>
    <w:rsid w:val="00A04789"/>
    <w:rsid w:val="00A050B5"/>
    <w:rsid w:val="00A05918"/>
    <w:rsid w:val="00A05DEC"/>
    <w:rsid w:val="00A05E42"/>
    <w:rsid w:val="00A0621A"/>
    <w:rsid w:val="00A06B99"/>
    <w:rsid w:val="00A118C5"/>
    <w:rsid w:val="00A13E78"/>
    <w:rsid w:val="00A13EED"/>
    <w:rsid w:val="00A14748"/>
    <w:rsid w:val="00A14B6F"/>
    <w:rsid w:val="00A14ECA"/>
    <w:rsid w:val="00A14EE9"/>
    <w:rsid w:val="00A1538E"/>
    <w:rsid w:val="00A153D5"/>
    <w:rsid w:val="00A157E2"/>
    <w:rsid w:val="00A162DD"/>
    <w:rsid w:val="00A163D2"/>
    <w:rsid w:val="00A17D75"/>
    <w:rsid w:val="00A17FBE"/>
    <w:rsid w:val="00A20F8E"/>
    <w:rsid w:val="00A233D0"/>
    <w:rsid w:val="00A23FD1"/>
    <w:rsid w:val="00A24E48"/>
    <w:rsid w:val="00A253FF"/>
    <w:rsid w:val="00A27932"/>
    <w:rsid w:val="00A30188"/>
    <w:rsid w:val="00A30C46"/>
    <w:rsid w:val="00A31130"/>
    <w:rsid w:val="00A31341"/>
    <w:rsid w:val="00A318AD"/>
    <w:rsid w:val="00A31B62"/>
    <w:rsid w:val="00A32699"/>
    <w:rsid w:val="00A32892"/>
    <w:rsid w:val="00A333A6"/>
    <w:rsid w:val="00A33E5B"/>
    <w:rsid w:val="00A3481D"/>
    <w:rsid w:val="00A35C33"/>
    <w:rsid w:val="00A3656D"/>
    <w:rsid w:val="00A36F14"/>
    <w:rsid w:val="00A37453"/>
    <w:rsid w:val="00A37BC3"/>
    <w:rsid w:val="00A402CD"/>
    <w:rsid w:val="00A403C5"/>
    <w:rsid w:val="00A4133A"/>
    <w:rsid w:val="00A417F0"/>
    <w:rsid w:val="00A42005"/>
    <w:rsid w:val="00A42250"/>
    <w:rsid w:val="00A43E2E"/>
    <w:rsid w:val="00A4422C"/>
    <w:rsid w:val="00A44344"/>
    <w:rsid w:val="00A4466D"/>
    <w:rsid w:val="00A44B39"/>
    <w:rsid w:val="00A46A3F"/>
    <w:rsid w:val="00A47B8F"/>
    <w:rsid w:val="00A47C90"/>
    <w:rsid w:val="00A50615"/>
    <w:rsid w:val="00A51A05"/>
    <w:rsid w:val="00A51AD8"/>
    <w:rsid w:val="00A51C43"/>
    <w:rsid w:val="00A5234D"/>
    <w:rsid w:val="00A5386F"/>
    <w:rsid w:val="00A53EBD"/>
    <w:rsid w:val="00A550A9"/>
    <w:rsid w:val="00A554EA"/>
    <w:rsid w:val="00A5550E"/>
    <w:rsid w:val="00A55651"/>
    <w:rsid w:val="00A55CFD"/>
    <w:rsid w:val="00A56179"/>
    <w:rsid w:val="00A56435"/>
    <w:rsid w:val="00A56756"/>
    <w:rsid w:val="00A5798C"/>
    <w:rsid w:val="00A6051F"/>
    <w:rsid w:val="00A6096C"/>
    <w:rsid w:val="00A61733"/>
    <w:rsid w:val="00A61DC5"/>
    <w:rsid w:val="00A626D7"/>
    <w:rsid w:val="00A62C51"/>
    <w:rsid w:val="00A633B7"/>
    <w:rsid w:val="00A637B0"/>
    <w:rsid w:val="00A65B7C"/>
    <w:rsid w:val="00A66495"/>
    <w:rsid w:val="00A6695D"/>
    <w:rsid w:val="00A678E4"/>
    <w:rsid w:val="00A67D4C"/>
    <w:rsid w:val="00A67F19"/>
    <w:rsid w:val="00A70BAC"/>
    <w:rsid w:val="00A70E79"/>
    <w:rsid w:val="00A72A97"/>
    <w:rsid w:val="00A72CDB"/>
    <w:rsid w:val="00A73B48"/>
    <w:rsid w:val="00A745E3"/>
    <w:rsid w:val="00A74DD8"/>
    <w:rsid w:val="00A74E63"/>
    <w:rsid w:val="00A7556C"/>
    <w:rsid w:val="00A75850"/>
    <w:rsid w:val="00A7592D"/>
    <w:rsid w:val="00A75D20"/>
    <w:rsid w:val="00A75FDF"/>
    <w:rsid w:val="00A76746"/>
    <w:rsid w:val="00A7786C"/>
    <w:rsid w:val="00A81D9A"/>
    <w:rsid w:val="00A82587"/>
    <w:rsid w:val="00A82722"/>
    <w:rsid w:val="00A828AF"/>
    <w:rsid w:val="00A82E2B"/>
    <w:rsid w:val="00A83426"/>
    <w:rsid w:val="00A84274"/>
    <w:rsid w:val="00A843BD"/>
    <w:rsid w:val="00A84B0B"/>
    <w:rsid w:val="00A85B2F"/>
    <w:rsid w:val="00A85F3C"/>
    <w:rsid w:val="00A86585"/>
    <w:rsid w:val="00A8685E"/>
    <w:rsid w:val="00A87B63"/>
    <w:rsid w:val="00A90257"/>
    <w:rsid w:val="00A90268"/>
    <w:rsid w:val="00A91326"/>
    <w:rsid w:val="00A915B3"/>
    <w:rsid w:val="00A91D59"/>
    <w:rsid w:val="00A91F7D"/>
    <w:rsid w:val="00A92682"/>
    <w:rsid w:val="00A9342C"/>
    <w:rsid w:val="00A9344E"/>
    <w:rsid w:val="00A9361C"/>
    <w:rsid w:val="00A950D7"/>
    <w:rsid w:val="00A95368"/>
    <w:rsid w:val="00A95454"/>
    <w:rsid w:val="00A9547A"/>
    <w:rsid w:val="00A962A3"/>
    <w:rsid w:val="00A97139"/>
    <w:rsid w:val="00A971E6"/>
    <w:rsid w:val="00A973E4"/>
    <w:rsid w:val="00A9785A"/>
    <w:rsid w:val="00A97CFA"/>
    <w:rsid w:val="00AA073E"/>
    <w:rsid w:val="00AA08B1"/>
    <w:rsid w:val="00AA0C98"/>
    <w:rsid w:val="00AA0D6E"/>
    <w:rsid w:val="00AA18A9"/>
    <w:rsid w:val="00AA2C3F"/>
    <w:rsid w:val="00AA3E9A"/>
    <w:rsid w:val="00AA4906"/>
    <w:rsid w:val="00AA4CDC"/>
    <w:rsid w:val="00AA5BFA"/>
    <w:rsid w:val="00AA6754"/>
    <w:rsid w:val="00AA6CF8"/>
    <w:rsid w:val="00AA6D9C"/>
    <w:rsid w:val="00AA7075"/>
    <w:rsid w:val="00AA7754"/>
    <w:rsid w:val="00AA780A"/>
    <w:rsid w:val="00AB0BFD"/>
    <w:rsid w:val="00AB12BB"/>
    <w:rsid w:val="00AB2081"/>
    <w:rsid w:val="00AB2847"/>
    <w:rsid w:val="00AB37D3"/>
    <w:rsid w:val="00AB67E2"/>
    <w:rsid w:val="00AB7626"/>
    <w:rsid w:val="00AB7C61"/>
    <w:rsid w:val="00AC0479"/>
    <w:rsid w:val="00AC1175"/>
    <w:rsid w:val="00AC186B"/>
    <w:rsid w:val="00AC1FA8"/>
    <w:rsid w:val="00AC2BC3"/>
    <w:rsid w:val="00AC30EF"/>
    <w:rsid w:val="00AC3151"/>
    <w:rsid w:val="00AC357C"/>
    <w:rsid w:val="00AC3C78"/>
    <w:rsid w:val="00AC4243"/>
    <w:rsid w:val="00AC4342"/>
    <w:rsid w:val="00AC4F45"/>
    <w:rsid w:val="00AC5988"/>
    <w:rsid w:val="00AC5DFD"/>
    <w:rsid w:val="00AC631A"/>
    <w:rsid w:val="00AC6544"/>
    <w:rsid w:val="00AC6EF8"/>
    <w:rsid w:val="00AC7C02"/>
    <w:rsid w:val="00AC7CA5"/>
    <w:rsid w:val="00AC7D5B"/>
    <w:rsid w:val="00AD1BDF"/>
    <w:rsid w:val="00AD272C"/>
    <w:rsid w:val="00AD291A"/>
    <w:rsid w:val="00AD2E82"/>
    <w:rsid w:val="00AD386E"/>
    <w:rsid w:val="00AD3B65"/>
    <w:rsid w:val="00AD3EA7"/>
    <w:rsid w:val="00AD414B"/>
    <w:rsid w:val="00AD4213"/>
    <w:rsid w:val="00AD4559"/>
    <w:rsid w:val="00AD5CF4"/>
    <w:rsid w:val="00AD5F05"/>
    <w:rsid w:val="00AD6413"/>
    <w:rsid w:val="00AD6918"/>
    <w:rsid w:val="00AD77D1"/>
    <w:rsid w:val="00AD79CD"/>
    <w:rsid w:val="00AE0EE1"/>
    <w:rsid w:val="00AE216E"/>
    <w:rsid w:val="00AE3330"/>
    <w:rsid w:val="00AE4309"/>
    <w:rsid w:val="00AE4B4D"/>
    <w:rsid w:val="00AE5AD3"/>
    <w:rsid w:val="00AE7D15"/>
    <w:rsid w:val="00AE7EB5"/>
    <w:rsid w:val="00AF00A3"/>
    <w:rsid w:val="00AF0557"/>
    <w:rsid w:val="00AF20AE"/>
    <w:rsid w:val="00AF2611"/>
    <w:rsid w:val="00AF2E84"/>
    <w:rsid w:val="00AF3CB5"/>
    <w:rsid w:val="00AF46C4"/>
    <w:rsid w:val="00AF4F46"/>
    <w:rsid w:val="00AF4F8A"/>
    <w:rsid w:val="00AF5128"/>
    <w:rsid w:val="00AF590C"/>
    <w:rsid w:val="00AF60BC"/>
    <w:rsid w:val="00AF6242"/>
    <w:rsid w:val="00AF625B"/>
    <w:rsid w:val="00AF64D2"/>
    <w:rsid w:val="00AF700D"/>
    <w:rsid w:val="00B00484"/>
    <w:rsid w:val="00B00D67"/>
    <w:rsid w:val="00B00D8F"/>
    <w:rsid w:val="00B02D7D"/>
    <w:rsid w:val="00B03752"/>
    <w:rsid w:val="00B03827"/>
    <w:rsid w:val="00B03998"/>
    <w:rsid w:val="00B04134"/>
    <w:rsid w:val="00B04957"/>
    <w:rsid w:val="00B05E3B"/>
    <w:rsid w:val="00B06466"/>
    <w:rsid w:val="00B06EDD"/>
    <w:rsid w:val="00B07EEB"/>
    <w:rsid w:val="00B1085C"/>
    <w:rsid w:val="00B12019"/>
    <w:rsid w:val="00B120B8"/>
    <w:rsid w:val="00B1279D"/>
    <w:rsid w:val="00B12E89"/>
    <w:rsid w:val="00B13201"/>
    <w:rsid w:val="00B142E4"/>
    <w:rsid w:val="00B148A4"/>
    <w:rsid w:val="00B148AB"/>
    <w:rsid w:val="00B14C6C"/>
    <w:rsid w:val="00B15167"/>
    <w:rsid w:val="00B16C5E"/>
    <w:rsid w:val="00B20374"/>
    <w:rsid w:val="00B20BC9"/>
    <w:rsid w:val="00B21256"/>
    <w:rsid w:val="00B2132E"/>
    <w:rsid w:val="00B21921"/>
    <w:rsid w:val="00B21C21"/>
    <w:rsid w:val="00B226AA"/>
    <w:rsid w:val="00B22974"/>
    <w:rsid w:val="00B22D6A"/>
    <w:rsid w:val="00B22F78"/>
    <w:rsid w:val="00B233C1"/>
    <w:rsid w:val="00B23A0F"/>
    <w:rsid w:val="00B24E35"/>
    <w:rsid w:val="00B251F3"/>
    <w:rsid w:val="00B255E8"/>
    <w:rsid w:val="00B2684A"/>
    <w:rsid w:val="00B275C5"/>
    <w:rsid w:val="00B27AD2"/>
    <w:rsid w:val="00B3013F"/>
    <w:rsid w:val="00B31712"/>
    <w:rsid w:val="00B3171D"/>
    <w:rsid w:val="00B33E17"/>
    <w:rsid w:val="00B3420E"/>
    <w:rsid w:val="00B3421D"/>
    <w:rsid w:val="00B346AD"/>
    <w:rsid w:val="00B347B6"/>
    <w:rsid w:val="00B353D2"/>
    <w:rsid w:val="00B35670"/>
    <w:rsid w:val="00B35BDB"/>
    <w:rsid w:val="00B35E18"/>
    <w:rsid w:val="00B363A2"/>
    <w:rsid w:val="00B36AC0"/>
    <w:rsid w:val="00B36E10"/>
    <w:rsid w:val="00B37499"/>
    <w:rsid w:val="00B375E4"/>
    <w:rsid w:val="00B377C0"/>
    <w:rsid w:val="00B37C71"/>
    <w:rsid w:val="00B37F2F"/>
    <w:rsid w:val="00B40672"/>
    <w:rsid w:val="00B41151"/>
    <w:rsid w:val="00B41D76"/>
    <w:rsid w:val="00B42307"/>
    <w:rsid w:val="00B4239C"/>
    <w:rsid w:val="00B426A4"/>
    <w:rsid w:val="00B430D5"/>
    <w:rsid w:val="00B432F1"/>
    <w:rsid w:val="00B4378D"/>
    <w:rsid w:val="00B43BB9"/>
    <w:rsid w:val="00B44026"/>
    <w:rsid w:val="00B44C5E"/>
    <w:rsid w:val="00B45406"/>
    <w:rsid w:val="00B458C0"/>
    <w:rsid w:val="00B46194"/>
    <w:rsid w:val="00B4645F"/>
    <w:rsid w:val="00B46A10"/>
    <w:rsid w:val="00B46B71"/>
    <w:rsid w:val="00B46CC7"/>
    <w:rsid w:val="00B4703C"/>
    <w:rsid w:val="00B51390"/>
    <w:rsid w:val="00B51BD2"/>
    <w:rsid w:val="00B51D1C"/>
    <w:rsid w:val="00B520FE"/>
    <w:rsid w:val="00B52968"/>
    <w:rsid w:val="00B52E54"/>
    <w:rsid w:val="00B534F8"/>
    <w:rsid w:val="00B54914"/>
    <w:rsid w:val="00B55178"/>
    <w:rsid w:val="00B553FB"/>
    <w:rsid w:val="00B56935"/>
    <w:rsid w:val="00B60C91"/>
    <w:rsid w:val="00B60D37"/>
    <w:rsid w:val="00B61C53"/>
    <w:rsid w:val="00B61CD3"/>
    <w:rsid w:val="00B6204A"/>
    <w:rsid w:val="00B629FB"/>
    <w:rsid w:val="00B62A51"/>
    <w:rsid w:val="00B6354A"/>
    <w:rsid w:val="00B63BF4"/>
    <w:rsid w:val="00B63F47"/>
    <w:rsid w:val="00B64B67"/>
    <w:rsid w:val="00B652BC"/>
    <w:rsid w:val="00B657FD"/>
    <w:rsid w:val="00B66020"/>
    <w:rsid w:val="00B673D0"/>
    <w:rsid w:val="00B67C60"/>
    <w:rsid w:val="00B700BC"/>
    <w:rsid w:val="00B701BE"/>
    <w:rsid w:val="00B712EB"/>
    <w:rsid w:val="00B71E1C"/>
    <w:rsid w:val="00B72F25"/>
    <w:rsid w:val="00B73970"/>
    <w:rsid w:val="00B73C58"/>
    <w:rsid w:val="00B73F4F"/>
    <w:rsid w:val="00B73F95"/>
    <w:rsid w:val="00B73FD6"/>
    <w:rsid w:val="00B743BD"/>
    <w:rsid w:val="00B765EE"/>
    <w:rsid w:val="00B766DC"/>
    <w:rsid w:val="00B76E75"/>
    <w:rsid w:val="00B77009"/>
    <w:rsid w:val="00B77050"/>
    <w:rsid w:val="00B771FF"/>
    <w:rsid w:val="00B7771B"/>
    <w:rsid w:val="00B80053"/>
    <w:rsid w:val="00B80605"/>
    <w:rsid w:val="00B80631"/>
    <w:rsid w:val="00B80B7E"/>
    <w:rsid w:val="00B81F4A"/>
    <w:rsid w:val="00B82874"/>
    <w:rsid w:val="00B828F6"/>
    <w:rsid w:val="00B82963"/>
    <w:rsid w:val="00B83A4B"/>
    <w:rsid w:val="00B85098"/>
    <w:rsid w:val="00B85514"/>
    <w:rsid w:val="00B85ACF"/>
    <w:rsid w:val="00B871C4"/>
    <w:rsid w:val="00B879BD"/>
    <w:rsid w:val="00B87AF5"/>
    <w:rsid w:val="00B900A6"/>
    <w:rsid w:val="00B905E0"/>
    <w:rsid w:val="00B92A65"/>
    <w:rsid w:val="00B92BB4"/>
    <w:rsid w:val="00B93AA3"/>
    <w:rsid w:val="00B93FB6"/>
    <w:rsid w:val="00B9410C"/>
    <w:rsid w:val="00B950D4"/>
    <w:rsid w:val="00B95110"/>
    <w:rsid w:val="00B955B6"/>
    <w:rsid w:val="00B95E49"/>
    <w:rsid w:val="00B96C13"/>
    <w:rsid w:val="00B979DC"/>
    <w:rsid w:val="00B97D20"/>
    <w:rsid w:val="00BA04A2"/>
    <w:rsid w:val="00BA1302"/>
    <w:rsid w:val="00BA2660"/>
    <w:rsid w:val="00BA297B"/>
    <w:rsid w:val="00BA38BA"/>
    <w:rsid w:val="00BA48FF"/>
    <w:rsid w:val="00BA4ABB"/>
    <w:rsid w:val="00BA4E20"/>
    <w:rsid w:val="00BA635D"/>
    <w:rsid w:val="00BA6865"/>
    <w:rsid w:val="00BA686E"/>
    <w:rsid w:val="00BA7237"/>
    <w:rsid w:val="00BA748C"/>
    <w:rsid w:val="00BA7BE0"/>
    <w:rsid w:val="00BA7E52"/>
    <w:rsid w:val="00BB1390"/>
    <w:rsid w:val="00BB168E"/>
    <w:rsid w:val="00BB2966"/>
    <w:rsid w:val="00BB29BD"/>
    <w:rsid w:val="00BB30B1"/>
    <w:rsid w:val="00BB33B2"/>
    <w:rsid w:val="00BB4615"/>
    <w:rsid w:val="00BB46B5"/>
    <w:rsid w:val="00BB4921"/>
    <w:rsid w:val="00BB4D2C"/>
    <w:rsid w:val="00BB5FE4"/>
    <w:rsid w:val="00BB635E"/>
    <w:rsid w:val="00BB64B8"/>
    <w:rsid w:val="00BB6657"/>
    <w:rsid w:val="00BB7502"/>
    <w:rsid w:val="00BC052A"/>
    <w:rsid w:val="00BC0E90"/>
    <w:rsid w:val="00BC1221"/>
    <w:rsid w:val="00BC1C68"/>
    <w:rsid w:val="00BC2EF1"/>
    <w:rsid w:val="00BC37C5"/>
    <w:rsid w:val="00BC4775"/>
    <w:rsid w:val="00BC4985"/>
    <w:rsid w:val="00BC539A"/>
    <w:rsid w:val="00BC59A7"/>
    <w:rsid w:val="00BC5D2E"/>
    <w:rsid w:val="00BC6D3F"/>
    <w:rsid w:val="00BC710F"/>
    <w:rsid w:val="00BC764C"/>
    <w:rsid w:val="00BD033B"/>
    <w:rsid w:val="00BD0519"/>
    <w:rsid w:val="00BD058F"/>
    <w:rsid w:val="00BD098B"/>
    <w:rsid w:val="00BD0A1B"/>
    <w:rsid w:val="00BD0EF5"/>
    <w:rsid w:val="00BD148A"/>
    <w:rsid w:val="00BD255E"/>
    <w:rsid w:val="00BD3440"/>
    <w:rsid w:val="00BD3B44"/>
    <w:rsid w:val="00BD4A78"/>
    <w:rsid w:val="00BD505C"/>
    <w:rsid w:val="00BD58CF"/>
    <w:rsid w:val="00BD679F"/>
    <w:rsid w:val="00BE0673"/>
    <w:rsid w:val="00BE0D1B"/>
    <w:rsid w:val="00BE15DC"/>
    <w:rsid w:val="00BE27F9"/>
    <w:rsid w:val="00BE3F22"/>
    <w:rsid w:val="00BE405B"/>
    <w:rsid w:val="00BE489A"/>
    <w:rsid w:val="00BE4AA7"/>
    <w:rsid w:val="00BE5566"/>
    <w:rsid w:val="00BE5EAF"/>
    <w:rsid w:val="00BE6AE2"/>
    <w:rsid w:val="00BE70BB"/>
    <w:rsid w:val="00BE7549"/>
    <w:rsid w:val="00BE776E"/>
    <w:rsid w:val="00BE7DEE"/>
    <w:rsid w:val="00BF153C"/>
    <w:rsid w:val="00BF2A1B"/>
    <w:rsid w:val="00BF302F"/>
    <w:rsid w:val="00BF3DFE"/>
    <w:rsid w:val="00BF46CB"/>
    <w:rsid w:val="00BF57D2"/>
    <w:rsid w:val="00BF5CDD"/>
    <w:rsid w:val="00BF6E88"/>
    <w:rsid w:val="00BF6FB1"/>
    <w:rsid w:val="00C00558"/>
    <w:rsid w:val="00C00A87"/>
    <w:rsid w:val="00C00F46"/>
    <w:rsid w:val="00C01390"/>
    <w:rsid w:val="00C02462"/>
    <w:rsid w:val="00C02868"/>
    <w:rsid w:val="00C03442"/>
    <w:rsid w:val="00C03F45"/>
    <w:rsid w:val="00C054B5"/>
    <w:rsid w:val="00C10544"/>
    <w:rsid w:val="00C108C1"/>
    <w:rsid w:val="00C11187"/>
    <w:rsid w:val="00C1161A"/>
    <w:rsid w:val="00C12925"/>
    <w:rsid w:val="00C12BF9"/>
    <w:rsid w:val="00C13BAD"/>
    <w:rsid w:val="00C13DDF"/>
    <w:rsid w:val="00C143EA"/>
    <w:rsid w:val="00C14779"/>
    <w:rsid w:val="00C148E6"/>
    <w:rsid w:val="00C14E51"/>
    <w:rsid w:val="00C14F99"/>
    <w:rsid w:val="00C16436"/>
    <w:rsid w:val="00C16D09"/>
    <w:rsid w:val="00C206C1"/>
    <w:rsid w:val="00C20704"/>
    <w:rsid w:val="00C21A5E"/>
    <w:rsid w:val="00C21B2F"/>
    <w:rsid w:val="00C2250B"/>
    <w:rsid w:val="00C25B7D"/>
    <w:rsid w:val="00C26F00"/>
    <w:rsid w:val="00C27CDA"/>
    <w:rsid w:val="00C30173"/>
    <w:rsid w:val="00C30E78"/>
    <w:rsid w:val="00C30EF8"/>
    <w:rsid w:val="00C315A4"/>
    <w:rsid w:val="00C31FFB"/>
    <w:rsid w:val="00C32F4F"/>
    <w:rsid w:val="00C3413E"/>
    <w:rsid w:val="00C34839"/>
    <w:rsid w:val="00C34929"/>
    <w:rsid w:val="00C353E7"/>
    <w:rsid w:val="00C35765"/>
    <w:rsid w:val="00C36A4C"/>
    <w:rsid w:val="00C405C6"/>
    <w:rsid w:val="00C410E7"/>
    <w:rsid w:val="00C411D5"/>
    <w:rsid w:val="00C4170D"/>
    <w:rsid w:val="00C41BEB"/>
    <w:rsid w:val="00C41BEE"/>
    <w:rsid w:val="00C41D22"/>
    <w:rsid w:val="00C423F6"/>
    <w:rsid w:val="00C424E3"/>
    <w:rsid w:val="00C425C4"/>
    <w:rsid w:val="00C438E8"/>
    <w:rsid w:val="00C43FE9"/>
    <w:rsid w:val="00C44739"/>
    <w:rsid w:val="00C44AE0"/>
    <w:rsid w:val="00C454FA"/>
    <w:rsid w:val="00C45CE9"/>
    <w:rsid w:val="00C468AA"/>
    <w:rsid w:val="00C46AFE"/>
    <w:rsid w:val="00C4700E"/>
    <w:rsid w:val="00C47372"/>
    <w:rsid w:val="00C50258"/>
    <w:rsid w:val="00C50908"/>
    <w:rsid w:val="00C50D98"/>
    <w:rsid w:val="00C513D6"/>
    <w:rsid w:val="00C52034"/>
    <w:rsid w:val="00C5365E"/>
    <w:rsid w:val="00C5493A"/>
    <w:rsid w:val="00C557F0"/>
    <w:rsid w:val="00C56081"/>
    <w:rsid w:val="00C56183"/>
    <w:rsid w:val="00C56906"/>
    <w:rsid w:val="00C57036"/>
    <w:rsid w:val="00C57ED0"/>
    <w:rsid w:val="00C6113A"/>
    <w:rsid w:val="00C61498"/>
    <w:rsid w:val="00C61770"/>
    <w:rsid w:val="00C63C62"/>
    <w:rsid w:val="00C64239"/>
    <w:rsid w:val="00C6428A"/>
    <w:rsid w:val="00C6497C"/>
    <w:rsid w:val="00C65234"/>
    <w:rsid w:val="00C655B5"/>
    <w:rsid w:val="00C658C0"/>
    <w:rsid w:val="00C65E2E"/>
    <w:rsid w:val="00C65F73"/>
    <w:rsid w:val="00C66D1B"/>
    <w:rsid w:val="00C671F2"/>
    <w:rsid w:val="00C679F7"/>
    <w:rsid w:val="00C701DB"/>
    <w:rsid w:val="00C717AB"/>
    <w:rsid w:val="00C7228D"/>
    <w:rsid w:val="00C7246F"/>
    <w:rsid w:val="00C72A12"/>
    <w:rsid w:val="00C72A28"/>
    <w:rsid w:val="00C7300B"/>
    <w:rsid w:val="00C733A8"/>
    <w:rsid w:val="00C75D4C"/>
    <w:rsid w:val="00C760BA"/>
    <w:rsid w:val="00C7622F"/>
    <w:rsid w:val="00C76271"/>
    <w:rsid w:val="00C765A3"/>
    <w:rsid w:val="00C77306"/>
    <w:rsid w:val="00C7746A"/>
    <w:rsid w:val="00C80087"/>
    <w:rsid w:val="00C807C0"/>
    <w:rsid w:val="00C8109F"/>
    <w:rsid w:val="00C8112F"/>
    <w:rsid w:val="00C81B6B"/>
    <w:rsid w:val="00C81E34"/>
    <w:rsid w:val="00C8245E"/>
    <w:rsid w:val="00C8310B"/>
    <w:rsid w:val="00C83C3E"/>
    <w:rsid w:val="00C84915"/>
    <w:rsid w:val="00C84BC2"/>
    <w:rsid w:val="00C8551A"/>
    <w:rsid w:val="00C85903"/>
    <w:rsid w:val="00C86695"/>
    <w:rsid w:val="00C87B57"/>
    <w:rsid w:val="00C87E5E"/>
    <w:rsid w:val="00C9058E"/>
    <w:rsid w:val="00C907A4"/>
    <w:rsid w:val="00C90969"/>
    <w:rsid w:val="00C91E90"/>
    <w:rsid w:val="00C91F49"/>
    <w:rsid w:val="00C92521"/>
    <w:rsid w:val="00C92577"/>
    <w:rsid w:val="00C928B6"/>
    <w:rsid w:val="00C93142"/>
    <w:rsid w:val="00C940A7"/>
    <w:rsid w:val="00C94AB2"/>
    <w:rsid w:val="00C955D0"/>
    <w:rsid w:val="00C966F0"/>
    <w:rsid w:val="00C9689F"/>
    <w:rsid w:val="00C96939"/>
    <w:rsid w:val="00CA03A1"/>
    <w:rsid w:val="00CA0BE6"/>
    <w:rsid w:val="00CA12F1"/>
    <w:rsid w:val="00CA28D1"/>
    <w:rsid w:val="00CA2AFE"/>
    <w:rsid w:val="00CA2E01"/>
    <w:rsid w:val="00CA30A5"/>
    <w:rsid w:val="00CA4109"/>
    <w:rsid w:val="00CA4794"/>
    <w:rsid w:val="00CA4D91"/>
    <w:rsid w:val="00CA537A"/>
    <w:rsid w:val="00CA62FC"/>
    <w:rsid w:val="00CA6D04"/>
    <w:rsid w:val="00CA6F13"/>
    <w:rsid w:val="00CA7400"/>
    <w:rsid w:val="00CA746C"/>
    <w:rsid w:val="00CA78C4"/>
    <w:rsid w:val="00CB0679"/>
    <w:rsid w:val="00CB06F3"/>
    <w:rsid w:val="00CB105B"/>
    <w:rsid w:val="00CB1380"/>
    <w:rsid w:val="00CB168C"/>
    <w:rsid w:val="00CB1C37"/>
    <w:rsid w:val="00CB289E"/>
    <w:rsid w:val="00CB3904"/>
    <w:rsid w:val="00CB3DAE"/>
    <w:rsid w:val="00CB431C"/>
    <w:rsid w:val="00CB461A"/>
    <w:rsid w:val="00CB5C02"/>
    <w:rsid w:val="00CB67B2"/>
    <w:rsid w:val="00CB6A92"/>
    <w:rsid w:val="00CB7361"/>
    <w:rsid w:val="00CB7DD9"/>
    <w:rsid w:val="00CC06FD"/>
    <w:rsid w:val="00CC0B9E"/>
    <w:rsid w:val="00CC10FE"/>
    <w:rsid w:val="00CC1238"/>
    <w:rsid w:val="00CC1579"/>
    <w:rsid w:val="00CC1D4F"/>
    <w:rsid w:val="00CC2A24"/>
    <w:rsid w:val="00CC39A0"/>
    <w:rsid w:val="00CC44E3"/>
    <w:rsid w:val="00CC5942"/>
    <w:rsid w:val="00CC59FB"/>
    <w:rsid w:val="00CC5D72"/>
    <w:rsid w:val="00CC6E28"/>
    <w:rsid w:val="00CC7938"/>
    <w:rsid w:val="00CC7947"/>
    <w:rsid w:val="00CD07A4"/>
    <w:rsid w:val="00CD0AE2"/>
    <w:rsid w:val="00CD0D19"/>
    <w:rsid w:val="00CD1094"/>
    <w:rsid w:val="00CD1639"/>
    <w:rsid w:val="00CD1804"/>
    <w:rsid w:val="00CD3524"/>
    <w:rsid w:val="00CD49E0"/>
    <w:rsid w:val="00CD4C1C"/>
    <w:rsid w:val="00CD599B"/>
    <w:rsid w:val="00CD5B6E"/>
    <w:rsid w:val="00CD5BA4"/>
    <w:rsid w:val="00CD691C"/>
    <w:rsid w:val="00CD6C7E"/>
    <w:rsid w:val="00CD6D82"/>
    <w:rsid w:val="00CD7240"/>
    <w:rsid w:val="00CE0D62"/>
    <w:rsid w:val="00CE0ECF"/>
    <w:rsid w:val="00CE1185"/>
    <w:rsid w:val="00CE11C3"/>
    <w:rsid w:val="00CE1FA4"/>
    <w:rsid w:val="00CE2081"/>
    <w:rsid w:val="00CE2454"/>
    <w:rsid w:val="00CE3351"/>
    <w:rsid w:val="00CE3D95"/>
    <w:rsid w:val="00CE56B7"/>
    <w:rsid w:val="00CE6B64"/>
    <w:rsid w:val="00CE7105"/>
    <w:rsid w:val="00CE7FBF"/>
    <w:rsid w:val="00CF1777"/>
    <w:rsid w:val="00CF1A02"/>
    <w:rsid w:val="00CF2299"/>
    <w:rsid w:val="00CF2456"/>
    <w:rsid w:val="00CF2781"/>
    <w:rsid w:val="00CF280B"/>
    <w:rsid w:val="00CF3606"/>
    <w:rsid w:val="00CF361C"/>
    <w:rsid w:val="00CF3A0F"/>
    <w:rsid w:val="00CF3E4A"/>
    <w:rsid w:val="00CF40B8"/>
    <w:rsid w:val="00CF44AF"/>
    <w:rsid w:val="00CF54D6"/>
    <w:rsid w:val="00CF56C9"/>
    <w:rsid w:val="00CF63DB"/>
    <w:rsid w:val="00CF6429"/>
    <w:rsid w:val="00CF6655"/>
    <w:rsid w:val="00D00138"/>
    <w:rsid w:val="00D00FB5"/>
    <w:rsid w:val="00D0108A"/>
    <w:rsid w:val="00D013C8"/>
    <w:rsid w:val="00D013D8"/>
    <w:rsid w:val="00D01B24"/>
    <w:rsid w:val="00D03AD2"/>
    <w:rsid w:val="00D04122"/>
    <w:rsid w:val="00D04643"/>
    <w:rsid w:val="00D04850"/>
    <w:rsid w:val="00D05078"/>
    <w:rsid w:val="00D07375"/>
    <w:rsid w:val="00D07513"/>
    <w:rsid w:val="00D07AC6"/>
    <w:rsid w:val="00D101FB"/>
    <w:rsid w:val="00D10DFB"/>
    <w:rsid w:val="00D1110F"/>
    <w:rsid w:val="00D115C4"/>
    <w:rsid w:val="00D11A85"/>
    <w:rsid w:val="00D12061"/>
    <w:rsid w:val="00D13181"/>
    <w:rsid w:val="00D1333E"/>
    <w:rsid w:val="00D13B60"/>
    <w:rsid w:val="00D15244"/>
    <w:rsid w:val="00D164E6"/>
    <w:rsid w:val="00D16CF1"/>
    <w:rsid w:val="00D170D0"/>
    <w:rsid w:val="00D17A79"/>
    <w:rsid w:val="00D2045B"/>
    <w:rsid w:val="00D20AC3"/>
    <w:rsid w:val="00D21D99"/>
    <w:rsid w:val="00D22282"/>
    <w:rsid w:val="00D2262B"/>
    <w:rsid w:val="00D22F00"/>
    <w:rsid w:val="00D2349C"/>
    <w:rsid w:val="00D23C0A"/>
    <w:rsid w:val="00D244E1"/>
    <w:rsid w:val="00D25A9F"/>
    <w:rsid w:val="00D2689B"/>
    <w:rsid w:val="00D27666"/>
    <w:rsid w:val="00D27AB3"/>
    <w:rsid w:val="00D30AFF"/>
    <w:rsid w:val="00D31488"/>
    <w:rsid w:val="00D31930"/>
    <w:rsid w:val="00D3221B"/>
    <w:rsid w:val="00D327DC"/>
    <w:rsid w:val="00D32DF8"/>
    <w:rsid w:val="00D331C0"/>
    <w:rsid w:val="00D34145"/>
    <w:rsid w:val="00D34523"/>
    <w:rsid w:val="00D34B20"/>
    <w:rsid w:val="00D34BDC"/>
    <w:rsid w:val="00D350D1"/>
    <w:rsid w:val="00D364CF"/>
    <w:rsid w:val="00D3776C"/>
    <w:rsid w:val="00D37CA4"/>
    <w:rsid w:val="00D4061A"/>
    <w:rsid w:val="00D40C4F"/>
    <w:rsid w:val="00D40D5A"/>
    <w:rsid w:val="00D4140D"/>
    <w:rsid w:val="00D4149A"/>
    <w:rsid w:val="00D415CA"/>
    <w:rsid w:val="00D41BD0"/>
    <w:rsid w:val="00D41F2D"/>
    <w:rsid w:val="00D42C2A"/>
    <w:rsid w:val="00D42CE4"/>
    <w:rsid w:val="00D434D6"/>
    <w:rsid w:val="00D43B05"/>
    <w:rsid w:val="00D43D45"/>
    <w:rsid w:val="00D44330"/>
    <w:rsid w:val="00D45681"/>
    <w:rsid w:val="00D4592B"/>
    <w:rsid w:val="00D45E10"/>
    <w:rsid w:val="00D46377"/>
    <w:rsid w:val="00D46BF7"/>
    <w:rsid w:val="00D475C1"/>
    <w:rsid w:val="00D47DF5"/>
    <w:rsid w:val="00D50612"/>
    <w:rsid w:val="00D50C3D"/>
    <w:rsid w:val="00D50E6B"/>
    <w:rsid w:val="00D5166D"/>
    <w:rsid w:val="00D51B9A"/>
    <w:rsid w:val="00D51C0A"/>
    <w:rsid w:val="00D521EE"/>
    <w:rsid w:val="00D52279"/>
    <w:rsid w:val="00D52AF3"/>
    <w:rsid w:val="00D552B7"/>
    <w:rsid w:val="00D56165"/>
    <w:rsid w:val="00D5643B"/>
    <w:rsid w:val="00D56E9D"/>
    <w:rsid w:val="00D56F45"/>
    <w:rsid w:val="00D57512"/>
    <w:rsid w:val="00D5773A"/>
    <w:rsid w:val="00D57BD6"/>
    <w:rsid w:val="00D61007"/>
    <w:rsid w:val="00D6102E"/>
    <w:rsid w:val="00D61A35"/>
    <w:rsid w:val="00D61FE5"/>
    <w:rsid w:val="00D622CC"/>
    <w:rsid w:val="00D644C2"/>
    <w:rsid w:val="00D64806"/>
    <w:rsid w:val="00D64A75"/>
    <w:rsid w:val="00D652A8"/>
    <w:rsid w:val="00D658AD"/>
    <w:rsid w:val="00D65D63"/>
    <w:rsid w:val="00D65DE5"/>
    <w:rsid w:val="00D65F11"/>
    <w:rsid w:val="00D673AE"/>
    <w:rsid w:val="00D67D17"/>
    <w:rsid w:val="00D70A96"/>
    <w:rsid w:val="00D717A9"/>
    <w:rsid w:val="00D7203F"/>
    <w:rsid w:val="00D722F3"/>
    <w:rsid w:val="00D7240C"/>
    <w:rsid w:val="00D72FF0"/>
    <w:rsid w:val="00D74B3D"/>
    <w:rsid w:val="00D74BA0"/>
    <w:rsid w:val="00D75508"/>
    <w:rsid w:val="00D75848"/>
    <w:rsid w:val="00D764A3"/>
    <w:rsid w:val="00D764D6"/>
    <w:rsid w:val="00D77BDA"/>
    <w:rsid w:val="00D80386"/>
    <w:rsid w:val="00D80CA1"/>
    <w:rsid w:val="00D813B2"/>
    <w:rsid w:val="00D82182"/>
    <w:rsid w:val="00D8235C"/>
    <w:rsid w:val="00D83610"/>
    <w:rsid w:val="00D8408E"/>
    <w:rsid w:val="00D84381"/>
    <w:rsid w:val="00D84F11"/>
    <w:rsid w:val="00D85FDE"/>
    <w:rsid w:val="00D86367"/>
    <w:rsid w:val="00D863DA"/>
    <w:rsid w:val="00D87293"/>
    <w:rsid w:val="00D92E96"/>
    <w:rsid w:val="00D93135"/>
    <w:rsid w:val="00D93353"/>
    <w:rsid w:val="00D94587"/>
    <w:rsid w:val="00D94E92"/>
    <w:rsid w:val="00D95119"/>
    <w:rsid w:val="00D95C42"/>
    <w:rsid w:val="00D96139"/>
    <w:rsid w:val="00D961B4"/>
    <w:rsid w:val="00D96587"/>
    <w:rsid w:val="00D96BF9"/>
    <w:rsid w:val="00D96C9A"/>
    <w:rsid w:val="00D9742C"/>
    <w:rsid w:val="00D97766"/>
    <w:rsid w:val="00D97C62"/>
    <w:rsid w:val="00DA0F30"/>
    <w:rsid w:val="00DA0FFA"/>
    <w:rsid w:val="00DA26D4"/>
    <w:rsid w:val="00DA5AB7"/>
    <w:rsid w:val="00DA668D"/>
    <w:rsid w:val="00DA7099"/>
    <w:rsid w:val="00DA796E"/>
    <w:rsid w:val="00DA7CD5"/>
    <w:rsid w:val="00DB09BD"/>
    <w:rsid w:val="00DB0C3A"/>
    <w:rsid w:val="00DB22BC"/>
    <w:rsid w:val="00DB2A71"/>
    <w:rsid w:val="00DB3018"/>
    <w:rsid w:val="00DB38C5"/>
    <w:rsid w:val="00DB3A62"/>
    <w:rsid w:val="00DB43D9"/>
    <w:rsid w:val="00DB5619"/>
    <w:rsid w:val="00DB573D"/>
    <w:rsid w:val="00DB65BD"/>
    <w:rsid w:val="00DB69E9"/>
    <w:rsid w:val="00DB6D5F"/>
    <w:rsid w:val="00DB6DEA"/>
    <w:rsid w:val="00DB7490"/>
    <w:rsid w:val="00DB7688"/>
    <w:rsid w:val="00DB7CAD"/>
    <w:rsid w:val="00DC133E"/>
    <w:rsid w:val="00DC247D"/>
    <w:rsid w:val="00DC2E0D"/>
    <w:rsid w:val="00DC2FB9"/>
    <w:rsid w:val="00DC328E"/>
    <w:rsid w:val="00DC36A8"/>
    <w:rsid w:val="00DC3766"/>
    <w:rsid w:val="00DC43FF"/>
    <w:rsid w:val="00DC499F"/>
    <w:rsid w:val="00DC4D00"/>
    <w:rsid w:val="00DC5280"/>
    <w:rsid w:val="00DC602C"/>
    <w:rsid w:val="00DC6316"/>
    <w:rsid w:val="00DC6BEA"/>
    <w:rsid w:val="00DC6D1A"/>
    <w:rsid w:val="00DC6F0B"/>
    <w:rsid w:val="00DC765F"/>
    <w:rsid w:val="00DC7D27"/>
    <w:rsid w:val="00DD11F2"/>
    <w:rsid w:val="00DD12C4"/>
    <w:rsid w:val="00DD1FEF"/>
    <w:rsid w:val="00DD2297"/>
    <w:rsid w:val="00DD24C8"/>
    <w:rsid w:val="00DD2D00"/>
    <w:rsid w:val="00DD4446"/>
    <w:rsid w:val="00DD4867"/>
    <w:rsid w:val="00DD492C"/>
    <w:rsid w:val="00DD56D1"/>
    <w:rsid w:val="00DD7153"/>
    <w:rsid w:val="00DD71EE"/>
    <w:rsid w:val="00DD7B6E"/>
    <w:rsid w:val="00DD7C44"/>
    <w:rsid w:val="00DD7EB9"/>
    <w:rsid w:val="00DD7F40"/>
    <w:rsid w:val="00DE0A28"/>
    <w:rsid w:val="00DE100F"/>
    <w:rsid w:val="00DE110A"/>
    <w:rsid w:val="00DE116D"/>
    <w:rsid w:val="00DE239E"/>
    <w:rsid w:val="00DE2ED5"/>
    <w:rsid w:val="00DE2FF3"/>
    <w:rsid w:val="00DE32C1"/>
    <w:rsid w:val="00DE3876"/>
    <w:rsid w:val="00DE5C9E"/>
    <w:rsid w:val="00DE7A58"/>
    <w:rsid w:val="00DF01B7"/>
    <w:rsid w:val="00DF1A94"/>
    <w:rsid w:val="00DF1AB0"/>
    <w:rsid w:val="00DF3572"/>
    <w:rsid w:val="00DF3D62"/>
    <w:rsid w:val="00DF3DC3"/>
    <w:rsid w:val="00DF5D86"/>
    <w:rsid w:val="00DF7431"/>
    <w:rsid w:val="00DF766D"/>
    <w:rsid w:val="00E0003A"/>
    <w:rsid w:val="00E001FD"/>
    <w:rsid w:val="00E00A91"/>
    <w:rsid w:val="00E00C8F"/>
    <w:rsid w:val="00E01228"/>
    <w:rsid w:val="00E01E32"/>
    <w:rsid w:val="00E01EB1"/>
    <w:rsid w:val="00E03C4B"/>
    <w:rsid w:val="00E03E72"/>
    <w:rsid w:val="00E043F6"/>
    <w:rsid w:val="00E045DB"/>
    <w:rsid w:val="00E05677"/>
    <w:rsid w:val="00E056AD"/>
    <w:rsid w:val="00E05725"/>
    <w:rsid w:val="00E05752"/>
    <w:rsid w:val="00E0606D"/>
    <w:rsid w:val="00E061AD"/>
    <w:rsid w:val="00E062F9"/>
    <w:rsid w:val="00E072D0"/>
    <w:rsid w:val="00E077CC"/>
    <w:rsid w:val="00E10866"/>
    <w:rsid w:val="00E10D07"/>
    <w:rsid w:val="00E1139C"/>
    <w:rsid w:val="00E11519"/>
    <w:rsid w:val="00E11875"/>
    <w:rsid w:val="00E118F7"/>
    <w:rsid w:val="00E11D3A"/>
    <w:rsid w:val="00E11EC7"/>
    <w:rsid w:val="00E11FE8"/>
    <w:rsid w:val="00E1240A"/>
    <w:rsid w:val="00E13143"/>
    <w:rsid w:val="00E1372F"/>
    <w:rsid w:val="00E137CA"/>
    <w:rsid w:val="00E13ABB"/>
    <w:rsid w:val="00E14386"/>
    <w:rsid w:val="00E14A41"/>
    <w:rsid w:val="00E14C6C"/>
    <w:rsid w:val="00E14D8A"/>
    <w:rsid w:val="00E14F00"/>
    <w:rsid w:val="00E14F86"/>
    <w:rsid w:val="00E159C7"/>
    <w:rsid w:val="00E15C99"/>
    <w:rsid w:val="00E20FBE"/>
    <w:rsid w:val="00E21DE2"/>
    <w:rsid w:val="00E22951"/>
    <w:rsid w:val="00E22B5B"/>
    <w:rsid w:val="00E24262"/>
    <w:rsid w:val="00E244D3"/>
    <w:rsid w:val="00E24670"/>
    <w:rsid w:val="00E24B25"/>
    <w:rsid w:val="00E24BE9"/>
    <w:rsid w:val="00E2531F"/>
    <w:rsid w:val="00E25DAE"/>
    <w:rsid w:val="00E26151"/>
    <w:rsid w:val="00E26B02"/>
    <w:rsid w:val="00E27FE3"/>
    <w:rsid w:val="00E31688"/>
    <w:rsid w:val="00E3283B"/>
    <w:rsid w:val="00E32DAB"/>
    <w:rsid w:val="00E33315"/>
    <w:rsid w:val="00E33CE8"/>
    <w:rsid w:val="00E356FC"/>
    <w:rsid w:val="00E3596D"/>
    <w:rsid w:val="00E36295"/>
    <w:rsid w:val="00E36556"/>
    <w:rsid w:val="00E36751"/>
    <w:rsid w:val="00E36BA6"/>
    <w:rsid w:val="00E36D8E"/>
    <w:rsid w:val="00E3765A"/>
    <w:rsid w:val="00E37D1E"/>
    <w:rsid w:val="00E405AB"/>
    <w:rsid w:val="00E40696"/>
    <w:rsid w:val="00E41C8A"/>
    <w:rsid w:val="00E42777"/>
    <w:rsid w:val="00E4418B"/>
    <w:rsid w:val="00E44556"/>
    <w:rsid w:val="00E44A72"/>
    <w:rsid w:val="00E44C32"/>
    <w:rsid w:val="00E45652"/>
    <w:rsid w:val="00E45C84"/>
    <w:rsid w:val="00E45DEF"/>
    <w:rsid w:val="00E467DC"/>
    <w:rsid w:val="00E468B8"/>
    <w:rsid w:val="00E46E30"/>
    <w:rsid w:val="00E47679"/>
    <w:rsid w:val="00E50286"/>
    <w:rsid w:val="00E50619"/>
    <w:rsid w:val="00E509F2"/>
    <w:rsid w:val="00E51C92"/>
    <w:rsid w:val="00E52152"/>
    <w:rsid w:val="00E52264"/>
    <w:rsid w:val="00E5295C"/>
    <w:rsid w:val="00E541C6"/>
    <w:rsid w:val="00E54954"/>
    <w:rsid w:val="00E54E2B"/>
    <w:rsid w:val="00E556FE"/>
    <w:rsid w:val="00E55B3C"/>
    <w:rsid w:val="00E56EAA"/>
    <w:rsid w:val="00E5774A"/>
    <w:rsid w:val="00E57966"/>
    <w:rsid w:val="00E57D0B"/>
    <w:rsid w:val="00E57D52"/>
    <w:rsid w:val="00E613A2"/>
    <w:rsid w:val="00E61895"/>
    <w:rsid w:val="00E62D2E"/>
    <w:rsid w:val="00E6307D"/>
    <w:rsid w:val="00E633FA"/>
    <w:rsid w:val="00E636A6"/>
    <w:rsid w:val="00E6389D"/>
    <w:rsid w:val="00E63E6C"/>
    <w:rsid w:val="00E64567"/>
    <w:rsid w:val="00E64E8E"/>
    <w:rsid w:val="00E6512D"/>
    <w:rsid w:val="00E6525B"/>
    <w:rsid w:val="00E657CE"/>
    <w:rsid w:val="00E66912"/>
    <w:rsid w:val="00E66A42"/>
    <w:rsid w:val="00E67203"/>
    <w:rsid w:val="00E6760D"/>
    <w:rsid w:val="00E67E53"/>
    <w:rsid w:val="00E709EC"/>
    <w:rsid w:val="00E70B7B"/>
    <w:rsid w:val="00E71700"/>
    <w:rsid w:val="00E71E20"/>
    <w:rsid w:val="00E721A8"/>
    <w:rsid w:val="00E725CC"/>
    <w:rsid w:val="00E75CE1"/>
    <w:rsid w:val="00E75EC8"/>
    <w:rsid w:val="00E76BB6"/>
    <w:rsid w:val="00E76C5A"/>
    <w:rsid w:val="00E77C10"/>
    <w:rsid w:val="00E77ECD"/>
    <w:rsid w:val="00E80995"/>
    <w:rsid w:val="00E81001"/>
    <w:rsid w:val="00E81856"/>
    <w:rsid w:val="00E8197C"/>
    <w:rsid w:val="00E830A9"/>
    <w:rsid w:val="00E83264"/>
    <w:rsid w:val="00E83D7A"/>
    <w:rsid w:val="00E8462B"/>
    <w:rsid w:val="00E84B42"/>
    <w:rsid w:val="00E84F33"/>
    <w:rsid w:val="00E86095"/>
    <w:rsid w:val="00E8641B"/>
    <w:rsid w:val="00E86957"/>
    <w:rsid w:val="00E872B4"/>
    <w:rsid w:val="00E875B5"/>
    <w:rsid w:val="00E879DE"/>
    <w:rsid w:val="00E87BD8"/>
    <w:rsid w:val="00E87E02"/>
    <w:rsid w:val="00E90BC1"/>
    <w:rsid w:val="00E90D42"/>
    <w:rsid w:val="00E9226A"/>
    <w:rsid w:val="00E92A77"/>
    <w:rsid w:val="00E92F77"/>
    <w:rsid w:val="00E93BE6"/>
    <w:rsid w:val="00E93E6C"/>
    <w:rsid w:val="00E94243"/>
    <w:rsid w:val="00E942AE"/>
    <w:rsid w:val="00E94D14"/>
    <w:rsid w:val="00E9529D"/>
    <w:rsid w:val="00E963E3"/>
    <w:rsid w:val="00E96779"/>
    <w:rsid w:val="00E96AA2"/>
    <w:rsid w:val="00EA04EC"/>
    <w:rsid w:val="00EA08A8"/>
    <w:rsid w:val="00EA08F6"/>
    <w:rsid w:val="00EA0CF2"/>
    <w:rsid w:val="00EA205B"/>
    <w:rsid w:val="00EA2BD7"/>
    <w:rsid w:val="00EA2D32"/>
    <w:rsid w:val="00EA3094"/>
    <w:rsid w:val="00EA353C"/>
    <w:rsid w:val="00EA4698"/>
    <w:rsid w:val="00EA494D"/>
    <w:rsid w:val="00EA4D92"/>
    <w:rsid w:val="00EA5264"/>
    <w:rsid w:val="00EA5290"/>
    <w:rsid w:val="00EB03E4"/>
    <w:rsid w:val="00EB0A83"/>
    <w:rsid w:val="00EB0F20"/>
    <w:rsid w:val="00EB1B31"/>
    <w:rsid w:val="00EB1E6C"/>
    <w:rsid w:val="00EB2078"/>
    <w:rsid w:val="00EB34C9"/>
    <w:rsid w:val="00EB41C8"/>
    <w:rsid w:val="00EB43AA"/>
    <w:rsid w:val="00EB4548"/>
    <w:rsid w:val="00EB4989"/>
    <w:rsid w:val="00EB49CB"/>
    <w:rsid w:val="00EB49F2"/>
    <w:rsid w:val="00EB4C46"/>
    <w:rsid w:val="00EB59BA"/>
    <w:rsid w:val="00EB6575"/>
    <w:rsid w:val="00EB6C8A"/>
    <w:rsid w:val="00EB79E7"/>
    <w:rsid w:val="00EC0440"/>
    <w:rsid w:val="00EC07E6"/>
    <w:rsid w:val="00EC0A0C"/>
    <w:rsid w:val="00EC0F98"/>
    <w:rsid w:val="00EC103C"/>
    <w:rsid w:val="00EC2834"/>
    <w:rsid w:val="00EC3311"/>
    <w:rsid w:val="00EC3E84"/>
    <w:rsid w:val="00EC4516"/>
    <w:rsid w:val="00EC54A9"/>
    <w:rsid w:val="00EC594D"/>
    <w:rsid w:val="00EC5AFE"/>
    <w:rsid w:val="00EC5C74"/>
    <w:rsid w:val="00EC5E36"/>
    <w:rsid w:val="00EC7156"/>
    <w:rsid w:val="00EC7950"/>
    <w:rsid w:val="00EC7E09"/>
    <w:rsid w:val="00ED17AF"/>
    <w:rsid w:val="00ED1EF3"/>
    <w:rsid w:val="00ED24B3"/>
    <w:rsid w:val="00ED4293"/>
    <w:rsid w:val="00ED538A"/>
    <w:rsid w:val="00ED55F6"/>
    <w:rsid w:val="00ED6143"/>
    <w:rsid w:val="00ED6BB3"/>
    <w:rsid w:val="00ED6D61"/>
    <w:rsid w:val="00ED70A4"/>
    <w:rsid w:val="00ED742D"/>
    <w:rsid w:val="00ED7E18"/>
    <w:rsid w:val="00EE0281"/>
    <w:rsid w:val="00EE0F06"/>
    <w:rsid w:val="00EE14A9"/>
    <w:rsid w:val="00EE3338"/>
    <w:rsid w:val="00EE36AC"/>
    <w:rsid w:val="00EE5898"/>
    <w:rsid w:val="00EE590E"/>
    <w:rsid w:val="00EE6AB3"/>
    <w:rsid w:val="00EE6F31"/>
    <w:rsid w:val="00EE75B5"/>
    <w:rsid w:val="00EE7A31"/>
    <w:rsid w:val="00EF07E2"/>
    <w:rsid w:val="00EF0A5E"/>
    <w:rsid w:val="00EF0B44"/>
    <w:rsid w:val="00EF0DBA"/>
    <w:rsid w:val="00EF1248"/>
    <w:rsid w:val="00EF15C0"/>
    <w:rsid w:val="00EF15D6"/>
    <w:rsid w:val="00EF29DF"/>
    <w:rsid w:val="00EF3002"/>
    <w:rsid w:val="00EF4028"/>
    <w:rsid w:val="00EF4A82"/>
    <w:rsid w:val="00EF7813"/>
    <w:rsid w:val="00EF79F7"/>
    <w:rsid w:val="00EF7E10"/>
    <w:rsid w:val="00F00FD9"/>
    <w:rsid w:val="00F0121D"/>
    <w:rsid w:val="00F014D1"/>
    <w:rsid w:val="00F01640"/>
    <w:rsid w:val="00F01D31"/>
    <w:rsid w:val="00F026C6"/>
    <w:rsid w:val="00F02B56"/>
    <w:rsid w:val="00F042F2"/>
    <w:rsid w:val="00F04423"/>
    <w:rsid w:val="00F0505C"/>
    <w:rsid w:val="00F05921"/>
    <w:rsid w:val="00F05FA4"/>
    <w:rsid w:val="00F06644"/>
    <w:rsid w:val="00F06CE1"/>
    <w:rsid w:val="00F06D36"/>
    <w:rsid w:val="00F0760D"/>
    <w:rsid w:val="00F10524"/>
    <w:rsid w:val="00F108FB"/>
    <w:rsid w:val="00F12022"/>
    <w:rsid w:val="00F12D6F"/>
    <w:rsid w:val="00F13456"/>
    <w:rsid w:val="00F14235"/>
    <w:rsid w:val="00F14878"/>
    <w:rsid w:val="00F14B55"/>
    <w:rsid w:val="00F14EB1"/>
    <w:rsid w:val="00F17522"/>
    <w:rsid w:val="00F1759A"/>
    <w:rsid w:val="00F175E1"/>
    <w:rsid w:val="00F17F78"/>
    <w:rsid w:val="00F211F0"/>
    <w:rsid w:val="00F234F7"/>
    <w:rsid w:val="00F237C7"/>
    <w:rsid w:val="00F2431D"/>
    <w:rsid w:val="00F247C2"/>
    <w:rsid w:val="00F25C51"/>
    <w:rsid w:val="00F2647C"/>
    <w:rsid w:val="00F26728"/>
    <w:rsid w:val="00F27339"/>
    <w:rsid w:val="00F27A2C"/>
    <w:rsid w:val="00F27A37"/>
    <w:rsid w:val="00F306B2"/>
    <w:rsid w:val="00F319F6"/>
    <w:rsid w:val="00F31EBB"/>
    <w:rsid w:val="00F32187"/>
    <w:rsid w:val="00F32ACF"/>
    <w:rsid w:val="00F32E2E"/>
    <w:rsid w:val="00F33688"/>
    <w:rsid w:val="00F3383F"/>
    <w:rsid w:val="00F34224"/>
    <w:rsid w:val="00F35608"/>
    <w:rsid w:val="00F35789"/>
    <w:rsid w:val="00F3635E"/>
    <w:rsid w:val="00F36520"/>
    <w:rsid w:val="00F36CCF"/>
    <w:rsid w:val="00F40C91"/>
    <w:rsid w:val="00F41963"/>
    <w:rsid w:val="00F425D1"/>
    <w:rsid w:val="00F4307B"/>
    <w:rsid w:val="00F43861"/>
    <w:rsid w:val="00F439AE"/>
    <w:rsid w:val="00F44560"/>
    <w:rsid w:val="00F44B23"/>
    <w:rsid w:val="00F451B5"/>
    <w:rsid w:val="00F4562D"/>
    <w:rsid w:val="00F45D0B"/>
    <w:rsid w:val="00F46066"/>
    <w:rsid w:val="00F5061F"/>
    <w:rsid w:val="00F50960"/>
    <w:rsid w:val="00F50B5B"/>
    <w:rsid w:val="00F5225C"/>
    <w:rsid w:val="00F528F3"/>
    <w:rsid w:val="00F53165"/>
    <w:rsid w:val="00F53753"/>
    <w:rsid w:val="00F53C24"/>
    <w:rsid w:val="00F555F6"/>
    <w:rsid w:val="00F55AD0"/>
    <w:rsid w:val="00F5624F"/>
    <w:rsid w:val="00F56347"/>
    <w:rsid w:val="00F57261"/>
    <w:rsid w:val="00F57B07"/>
    <w:rsid w:val="00F6021F"/>
    <w:rsid w:val="00F60391"/>
    <w:rsid w:val="00F60619"/>
    <w:rsid w:val="00F606BF"/>
    <w:rsid w:val="00F61278"/>
    <w:rsid w:val="00F625B7"/>
    <w:rsid w:val="00F63545"/>
    <w:rsid w:val="00F63CCD"/>
    <w:rsid w:val="00F63EA4"/>
    <w:rsid w:val="00F64231"/>
    <w:rsid w:val="00F64CAD"/>
    <w:rsid w:val="00F64CF9"/>
    <w:rsid w:val="00F65052"/>
    <w:rsid w:val="00F6600E"/>
    <w:rsid w:val="00F6604B"/>
    <w:rsid w:val="00F667DC"/>
    <w:rsid w:val="00F7046A"/>
    <w:rsid w:val="00F70936"/>
    <w:rsid w:val="00F712AB"/>
    <w:rsid w:val="00F71434"/>
    <w:rsid w:val="00F720BC"/>
    <w:rsid w:val="00F726C7"/>
    <w:rsid w:val="00F72B85"/>
    <w:rsid w:val="00F72CAB"/>
    <w:rsid w:val="00F7359F"/>
    <w:rsid w:val="00F7363B"/>
    <w:rsid w:val="00F73986"/>
    <w:rsid w:val="00F744F7"/>
    <w:rsid w:val="00F74C13"/>
    <w:rsid w:val="00F74D79"/>
    <w:rsid w:val="00F76364"/>
    <w:rsid w:val="00F778EB"/>
    <w:rsid w:val="00F77B5C"/>
    <w:rsid w:val="00F80026"/>
    <w:rsid w:val="00F803B6"/>
    <w:rsid w:val="00F81511"/>
    <w:rsid w:val="00F8245E"/>
    <w:rsid w:val="00F82FE7"/>
    <w:rsid w:val="00F831AE"/>
    <w:rsid w:val="00F8486C"/>
    <w:rsid w:val="00F84934"/>
    <w:rsid w:val="00F84A18"/>
    <w:rsid w:val="00F85013"/>
    <w:rsid w:val="00F859AD"/>
    <w:rsid w:val="00F87D2B"/>
    <w:rsid w:val="00F87DA0"/>
    <w:rsid w:val="00F90850"/>
    <w:rsid w:val="00F90A37"/>
    <w:rsid w:val="00F9141D"/>
    <w:rsid w:val="00F91611"/>
    <w:rsid w:val="00F92D5A"/>
    <w:rsid w:val="00F93AB3"/>
    <w:rsid w:val="00F93D8D"/>
    <w:rsid w:val="00F941C7"/>
    <w:rsid w:val="00F94C82"/>
    <w:rsid w:val="00F94EF8"/>
    <w:rsid w:val="00F96E65"/>
    <w:rsid w:val="00F96FDB"/>
    <w:rsid w:val="00FA0A5A"/>
    <w:rsid w:val="00FA0ED2"/>
    <w:rsid w:val="00FA140B"/>
    <w:rsid w:val="00FA18DA"/>
    <w:rsid w:val="00FA1CAC"/>
    <w:rsid w:val="00FA27BC"/>
    <w:rsid w:val="00FA2AC5"/>
    <w:rsid w:val="00FA2EF6"/>
    <w:rsid w:val="00FA2F4B"/>
    <w:rsid w:val="00FA40E1"/>
    <w:rsid w:val="00FA42E1"/>
    <w:rsid w:val="00FA4BD7"/>
    <w:rsid w:val="00FA5113"/>
    <w:rsid w:val="00FA582E"/>
    <w:rsid w:val="00FA75F9"/>
    <w:rsid w:val="00FB07B3"/>
    <w:rsid w:val="00FB0D43"/>
    <w:rsid w:val="00FB1A09"/>
    <w:rsid w:val="00FB1A2F"/>
    <w:rsid w:val="00FB2495"/>
    <w:rsid w:val="00FB2523"/>
    <w:rsid w:val="00FB2D72"/>
    <w:rsid w:val="00FB354C"/>
    <w:rsid w:val="00FB403A"/>
    <w:rsid w:val="00FB48A6"/>
    <w:rsid w:val="00FB49CE"/>
    <w:rsid w:val="00FB4D61"/>
    <w:rsid w:val="00FB5246"/>
    <w:rsid w:val="00FB59B3"/>
    <w:rsid w:val="00FB63A6"/>
    <w:rsid w:val="00FB6FD9"/>
    <w:rsid w:val="00FB7B4C"/>
    <w:rsid w:val="00FB7D9F"/>
    <w:rsid w:val="00FC081D"/>
    <w:rsid w:val="00FC2615"/>
    <w:rsid w:val="00FC2AA5"/>
    <w:rsid w:val="00FC52D7"/>
    <w:rsid w:val="00FC57AA"/>
    <w:rsid w:val="00FC6942"/>
    <w:rsid w:val="00FC6AE2"/>
    <w:rsid w:val="00FC7335"/>
    <w:rsid w:val="00FC7E6B"/>
    <w:rsid w:val="00FC7EA7"/>
    <w:rsid w:val="00FD190B"/>
    <w:rsid w:val="00FD1BAB"/>
    <w:rsid w:val="00FD2B3A"/>
    <w:rsid w:val="00FD3499"/>
    <w:rsid w:val="00FD3E0A"/>
    <w:rsid w:val="00FD4A23"/>
    <w:rsid w:val="00FD79B9"/>
    <w:rsid w:val="00FE0107"/>
    <w:rsid w:val="00FE0512"/>
    <w:rsid w:val="00FE0537"/>
    <w:rsid w:val="00FE0BA4"/>
    <w:rsid w:val="00FE10DE"/>
    <w:rsid w:val="00FE17FF"/>
    <w:rsid w:val="00FE184B"/>
    <w:rsid w:val="00FE3509"/>
    <w:rsid w:val="00FE3727"/>
    <w:rsid w:val="00FE3AD1"/>
    <w:rsid w:val="00FE40E0"/>
    <w:rsid w:val="00FE40E5"/>
    <w:rsid w:val="00FE4273"/>
    <w:rsid w:val="00FE43DF"/>
    <w:rsid w:val="00FE45D6"/>
    <w:rsid w:val="00FE47A7"/>
    <w:rsid w:val="00FE5E89"/>
    <w:rsid w:val="00FE5F30"/>
    <w:rsid w:val="00FE737D"/>
    <w:rsid w:val="00FF040C"/>
    <w:rsid w:val="00FF1264"/>
    <w:rsid w:val="00FF26ED"/>
    <w:rsid w:val="00FF3076"/>
    <w:rsid w:val="00FF4B75"/>
    <w:rsid w:val="00FF519A"/>
    <w:rsid w:val="00FF5B8F"/>
    <w:rsid w:val="00FF5E71"/>
    <w:rsid w:val="00FF69E7"/>
    <w:rsid w:val="00FF74E4"/>
    <w:rsid w:val="00FF790C"/>
    <w:rsid w:val="00FF7E39"/>
    <w:rsid w:val="0262D6C5"/>
    <w:rsid w:val="047DA81D"/>
    <w:rsid w:val="0AC8B4D1"/>
    <w:rsid w:val="0F131E7F"/>
    <w:rsid w:val="0F27F296"/>
    <w:rsid w:val="0FEC8BFD"/>
    <w:rsid w:val="1199655F"/>
    <w:rsid w:val="132B641C"/>
    <w:rsid w:val="18DAEF4C"/>
    <w:rsid w:val="194F23F8"/>
    <w:rsid w:val="195760F9"/>
    <w:rsid w:val="1A1A2057"/>
    <w:rsid w:val="1AD76398"/>
    <w:rsid w:val="1AFA847E"/>
    <w:rsid w:val="1B8A2A76"/>
    <w:rsid w:val="23F29DAA"/>
    <w:rsid w:val="2CC9078C"/>
    <w:rsid w:val="325F15C5"/>
    <w:rsid w:val="36C41C45"/>
    <w:rsid w:val="374E6579"/>
    <w:rsid w:val="37DD8DC1"/>
    <w:rsid w:val="458CAE69"/>
    <w:rsid w:val="47FB5BDA"/>
    <w:rsid w:val="4818A969"/>
    <w:rsid w:val="54E706D2"/>
    <w:rsid w:val="5AA112F8"/>
    <w:rsid w:val="5B32CCE1"/>
    <w:rsid w:val="5CA6768A"/>
    <w:rsid w:val="669E2501"/>
    <w:rsid w:val="698BD7A1"/>
    <w:rsid w:val="6AC59EB5"/>
    <w:rsid w:val="6D88DC13"/>
    <w:rsid w:val="7F83C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59AD532E-68C1-4788-8779-E6E128DD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87C"/>
    <w:pPr>
      <w:tabs>
        <w:tab w:val="left" w:pos="288"/>
      </w:tabs>
      <w:spacing w:after="120" w:line="240" w:lineRule="auto"/>
    </w:pPr>
    <w:rPr>
      <w:rFonts w:eastAsiaTheme="minorEastAsia" w:cs="Times New Roman"/>
      <w:sz w:val="24"/>
      <w:szCs w:val="24"/>
      <w:lang w:eastAsia="ja-JP"/>
    </w:rPr>
  </w:style>
  <w:style w:type="paragraph" w:styleId="Heading1">
    <w:name w:val="heading 1"/>
    <w:basedOn w:val="Normal"/>
    <w:next w:val="Normal"/>
    <w:link w:val="Heading1Char"/>
    <w:uiPriority w:val="9"/>
    <w:qFormat/>
    <w:rsid w:val="001545DE"/>
    <w:pPr>
      <w:keepNext/>
      <w:keepLines/>
      <w:tabs>
        <w:tab w:val="clear" w:pos="288"/>
      </w:tabs>
      <w:outlineLvl w:val="0"/>
    </w:pPr>
    <w:rPr>
      <w:rFonts w:eastAsia="Times New Roman"/>
      <w:b/>
      <w:bCs/>
      <w:sz w:val="32"/>
      <w:szCs w:val="28"/>
      <w:lang w:eastAsia="en-US"/>
    </w:rPr>
  </w:style>
  <w:style w:type="paragraph" w:styleId="Heading2">
    <w:name w:val="heading 2"/>
    <w:basedOn w:val="Normal"/>
    <w:next w:val="Normal"/>
    <w:link w:val="Heading2Char"/>
    <w:uiPriority w:val="9"/>
    <w:unhideWhenUsed/>
    <w:qFormat/>
    <w:rsid w:val="001545DE"/>
    <w:pPr>
      <w:keepNext/>
      <w:keepLines/>
      <w:ind w:left="288"/>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1545DE"/>
    <w:rPr>
      <w:rFonts w:eastAsia="Times New Roman" w:cs="Times New Roman"/>
      <w:b/>
      <w:bCs/>
      <w:sz w:val="32"/>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NoSpacing">
    <w:name w:val="No Spacing"/>
    <w:uiPriority w:val="1"/>
    <w:qFormat/>
    <w:rsid w:val="002006C3"/>
    <w:pPr>
      <w:tabs>
        <w:tab w:val="left" w:pos="288"/>
      </w:tabs>
      <w:spacing w:after="0" w:line="240" w:lineRule="auto"/>
    </w:pPr>
    <w:rPr>
      <w:rFonts w:eastAsiaTheme="minorEastAsia" w:cs="Times New Roman"/>
      <w:sz w:val="24"/>
      <w:szCs w:val="24"/>
      <w:lang w:eastAsia="ja-JP"/>
    </w:rPr>
  </w:style>
  <w:style w:type="character" w:customStyle="1" w:styleId="Heading2Char">
    <w:name w:val="Heading 2 Char"/>
    <w:basedOn w:val="DefaultParagraphFont"/>
    <w:link w:val="Heading2"/>
    <w:uiPriority w:val="9"/>
    <w:rsid w:val="001545DE"/>
    <w:rPr>
      <w:rFonts w:asciiTheme="majorHAnsi" w:eastAsiaTheme="majorEastAsia" w:hAnsiTheme="majorHAnsi" w:cstheme="majorBidi"/>
      <w:b/>
      <w:sz w:val="28"/>
      <w:szCs w:val="26"/>
      <w:lang w:eastAsia="ja-JP"/>
    </w:rPr>
  </w:style>
  <w:style w:type="paragraph" w:styleId="Title">
    <w:name w:val="Title"/>
    <w:basedOn w:val="Normal"/>
    <w:next w:val="Normal"/>
    <w:link w:val="TitleChar"/>
    <w:uiPriority w:val="10"/>
    <w:qFormat/>
    <w:rsid w:val="002006C3"/>
    <w:pPr>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2006C3"/>
    <w:rPr>
      <w:rFonts w:ascii="Calibri" w:eastAsiaTheme="majorEastAsia" w:hAnsi="Calibri" w:cstheme="majorBidi"/>
      <w:spacing w:val="-10"/>
      <w:kern w:val="28"/>
      <w:sz w:val="40"/>
      <w:szCs w:val="56"/>
      <w:lang w:eastAsia="ja-JP"/>
    </w:rPr>
  </w:style>
  <w:style w:type="paragraph" w:styleId="Subtitle">
    <w:name w:val="Subtitle"/>
    <w:basedOn w:val="Normal"/>
    <w:next w:val="Normal"/>
    <w:link w:val="SubtitleChar"/>
    <w:uiPriority w:val="11"/>
    <w:qFormat/>
    <w:rsid w:val="002006C3"/>
    <w:pPr>
      <w:numPr>
        <w:ilvl w:val="1"/>
      </w:numPr>
    </w:pPr>
    <w:rPr>
      <w:rFonts w:cstheme="minorBidi"/>
      <w:b/>
      <w:color w:val="FF0000"/>
      <w:spacing w:val="15"/>
      <w:sz w:val="36"/>
      <w:szCs w:val="22"/>
    </w:rPr>
  </w:style>
  <w:style w:type="character" w:customStyle="1" w:styleId="SubtitleChar">
    <w:name w:val="Subtitle Char"/>
    <w:basedOn w:val="DefaultParagraphFont"/>
    <w:link w:val="Subtitle"/>
    <w:uiPriority w:val="11"/>
    <w:rsid w:val="002006C3"/>
    <w:rPr>
      <w:rFonts w:eastAsiaTheme="minorEastAsia"/>
      <w:b/>
      <w:color w:val="FF0000"/>
      <w:spacing w:val="15"/>
      <w:sz w:val="36"/>
      <w:lang w:eastAsia="ja-JP"/>
    </w:rPr>
  </w:style>
  <w:style w:type="table" w:styleId="TableGrid">
    <w:name w:val="Table Grid"/>
    <w:basedOn w:val="TableNormal"/>
    <w:uiPriority w:val="39"/>
    <w:rsid w:val="004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FB6"/>
    <w:rPr>
      <w:color w:val="0563C1" w:themeColor="hyperlink"/>
      <w:u w:val="single"/>
    </w:rPr>
  </w:style>
  <w:style w:type="character" w:styleId="UnresolvedMention">
    <w:name w:val="Unresolved Mention"/>
    <w:basedOn w:val="DefaultParagraphFont"/>
    <w:uiPriority w:val="99"/>
    <w:unhideWhenUsed/>
    <w:rsid w:val="004F0FB6"/>
    <w:rPr>
      <w:color w:val="605E5C"/>
      <w:shd w:val="clear" w:color="auto" w:fill="E1DFDD"/>
    </w:rPr>
  </w:style>
  <w:style w:type="paragraph" w:styleId="FootnoteText">
    <w:name w:val="footnote text"/>
    <w:basedOn w:val="Normal"/>
    <w:link w:val="FootnoteTextChar"/>
    <w:unhideWhenUsed/>
    <w:rsid w:val="005C3C38"/>
    <w:pPr>
      <w:spacing w:after="0"/>
    </w:pPr>
    <w:rPr>
      <w:sz w:val="20"/>
      <w:szCs w:val="20"/>
    </w:rPr>
  </w:style>
  <w:style w:type="character" w:customStyle="1" w:styleId="FootnoteTextChar">
    <w:name w:val="Footnote Text Char"/>
    <w:basedOn w:val="DefaultParagraphFont"/>
    <w:link w:val="FootnoteText"/>
    <w:rsid w:val="005C3C38"/>
    <w:rPr>
      <w:rFonts w:eastAsiaTheme="minorEastAsia" w:cs="Times New Roman"/>
      <w:sz w:val="20"/>
      <w:szCs w:val="20"/>
      <w:lang w:eastAsia="ja-JP"/>
    </w:rPr>
  </w:style>
  <w:style w:type="character" w:styleId="FootnoteReference">
    <w:name w:val="footnote reference"/>
    <w:basedOn w:val="DefaultParagraphFont"/>
    <w:uiPriority w:val="99"/>
    <w:semiHidden/>
    <w:unhideWhenUsed/>
    <w:rsid w:val="005C3C38"/>
    <w:rPr>
      <w:vertAlign w:val="superscript"/>
    </w:rPr>
  </w:style>
  <w:style w:type="character" w:styleId="CommentReference">
    <w:name w:val="annotation reference"/>
    <w:basedOn w:val="DefaultParagraphFont"/>
    <w:uiPriority w:val="99"/>
    <w:semiHidden/>
    <w:unhideWhenUsed/>
    <w:rsid w:val="00417687"/>
    <w:rPr>
      <w:sz w:val="16"/>
      <w:szCs w:val="16"/>
    </w:rPr>
  </w:style>
  <w:style w:type="paragraph" w:styleId="CommentText">
    <w:name w:val="annotation text"/>
    <w:basedOn w:val="Normal"/>
    <w:link w:val="CommentTextChar"/>
    <w:uiPriority w:val="99"/>
    <w:unhideWhenUsed/>
    <w:rsid w:val="00417687"/>
    <w:rPr>
      <w:sz w:val="20"/>
      <w:szCs w:val="20"/>
    </w:rPr>
  </w:style>
  <w:style w:type="character" w:customStyle="1" w:styleId="CommentTextChar">
    <w:name w:val="Comment Text Char"/>
    <w:basedOn w:val="DefaultParagraphFont"/>
    <w:link w:val="CommentText"/>
    <w:uiPriority w:val="99"/>
    <w:rsid w:val="00417687"/>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417687"/>
    <w:rPr>
      <w:b/>
      <w:bCs/>
    </w:rPr>
  </w:style>
  <w:style w:type="character" w:customStyle="1" w:styleId="CommentSubjectChar">
    <w:name w:val="Comment Subject Char"/>
    <w:basedOn w:val="CommentTextChar"/>
    <w:link w:val="CommentSubject"/>
    <w:uiPriority w:val="99"/>
    <w:semiHidden/>
    <w:rsid w:val="00417687"/>
    <w:rPr>
      <w:rFonts w:eastAsiaTheme="minorEastAsia" w:cs="Times New Roman"/>
      <w:b/>
      <w:bCs/>
      <w:sz w:val="20"/>
      <w:szCs w:val="20"/>
      <w:lang w:eastAsia="ja-JP"/>
    </w:rPr>
  </w:style>
  <w:style w:type="paragraph" w:customStyle="1" w:styleId="Default">
    <w:name w:val="Default"/>
    <w:rsid w:val="003D692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D679F"/>
    <w:rPr>
      <w:color w:val="954F72" w:themeColor="followedHyperlink"/>
      <w:u w:val="single"/>
    </w:rPr>
  </w:style>
  <w:style w:type="paragraph" w:styleId="Revision">
    <w:name w:val="Revision"/>
    <w:hidden/>
    <w:uiPriority w:val="99"/>
    <w:semiHidden/>
    <w:rsid w:val="009B2974"/>
    <w:pPr>
      <w:spacing w:after="0" w:line="240" w:lineRule="auto"/>
    </w:pPr>
    <w:rPr>
      <w:rFonts w:eastAsiaTheme="minorEastAsia" w:cs="Times New Roman"/>
      <w:sz w:val="24"/>
      <w:szCs w:val="24"/>
      <w:lang w:eastAsia="ja-JP"/>
    </w:rPr>
  </w:style>
  <w:style w:type="character" w:styleId="Mention">
    <w:name w:val="Mention"/>
    <w:basedOn w:val="DefaultParagraphFont"/>
    <w:uiPriority w:val="99"/>
    <w:unhideWhenUsed/>
    <w:rsid w:val="001B0C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9004">
      <w:bodyDiv w:val="1"/>
      <w:marLeft w:val="0"/>
      <w:marRight w:val="0"/>
      <w:marTop w:val="0"/>
      <w:marBottom w:val="0"/>
      <w:divBdr>
        <w:top w:val="none" w:sz="0" w:space="0" w:color="auto"/>
        <w:left w:val="none" w:sz="0" w:space="0" w:color="auto"/>
        <w:bottom w:val="none" w:sz="0" w:space="0" w:color="auto"/>
        <w:right w:val="none" w:sz="0" w:space="0" w:color="auto"/>
      </w:divBdr>
    </w:div>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1225680940">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UserInfo>
        <DisplayName>Dayne Kingsford</DisplayName>
        <AccountId>29</AccountId>
        <AccountType/>
      </UserInfo>
    </SharedWithUsers>
    <lcf76f155ced4ddcb4097134ff3c332f xmlns="662b4d72-0963-4903-8d1e-908999ea922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8" ma:contentTypeDescription="Create a new document." ma:contentTypeScope="" ma:versionID="c09c9f68ba97c73b311504c2848350b9">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9b5e23984b6c5ff6ae3116d61c66822c"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2.xml><?xml version="1.0" encoding="utf-8"?>
<ds:datastoreItem xmlns:ds="http://schemas.openxmlformats.org/officeDocument/2006/customXml" ds:itemID="{5BBCF03C-931C-4E0F-BB31-5713FB067712}">
  <ds:schemaRefs>
    <ds:schemaRef ds:uri="http://purl.org/dc/elements/1.1/"/>
    <ds:schemaRef ds:uri="http://schemas.microsoft.com/sharepoint/v3"/>
    <ds:schemaRef ds:uri="http://www.w3.org/XML/1998/namespace"/>
    <ds:schemaRef ds:uri="662b4d72-0963-4903-8d1e-908999ea922a"/>
    <ds:schemaRef ds:uri="http://purl.org/dc/terms/"/>
    <ds:schemaRef ds:uri="422eb771-ca73-43f7-ae9a-92fcdf6b2d8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BEC24DD-B85F-447E-A130-AF0064439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D1BCE-0E09-48B1-8C5E-5BDD89FD6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12199</Words>
  <Characters>69537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81573</CharactersWithSpaces>
  <SharedDoc>false</SharedDoc>
  <HLinks>
    <vt:vector size="6" baseType="variant">
      <vt:variant>
        <vt:i4>721016</vt:i4>
      </vt:variant>
      <vt:variant>
        <vt:i4>6</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5</cp:revision>
  <cp:lastPrinted>2022-12-21T01:28:00Z</cp:lastPrinted>
  <dcterms:created xsi:type="dcterms:W3CDTF">2022-12-21T01:28:00Z</dcterms:created>
  <dcterms:modified xsi:type="dcterms:W3CDTF">2022-12-21T01:39:00Z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