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4AE6F9F2" w:rsidR="007A3268" w:rsidRPr="006625CA" w:rsidRDefault="007A3268" w:rsidP="00DD7EB9">
      <w:pPr>
        <w:rPr>
          <w:rFonts w:ascii="Arial" w:hAnsi="Arial" w:cs="Arial"/>
          <w:sz w:val="18"/>
          <w:szCs w:val="18"/>
        </w:rPr>
      </w:pPr>
    </w:p>
    <w:p w14:paraId="68AA3928" w14:textId="671F743F" w:rsidR="194F23F8" w:rsidRDefault="00861FDF" w:rsidP="00A14748">
      <w:pPr>
        <w:pStyle w:val="Title"/>
        <w:ind w:left="1134"/>
        <w:rPr>
          <w:rStyle w:val="BookTitle"/>
          <w:rFonts w:ascii="Calibri" w:hAnsi="Calibri"/>
          <w:iCs w:val="0"/>
          <w:color w:val="auto"/>
          <w:spacing w:val="-10"/>
          <w:sz w:val="40"/>
        </w:rPr>
      </w:pPr>
      <w:r>
        <w:rPr>
          <w:rStyle w:val="BookTitle"/>
          <w:rFonts w:ascii="Calibri" w:hAnsi="Calibri"/>
          <w:iCs w:val="0"/>
          <w:color w:val="auto"/>
          <w:spacing w:val="-10"/>
          <w:sz w:val="40"/>
        </w:rPr>
        <w:t>Monitoring of Places of Detention (Optional Protocol to the Convention Against Torture) Bill 2022</w:t>
      </w:r>
    </w:p>
    <w:p w14:paraId="1101017C" w14:textId="77777777" w:rsidR="00A46B85" w:rsidRDefault="00A46B85" w:rsidP="00A46B85"/>
    <w:p w14:paraId="45C0DCDC" w14:textId="77777777" w:rsidR="007568B6" w:rsidRPr="00A46B85" w:rsidRDefault="007568B6" w:rsidP="00A46B85"/>
    <w:p w14:paraId="73C5940B" w14:textId="51F73D2E" w:rsidR="00A46B85" w:rsidRPr="007568B6" w:rsidRDefault="007568B6" w:rsidP="007568B6">
      <w:pPr>
        <w:pStyle w:val="Subtitle"/>
        <w:jc w:val="right"/>
        <w:rPr>
          <w:sz w:val="32"/>
          <w:szCs w:val="20"/>
        </w:rPr>
      </w:pPr>
      <w:r w:rsidRPr="007568B6">
        <w:rPr>
          <w:sz w:val="32"/>
          <w:szCs w:val="20"/>
        </w:rPr>
        <w:t xml:space="preserve">Submission by Queensland Advocacy for Inclusion </w:t>
      </w:r>
    </w:p>
    <w:p w14:paraId="6AF3739C" w14:textId="77777777" w:rsidR="006236E4" w:rsidRDefault="006236E4" w:rsidP="001545DE">
      <w:pPr>
        <w:ind w:left="1134"/>
        <w:rPr>
          <w:b/>
          <w:bCs/>
          <w:sz w:val="36"/>
          <w:szCs w:val="36"/>
        </w:rPr>
      </w:pPr>
    </w:p>
    <w:p w14:paraId="49A81D4E" w14:textId="6EA2B9FA" w:rsidR="132B641C" w:rsidRPr="002006C3" w:rsidRDefault="002006C3" w:rsidP="001545DE">
      <w:pPr>
        <w:ind w:left="1134"/>
        <w:rPr>
          <w:b/>
          <w:bCs/>
          <w:sz w:val="36"/>
          <w:szCs w:val="36"/>
        </w:rPr>
      </w:pPr>
      <w:r w:rsidRPr="002006C3">
        <w:rPr>
          <w:b/>
          <w:bCs/>
          <w:sz w:val="36"/>
          <w:szCs w:val="36"/>
        </w:rPr>
        <w:t>to</w:t>
      </w:r>
    </w:p>
    <w:p w14:paraId="5476F6FA" w14:textId="09A983F4" w:rsidR="1B8A2A76" w:rsidRPr="002006C3" w:rsidRDefault="00861FDF" w:rsidP="001545DE">
      <w:pPr>
        <w:ind w:left="1134"/>
        <w:rPr>
          <w:rFonts w:eastAsia="Calibri"/>
          <w:b/>
          <w:bCs/>
          <w:sz w:val="36"/>
          <w:szCs w:val="36"/>
        </w:rPr>
      </w:pPr>
      <w:r>
        <w:rPr>
          <w:rFonts w:eastAsia="Calibri"/>
          <w:b/>
          <w:bCs/>
          <w:sz w:val="36"/>
          <w:szCs w:val="36"/>
        </w:rPr>
        <w:t>Legal Affairs and Safety Committee</w:t>
      </w:r>
    </w:p>
    <w:p w14:paraId="5AE783B4" w14:textId="5E023E70" w:rsidR="001545DE" w:rsidRDefault="00861FDF" w:rsidP="001545DE">
      <w:pPr>
        <w:ind w:left="1134"/>
        <w:rPr>
          <w:rFonts w:eastAsia="Calibri"/>
          <w:b/>
          <w:bCs/>
          <w:sz w:val="36"/>
          <w:szCs w:val="36"/>
        </w:rPr>
      </w:pPr>
      <w:r>
        <w:rPr>
          <w:rFonts w:eastAsia="Calibri"/>
          <w:b/>
          <w:bCs/>
          <w:sz w:val="36"/>
          <w:szCs w:val="36"/>
        </w:rPr>
        <w:t>January 2023</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r w:rsidRPr="001545DE">
        <w:lastRenderedPageBreak/>
        <w:t xml:space="preserve">About Queensland Advocacy </w:t>
      </w:r>
      <w:r w:rsidR="00DC499F" w:rsidRPr="001545DE">
        <w:t>for Inclusion</w:t>
      </w:r>
    </w:p>
    <w:p w14:paraId="192FF4AF" w14:textId="4A5ED624" w:rsidR="00735296" w:rsidRPr="00BC1C68" w:rsidRDefault="00735296" w:rsidP="00E5774A">
      <w:r w:rsidRPr="00BC1C68">
        <w:t xml:space="preserve">Queensland Advocacy </w:t>
      </w:r>
      <w:r w:rsidR="00DC499F">
        <w:t xml:space="preserve">for Inclusion </w:t>
      </w:r>
      <w:r w:rsidRPr="00BC1C68">
        <w:t>(</w:t>
      </w:r>
      <w:r w:rsidRPr="00BC1C68">
        <w:rPr>
          <w:b/>
        </w:rPr>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 xml:space="preserve">advocate for the protection and advancement of the fundamental needs, </w:t>
      </w:r>
      <w:proofErr w:type="gramStart"/>
      <w:r>
        <w:t>rights</w:t>
      </w:r>
      <w:proofErr w:type="gramEnd"/>
      <w:r>
        <w:t xml:space="preserve"> and lives</w:t>
      </w:r>
      <w:r w:rsidRPr="00BC1C68">
        <w:t xml:space="preserve"> of people with disability in Queensland. QAI’s </w:t>
      </w:r>
      <w:r w:rsidR="00986F50">
        <w:t>Management Committee</w:t>
      </w:r>
      <w:r w:rsidRPr="00BC1C68">
        <w:t xml:space="preserve"> is comprised of </w:t>
      </w:r>
      <w:proofErr w:type="gramStart"/>
      <w:r w:rsidRPr="00BC1C68">
        <w:t>a majority of</w:t>
      </w:r>
      <w:proofErr w:type="gramEnd"/>
      <w:r w:rsidRPr="00BC1C68">
        <w:t xml:space="preserve"> persons with disability, whose wisdom and lived experience is our foundation and guide.</w:t>
      </w:r>
    </w:p>
    <w:p w14:paraId="50F53EF8" w14:textId="626740ED" w:rsidR="009B6F0F" w:rsidRPr="009B6F0F" w:rsidRDefault="009B6F0F" w:rsidP="00E5774A">
      <w:pPr>
        <w:rPr>
          <w:rFonts w:ascii="Segoe UI" w:eastAsia="Times New Roman" w:hAnsi="Segoe UI" w:cs="Segoe UI"/>
          <w:sz w:val="18"/>
          <w:szCs w:val="18"/>
        </w:rPr>
      </w:pPr>
      <w:r w:rsidRPr="009B6F0F">
        <w:rPr>
          <w:rFonts w:eastAsia="Times New Roman"/>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eastAsia="Times New Roman"/>
          <w:color w:val="000000"/>
        </w:rPr>
        <w:t>For over a decade, QAI has provided highly in-demand individual advocacy services. These services are currently provided through our four advocacy practices: the Human Rights Advocacy Practice (which provides legal advocacy in the areas of guardianship and administration, disability discrimination and human rights law and non-legal advocacy support with the Disability Royal Commission and the justice interface); the Mental Health Advocacy Practice (which supports people receiving involuntary treatment for mental illness); the NDIS Advocacy Practice (which provides support for people challenging decisions of the National Disability Insurance Agency and decision support to access the NDIS); and the Disability Advocacy Practice (which operates the Pathways information and referral line, and provides non-legal advocacy support with Education and other systems that impact young people with disability).</w:t>
      </w:r>
      <w:r w:rsidR="00DF1AB0" w:rsidRPr="009B6F0F">
        <w:rPr>
          <w:rFonts w:eastAsia="Times New Roman"/>
          <w:color w:val="000000"/>
        </w:rPr>
        <w:t xml:space="preserve"> </w:t>
      </w:r>
      <w:r w:rsidRPr="009B6F0F">
        <w:rPr>
          <w:rFonts w:eastAsia="Times New Roman"/>
          <w:color w:val="000000"/>
        </w:rPr>
        <w:t>  </w:t>
      </w:r>
    </w:p>
    <w:p w14:paraId="6B7D868F" w14:textId="70DB8D2B" w:rsidR="009B6F0F" w:rsidRPr="009B6F0F" w:rsidRDefault="009B6F0F" w:rsidP="00E5774A">
      <w:pPr>
        <w:rPr>
          <w:rFonts w:ascii="Segoe UI" w:eastAsia="Times New Roman" w:hAnsi="Segoe UI" w:cs="Segoe UI"/>
          <w:sz w:val="18"/>
          <w:szCs w:val="18"/>
        </w:rPr>
      </w:pPr>
      <w:r w:rsidRPr="009B6F0F">
        <w:rPr>
          <w:rFonts w:eastAsia="Times New Roman"/>
          <w:lang w:val="en-US"/>
        </w:rPr>
        <w:t xml:space="preserve">From 1 January 2022, we have been funded by the Queensland Government to establish and co-ordinate the Queensland </w:t>
      </w:r>
      <w:r w:rsidR="00DC499F">
        <w:rPr>
          <w:rFonts w:eastAsia="Times New Roman"/>
          <w:lang w:val="en-US"/>
        </w:rPr>
        <w:t xml:space="preserve">Independent </w:t>
      </w:r>
      <w:r w:rsidRPr="009B6F0F">
        <w:rPr>
          <w:rFonts w:eastAsia="Times New Roman"/>
          <w:lang w:val="en-US"/>
        </w:rPr>
        <w:t>Disability Advocacy Network (QIDAN), which includes operating the Disability Advocacy Pathways Hotline, a centrali</w:t>
      </w:r>
      <w:r w:rsidR="005552A7">
        <w:rPr>
          <w:rFonts w:eastAsia="Times New Roman"/>
          <w:lang w:val="en-US"/>
        </w:rPr>
        <w:t>s</w:t>
      </w:r>
      <w:r w:rsidRPr="009B6F0F">
        <w:rPr>
          <w:rFonts w:eastAsia="Times New Roman"/>
          <w:lang w:val="en-US"/>
        </w:rPr>
        <w:t xml:space="preserve">ed phone support </w:t>
      </w:r>
      <w:r w:rsidR="005552A7" w:rsidRPr="009B6F0F">
        <w:rPr>
          <w:rFonts w:eastAsia="Times New Roman"/>
          <w:lang w:val="en-US"/>
        </w:rPr>
        <w:t xml:space="preserve">providing information and referral </w:t>
      </w:r>
      <w:r w:rsidRPr="009B6F0F">
        <w:rPr>
          <w:rFonts w:eastAsia="Times New Roman"/>
          <w:lang w:val="en-US"/>
        </w:rPr>
        <w:t xml:space="preserve">for all people with disability in Queensland. We have also been funded to provide advocacy for young people with disability as part of the QIDAN network, which we provide in addition to our non-legal education advocacy for Queensland students with disability. </w:t>
      </w:r>
      <w:r w:rsidRPr="009B6F0F">
        <w:rPr>
          <w:rFonts w:eastAsia="Times New Roman"/>
          <w:color w:val="000000"/>
        </w:rPr>
        <w:t>Our individual advocacy experience informs our understanding and prioritisation of systemic advocacy issues.    </w:t>
      </w:r>
    </w:p>
    <w:p w14:paraId="08411328" w14:textId="77777777" w:rsidR="009D0259" w:rsidRDefault="009D0259" w:rsidP="00E5774A">
      <w:pPr>
        <w:rPr>
          <w:rFonts w:eastAsia="Times New Roman"/>
          <w:lang w:val="en-US"/>
        </w:rPr>
      </w:pPr>
    </w:p>
    <w:p w14:paraId="262A99E7" w14:textId="502DCDE8" w:rsidR="00561A03" w:rsidRDefault="00561A03" w:rsidP="00E5774A">
      <w:pPr>
        <w:rPr>
          <w:rFonts w:eastAsia="Times New Roman"/>
          <w:lang w:val="en-US"/>
        </w:rPr>
      </w:pPr>
      <w:r>
        <w:rPr>
          <w:rFonts w:eastAsia="Times New Roman"/>
          <w:lang w:val="en-US"/>
        </w:rPr>
        <w:t>The objects of QAI’s constitution are:</w:t>
      </w:r>
    </w:p>
    <w:p w14:paraId="44DC56DA" w14:textId="7844D760" w:rsidR="00561A03" w:rsidRPr="00E5774A" w:rsidRDefault="00561A03" w:rsidP="5F9F4F74">
      <w:pPr>
        <w:pStyle w:val="ListParagraph"/>
        <w:numPr>
          <w:ilvl w:val="0"/>
          <w:numId w:val="3"/>
        </w:numPr>
        <w:rPr>
          <w:rFonts w:ascii="Calibri" w:eastAsia="Times New Roman" w:hAnsi="Calibri" w:cs="Calibri"/>
          <w:color w:val="000000"/>
          <w:sz w:val="20"/>
          <w:szCs w:val="20"/>
          <w:lang w:eastAsia="en-AU"/>
        </w:rPr>
      </w:pPr>
      <w:r w:rsidRPr="5F9F4F74">
        <w:rPr>
          <w:rFonts w:ascii="Calibri" w:eastAsia="Times New Roman" w:hAnsi="Calibri" w:cs="Calibri"/>
          <w:color w:val="000000" w:themeColor="text1"/>
          <w:sz w:val="20"/>
          <w:szCs w:val="20"/>
          <w:lang w:eastAsia="en-AU"/>
        </w:rPr>
        <w:t>To advocate for the protection and advancement of the needs</w:t>
      </w:r>
      <w:r w:rsidR="008326C9" w:rsidRPr="5F9F4F74">
        <w:rPr>
          <w:rFonts w:ascii="Calibri" w:eastAsia="Times New Roman" w:hAnsi="Calibri" w:cs="Calibri"/>
          <w:color w:val="000000" w:themeColor="text1"/>
          <w:sz w:val="20"/>
          <w:szCs w:val="20"/>
          <w:lang w:eastAsia="en-AU"/>
        </w:rPr>
        <w:t xml:space="preserve">, </w:t>
      </w:r>
      <w:proofErr w:type="gramStart"/>
      <w:r w:rsidR="008326C9" w:rsidRPr="5F9F4F74">
        <w:rPr>
          <w:rFonts w:ascii="Calibri" w:eastAsia="Times New Roman" w:hAnsi="Calibri" w:cs="Calibri"/>
          <w:color w:val="000000" w:themeColor="text1"/>
          <w:sz w:val="20"/>
          <w:szCs w:val="20"/>
          <w:lang w:eastAsia="en-AU"/>
        </w:rPr>
        <w:t>rights</w:t>
      </w:r>
      <w:proofErr w:type="gramEnd"/>
      <w:r w:rsidR="008326C9" w:rsidRPr="5F9F4F74">
        <w:rPr>
          <w:rFonts w:ascii="Calibri" w:eastAsia="Times New Roman" w:hAnsi="Calibri" w:cs="Calibri"/>
          <w:color w:val="000000" w:themeColor="text1"/>
          <w:sz w:val="20"/>
          <w:szCs w:val="20"/>
          <w:lang w:eastAsia="en-AU"/>
        </w:rPr>
        <w:t xml:space="preserve"> and lives of people with disability in Queensland;</w:t>
      </w:r>
    </w:p>
    <w:p w14:paraId="2F6E0C26" w14:textId="5B0139AA" w:rsidR="008326C9" w:rsidRPr="00E5774A" w:rsidRDefault="008326C9" w:rsidP="5F9F4F74">
      <w:pPr>
        <w:pStyle w:val="ListParagraph"/>
        <w:numPr>
          <w:ilvl w:val="0"/>
          <w:numId w:val="3"/>
        </w:numPr>
        <w:rPr>
          <w:rFonts w:ascii="Calibri" w:eastAsia="Times New Roman" w:hAnsi="Calibri" w:cs="Calibri"/>
          <w:color w:val="000000"/>
          <w:sz w:val="20"/>
          <w:szCs w:val="20"/>
          <w:lang w:eastAsia="en-AU"/>
        </w:rPr>
      </w:pPr>
      <w:r w:rsidRPr="5F9F4F74">
        <w:rPr>
          <w:rFonts w:ascii="Calibri" w:eastAsia="Times New Roman" w:hAnsi="Calibri" w:cs="Calibri"/>
          <w:color w:val="000000" w:themeColor="text1"/>
          <w:sz w:val="20"/>
          <w:szCs w:val="20"/>
          <w:lang w:eastAsia="en-AU"/>
        </w:rPr>
        <w:t>To protect and advance human rights including the Convention on the Rights of Persons with Disabilit</w:t>
      </w:r>
      <w:r w:rsidR="00DF1AB0" w:rsidRPr="5F9F4F74">
        <w:rPr>
          <w:rFonts w:ascii="Calibri" w:eastAsia="Times New Roman" w:hAnsi="Calibri" w:cs="Calibri"/>
          <w:color w:val="000000" w:themeColor="text1"/>
          <w:sz w:val="20"/>
          <w:szCs w:val="20"/>
          <w:lang w:eastAsia="en-AU"/>
        </w:rPr>
        <w:t>ies (CRPD)</w:t>
      </w:r>
      <w:r w:rsidRPr="5F9F4F74">
        <w:rPr>
          <w:rFonts w:ascii="Calibri" w:eastAsia="Times New Roman" w:hAnsi="Calibri" w:cs="Calibri"/>
          <w:color w:val="000000" w:themeColor="text1"/>
          <w:sz w:val="20"/>
          <w:szCs w:val="20"/>
          <w:lang w:eastAsia="en-AU"/>
        </w:rPr>
        <w:t>;</w:t>
      </w:r>
    </w:p>
    <w:p w14:paraId="6045E8C3" w14:textId="77DF3DDA" w:rsidR="008326C9" w:rsidRPr="00E5774A" w:rsidRDefault="008326C9" w:rsidP="5F9F4F74">
      <w:pPr>
        <w:pStyle w:val="ListParagraph"/>
        <w:numPr>
          <w:ilvl w:val="0"/>
          <w:numId w:val="3"/>
        </w:numPr>
        <w:rPr>
          <w:rFonts w:ascii="Calibri" w:eastAsia="Times New Roman" w:hAnsi="Calibri" w:cs="Calibri"/>
          <w:color w:val="000000"/>
          <w:sz w:val="20"/>
          <w:szCs w:val="20"/>
          <w:lang w:eastAsia="en-AU"/>
        </w:rPr>
      </w:pPr>
      <w:r w:rsidRPr="5F9F4F74">
        <w:rPr>
          <w:rFonts w:ascii="Calibri" w:eastAsia="Times New Roman" w:hAnsi="Calibri" w:cs="Calibri"/>
          <w:color w:val="000000" w:themeColor="text1"/>
          <w:sz w:val="20"/>
          <w:szCs w:val="20"/>
          <w:lang w:eastAsia="en-AU"/>
        </w:rPr>
        <w:t>To be accountable to the most disadvantaged people with disability in Queensland; and</w:t>
      </w:r>
    </w:p>
    <w:p w14:paraId="6C35BB30" w14:textId="7D4B9A03" w:rsidR="00DD56D1" w:rsidRDefault="008326C9" w:rsidP="5F9F4F74">
      <w:pPr>
        <w:pStyle w:val="ListParagraph"/>
        <w:numPr>
          <w:ilvl w:val="0"/>
          <w:numId w:val="3"/>
        </w:numPr>
        <w:rPr>
          <w:rFonts w:ascii="Calibri" w:eastAsia="Times New Roman" w:hAnsi="Calibri" w:cs="Calibri"/>
          <w:color w:val="000000"/>
          <w:sz w:val="20"/>
          <w:szCs w:val="20"/>
          <w:lang w:eastAsia="en-AU"/>
        </w:rPr>
      </w:pPr>
      <w:r w:rsidRPr="5F9F4F74">
        <w:rPr>
          <w:rFonts w:ascii="Calibri" w:eastAsia="Times New Roman" w:hAnsi="Calibri" w:cs="Calibri"/>
          <w:color w:val="000000" w:themeColor="text1"/>
          <w:sz w:val="20"/>
          <w:szCs w:val="20"/>
          <w:lang w:eastAsia="en-AU"/>
        </w:rPr>
        <w:t>To advance the health, social and public wellbeing of disadvantaged people with disability.</w:t>
      </w:r>
    </w:p>
    <w:p w14:paraId="4DC0653F" w14:textId="77777777" w:rsidR="00DD56D1" w:rsidRDefault="00DD56D1">
      <w:pPr>
        <w:spacing w:after="160" w:line="259" w:lineRule="auto"/>
        <w:rPr>
          <w:rFonts w:eastAsia="Times New Roman"/>
          <w:b/>
          <w:bCs/>
          <w:sz w:val="32"/>
          <w:szCs w:val="28"/>
          <w:lang w:eastAsia="en-US"/>
        </w:rPr>
      </w:pPr>
      <w:r>
        <w:br w:type="page"/>
      </w:r>
    </w:p>
    <w:p w14:paraId="2597563F" w14:textId="5A175FBB" w:rsidR="00864664" w:rsidRDefault="00864664" w:rsidP="001545DE">
      <w:pPr>
        <w:pStyle w:val="Heading1"/>
      </w:pPr>
      <w:r w:rsidRPr="001545DE">
        <w:lastRenderedPageBreak/>
        <w:t>QAI’s recommendations</w:t>
      </w:r>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316D8E99" w14:textId="596D218C" w:rsidR="00D07B09" w:rsidRDefault="004073CD" w:rsidP="0091441B">
            <w:pPr>
              <w:spacing w:before="240" w:after="240"/>
              <w:rPr>
                <w:lang w:eastAsia="en-US"/>
              </w:rPr>
            </w:pPr>
            <w:r>
              <w:rPr>
                <w:lang w:eastAsia="en-US"/>
              </w:rPr>
              <w:t xml:space="preserve">1. </w:t>
            </w:r>
            <w:r w:rsidR="00D07B09">
              <w:rPr>
                <w:lang w:eastAsia="en-US"/>
              </w:rPr>
              <w:t>Amend Clause 4 so that it defines a place of detention as “</w:t>
            </w:r>
            <w:r w:rsidR="00D07B09" w:rsidRPr="00D454A3">
              <w:rPr>
                <w:i/>
                <w:iCs/>
                <w:lang w:eastAsia="en-US"/>
              </w:rPr>
              <w:t>any place that the Subcommittee must be allowed to visit under the Optional Protocol, Article 4, that is subject to the jurisdiction and control of Queensland</w:t>
            </w:r>
            <w:r w:rsidR="00D07B09">
              <w:rPr>
                <w:lang w:eastAsia="en-US"/>
              </w:rPr>
              <w:t>.”</w:t>
            </w:r>
          </w:p>
          <w:p w14:paraId="12354C2E" w14:textId="561EE53C" w:rsidR="00D07B09" w:rsidRDefault="00D07B09" w:rsidP="00565BDD">
            <w:pPr>
              <w:spacing w:after="240"/>
              <w:rPr>
                <w:lang w:eastAsia="en-US"/>
              </w:rPr>
            </w:pPr>
            <w:r>
              <w:rPr>
                <w:lang w:eastAsia="en-US"/>
              </w:rPr>
              <w:t>2. Include provision</w:t>
            </w:r>
            <w:r w:rsidR="00E1758D">
              <w:rPr>
                <w:lang w:eastAsia="en-US"/>
              </w:rPr>
              <w:t>s</w:t>
            </w:r>
            <w:r>
              <w:rPr>
                <w:lang w:eastAsia="en-US"/>
              </w:rPr>
              <w:t xml:space="preserve"> in Clauses 7 and 8 that make it an offence for a Minister or detaining authority to fail to comply with their statutory obligations under these Clauses.</w:t>
            </w:r>
          </w:p>
          <w:p w14:paraId="7A5DF1D6" w14:textId="12CBC476" w:rsidR="00D07B09" w:rsidRDefault="00D07B09" w:rsidP="00565BDD">
            <w:pPr>
              <w:spacing w:after="240"/>
              <w:rPr>
                <w:lang w:eastAsia="en-US"/>
              </w:rPr>
            </w:pPr>
            <w:r>
              <w:rPr>
                <w:lang w:eastAsia="en-US"/>
              </w:rPr>
              <w:t>3.Consider removing Clause 10 altogether, or, if the Clause 10 is to be retained, it should be amended to:</w:t>
            </w:r>
          </w:p>
          <w:p w14:paraId="01139FEC" w14:textId="41EAB288" w:rsidR="00D07B09" w:rsidRPr="00D454A3" w:rsidRDefault="00D07B09" w:rsidP="00D454A3">
            <w:pPr>
              <w:pStyle w:val="ListParagraph"/>
              <w:numPr>
                <w:ilvl w:val="0"/>
                <w:numId w:val="12"/>
              </w:numPr>
              <w:spacing w:after="240"/>
              <w:rPr>
                <w:sz w:val="20"/>
                <w:szCs w:val="20"/>
                <w:lang w:eastAsia="en-US"/>
              </w:rPr>
            </w:pPr>
            <w:r w:rsidRPr="00D454A3">
              <w:rPr>
                <w:sz w:val="20"/>
                <w:szCs w:val="20"/>
                <w:lang w:eastAsia="en-US"/>
              </w:rPr>
              <w:t>Include clear definitions of the terms “</w:t>
            </w:r>
            <w:r w:rsidRPr="00D454A3">
              <w:rPr>
                <w:i/>
                <w:iCs/>
                <w:sz w:val="20"/>
                <w:szCs w:val="20"/>
                <w:lang w:eastAsia="en-US"/>
              </w:rPr>
              <w:t>essential operations</w:t>
            </w:r>
            <w:r w:rsidRPr="00D454A3">
              <w:rPr>
                <w:sz w:val="20"/>
                <w:szCs w:val="20"/>
                <w:lang w:eastAsia="en-US"/>
              </w:rPr>
              <w:t>” and “</w:t>
            </w:r>
            <w:r w:rsidRPr="00D454A3">
              <w:rPr>
                <w:i/>
                <w:iCs/>
                <w:sz w:val="20"/>
                <w:szCs w:val="20"/>
                <w:lang w:eastAsia="en-US"/>
              </w:rPr>
              <w:t>prevent the maintenance of</w:t>
            </w:r>
            <w:r w:rsidRPr="00D454A3">
              <w:rPr>
                <w:sz w:val="20"/>
                <w:szCs w:val="20"/>
                <w:lang w:eastAsia="en-US"/>
              </w:rPr>
              <w:t xml:space="preserve">”; </w:t>
            </w:r>
          </w:p>
          <w:p w14:paraId="68EAD9E7" w14:textId="4937076B" w:rsidR="00D07B09" w:rsidRPr="00D454A3" w:rsidRDefault="00D07B09" w:rsidP="00D454A3">
            <w:pPr>
              <w:pStyle w:val="ListParagraph"/>
              <w:numPr>
                <w:ilvl w:val="0"/>
                <w:numId w:val="12"/>
              </w:numPr>
              <w:spacing w:after="240"/>
              <w:rPr>
                <w:sz w:val="20"/>
                <w:szCs w:val="20"/>
                <w:lang w:eastAsia="en-US"/>
              </w:rPr>
            </w:pPr>
            <w:r w:rsidRPr="00D454A3">
              <w:rPr>
                <w:sz w:val="20"/>
                <w:szCs w:val="20"/>
                <w:lang w:eastAsia="en-US"/>
              </w:rPr>
              <w:t>Require the responsible Minister to table a copy of the written record in Parliament, within a specified and limited number of sitting days after receiving it; and</w:t>
            </w:r>
          </w:p>
          <w:p w14:paraId="67128C1C" w14:textId="5BDE0B27" w:rsidR="00D07B09" w:rsidRPr="00D454A3" w:rsidRDefault="00D07B09" w:rsidP="00D454A3">
            <w:pPr>
              <w:pStyle w:val="ListParagraph"/>
              <w:numPr>
                <w:ilvl w:val="0"/>
                <w:numId w:val="12"/>
              </w:numPr>
              <w:spacing w:after="240"/>
              <w:rPr>
                <w:sz w:val="20"/>
                <w:szCs w:val="20"/>
                <w:lang w:eastAsia="en-US"/>
              </w:rPr>
            </w:pPr>
            <w:r w:rsidRPr="00D454A3">
              <w:rPr>
                <w:sz w:val="20"/>
                <w:szCs w:val="20"/>
                <w:lang w:eastAsia="en-US"/>
              </w:rPr>
              <w:t>Require the detaining authority to make subsequent arrangements for the visit to occur as soon as is reasonably practicable.</w:t>
            </w:r>
          </w:p>
          <w:p w14:paraId="79F8A12F" w14:textId="770CD265" w:rsidR="0082058C" w:rsidRDefault="00D07B09" w:rsidP="00565BDD">
            <w:pPr>
              <w:spacing w:after="240"/>
              <w:rPr>
                <w:lang w:eastAsia="en-US"/>
              </w:rPr>
            </w:pPr>
            <w:r>
              <w:rPr>
                <w:lang w:eastAsia="en-US"/>
              </w:rPr>
              <w:t>4. Amend Clause 11 to</w:t>
            </w:r>
            <w:r w:rsidR="00600D5C">
              <w:rPr>
                <w:lang w:eastAsia="en-US"/>
              </w:rPr>
              <w:t xml:space="preserve"> read</w:t>
            </w:r>
            <w:r>
              <w:rPr>
                <w:lang w:eastAsia="en-US"/>
              </w:rPr>
              <w:t xml:space="preserve"> “</w:t>
            </w:r>
            <w:r w:rsidRPr="0014401B">
              <w:rPr>
                <w:i/>
                <w:iCs/>
                <w:lang w:eastAsia="en-US"/>
              </w:rPr>
              <w:t>The Subcommittee and accompanying persons should conduct their visit in accordance with directions provided by an authorised officer of the place of detention, including directions that ensure free access to all parts of the place of detention. Such directions should not unnecessarily limit the Subcommittee's ability to undertake the visit and perform its functions under OPCAT</w:t>
            </w:r>
            <w:r>
              <w:rPr>
                <w:lang w:eastAsia="en-US"/>
              </w:rPr>
              <w:t xml:space="preserve">.” </w:t>
            </w:r>
          </w:p>
          <w:p w14:paraId="3A161FCA" w14:textId="6D358A9E" w:rsidR="0082058C" w:rsidRDefault="0082058C" w:rsidP="00565BDD">
            <w:pPr>
              <w:spacing w:after="240"/>
              <w:rPr>
                <w:lang w:eastAsia="en-US"/>
              </w:rPr>
            </w:pPr>
            <w:r>
              <w:rPr>
                <w:lang w:eastAsia="en-US"/>
              </w:rPr>
              <w:t xml:space="preserve">5. </w:t>
            </w:r>
            <w:r w:rsidR="00D07B09">
              <w:rPr>
                <w:lang w:eastAsia="en-US"/>
              </w:rPr>
              <w:t>Include a provision in Clause 11 that requires Subcommittee members and accompanying persons to provide evi</w:t>
            </w:r>
            <w:r w:rsidR="00565BDD">
              <w:rPr>
                <w:lang w:eastAsia="en-US"/>
              </w:rPr>
              <w:t>d</w:t>
            </w:r>
            <w:r w:rsidR="00D07B09">
              <w:rPr>
                <w:lang w:eastAsia="en-US"/>
              </w:rPr>
              <w:t>ence of their identities and authorisation to conduct visits under OPCAT.</w:t>
            </w:r>
          </w:p>
          <w:p w14:paraId="7008887B" w14:textId="5A733156" w:rsidR="0082058C" w:rsidRDefault="0082058C" w:rsidP="00565BDD">
            <w:pPr>
              <w:spacing w:after="240"/>
              <w:rPr>
                <w:lang w:eastAsia="en-US"/>
              </w:rPr>
            </w:pPr>
            <w:r>
              <w:rPr>
                <w:lang w:eastAsia="en-US"/>
              </w:rPr>
              <w:t xml:space="preserve">6. </w:t>
            </w:r>
            <w:r w:rsidR="00D07B09">
              <w:rPr>
                <w:lang w:eastAsia="en-US"/>
              </w:rPr>
              <w:t>Remove Clause 14 in its entirety.</w:t>
            </w:r>
          </w:p>
          <w:p w14:paraId="5B369224" w14:textId="67FD50C5" w:rsidR="0082058C" w:rsidRDefault="0082058C" w:rsidP="00565BDD">
            <w:pPr>
              <w:spacing w:after="240"/>
              <w:rPr>
                <w:lang w:eastAsia="en-US"/>
              </w:rPr>
            </w:pPr>
            <w:r>
              <w:rPr>
                <w:lang w:eastAsia="en-US"/>
              </w:rPr>
              <w:t xml:space="preserve">7. </w:t>
            </w:r>
            <w:r w:rsidR="00D07B09">
              <w:rPr>
                <w:lang w:eastAsia="en-US"/>
              </w:rPr>
              <w:t xml:space="preserve">Remove Clause 15 and introduce a provision that requires the Subcommittee to treat all identifying information confidentially and to protect it from further disclosure, with a requirement to return or destroy the information within a specified </w:t>
            </w:r>
            <w:proofErr w:type="gramStart"/>
            <w:r w:rsidR="00D07B09">
              <w:rPr>
                <w:lang w:eastAsia="en-US"/>
              </w:rPr>
              <w:t>period of time</w:t>
            </w:r>
            <w:proofErr w:type="gramEnd"/>
            <w:r w:rsidR="00D07B09">
              <w:rPr>
                <w:lang w:eastAsia="en-US"/>
              </w:rPr>
              <w:t xml:space="preserve"> after the completion of its reporting function. Further, </w:t>
            </w:r>
            <w:proofErr w:type="gramStart"/>
            <w:r w:rsidR="00D07B09">
              <w:rPr>
                <w:lang w:eastAsia="en-US"/>
              </w:rPr>
              <w:t>in the event that</w:t>
            </w:r>
            <w:proofErr w:type="gramEnd"/>
            <w:r w:rsidR="00D07B09">
              <w:rPr>
                <w:lang w:eastAsia="en-US"/>
              </w:rPr>
              <w:t xml:space="preserve"> the Subcommittee wishes to publish personal data, require the Subcommittee to obtain the express consent from the person concerned.</w:t>
            </w:r>
          </w:p>
          <w:p w14:paraId="2849B9CB" w14:textId="10B8EA9B" w:rsidR="0082058C" w:rsidRDefault="0082058C" w:rsidP="00565BDD">
            <w:pPr>
              <w:spacing w:after="240"/>
              <w:rPr>
                <w:lang w:eastAsia="en-US"/>
              </w:rPr>
            </w:pPr>
            <w:r>
              <w:rPr>
                <w:lang w:eastAsia="en-US"/>
              </w:rPr>
              <w:t xml:space="preserve">8. </w:t>
            </w:r>
            <w:r w:rsidR="00D07B09">
              <w:rPr>
                <w:lang w:eastAsia="en-US"/>
              </w:rPr>
              <w:t>Remove Clause 16 in its entirety.</w:t>
            </w:r>
          </w:p>
          <w:p w14:paraId="102539F0" w14:textId="3AB0D03C" w:rsidR="004073CD" w:rsidRDefault="0082058C" w:rsidP="00565BDD">
            <w:pPr>
              <w:spacing w:after="240"/>
              <w:rPr>
                <w:lang w:eastAsia="en-US"/>
              </w:rPr>
            </w:pPr>
            <w:r>
              <w:rPr>
                <w:lang w:eastAsia="en-US"/>
              </w:rPr>
              <w:t xml:space="preserve">9. </w:t>
            </w:r>
            <w:r w:rsidR="00D07B09">
              <w:rPr>
                <w:lang w:eastAsia="en-US"/>
              </w:rPr>
              <w:t xml:space="preserve">Include provision for detainees to access the support and information they require </w:t>
            </w:r>
            <w:proofErr w:type="gramStart"/>
            <w:r w:rsidR="00D07B09">
              <w:rPr>
                <w:lang w:eastAsia="en-US"/>
              </w:rPr>
              <w:t>in order to</w:t>
            </w:r>
            <w:proofErr w:type="gramEnd"/>
            <w:r w:rsidR="00D07B09">
              <w:rPr>
                <w:lang w:eastAsia="en-US"/>
              </w:rPr>
              <w:t xml:space="preserve"> exercise their legal capacity and</w:t>
            </w:r>
            <w:r w:rsidR="00C9346F">
              <w:rPr>
                <w:lang w:eastAsia="en-US"/>
              </w:rPr>
              <w:t xml:space="preserve"> to</w:t>
            </w:r>
            <w:r w:rsidR="00D07B09">
              <w:rPr>
                <w:lang w:eastAsia="en-US"/>
              </w:rPr>
              <w:t xml:space="preserve"> make or participate in decision-making regarding their engagement with the Subcommittee on an equal basis with others.</w:t>
            </w:r>
          </w:p>
          <w:p w14:paraId="62973D1C" w14:textId="3A651FFE" w:rsidR="004073CD" w:rsidRDefault="004073CD" w:rsidP="004073CD">
            <w:pPr>
              <w:rPr>
                <w:lang w:eastAsia="en-US"/>
              </w:rPr>
            </w:pPr>
          </w:p>
        </w:tc>
      </w:tr>
    </w:tbl>
    <w:p w14:paraId="12A0A588" w14:textId="77777777" w:rsidR="00C41BEE" w:rsidRDefault="00C41BEE" w:rsidP="00C41BEE"/>
    <w:p w14:paraId="7F92D868" w14:textId="77777777" w:rsidR="00E5774A" w:rsidRDefault="00E5774A" w:rsidP="00E5774A"/>
    <w:p w14:paraId="0B73FFDF" w14:textId="77777777" w:rsidR="00565BDD" w:rsidRDefault="00565BDD" w:rsidP="00E5774A"/>
    <w:p w14:paraId="3700BAB1" w14:textId="77777777" w:rsidR="00565BDD" w:rsidRDefault="00565BDD" w:rsidP="00E5774A"/>
    <w:p w14:paraId="50B4D30A" w14:textId="77777777" w:rsidR="00565BDD" w:rsidRDefault="00565BDD" w:rsidP="00E5774A"/>
    <w:p w14:paraId="5EC14BCC" w14:textId="77777777" w:rsidR="00565BDD" w:rsidRDefault="00565BDD" w:rsidP="00E5774A"/>
    <w:p w14:paraId="7A6C446A" w14:textId="77777777" w:rsidR="00565BDD" w:rsidRDefault="00565BDD" w:rsidP="00E5774A"/>
    <w:p w14:paraId="231D9F42" w14:textId="77777777" w:rsidR="007568B6" w:rsidRDefault="007568B6" w:rsidP="00E5774A"/>
    <w:p w14:paraId="6016D227" w14:textId="77777777" w:rsidR="007568B6" w:rsidRDefault="007568B6" w:rsidP="00E5774A"/>
    <w:p w14:paraId="03B8C049" w14:textId="77777777" w:rsidR="00565BDD" w:rsidRDefault="00565BDD" w:rsidP="00E5774A"/>
    <w:p w14:paraId="091D048B" w14:textId="77777777" w:rsidR="00565BDD" w:rsidRDefault="00565BDD" w:rsidP="00E5774A"/>
    <w:p w14:paraId="7EB9418D" w14:textId="77777777" w:rsidR="00565BDD" w:rsidRDefault="00565BDD" w:rsidP="00E5774A"/>
    <w:p w14:paraId="48BAE5DD" w14:textId="77777777" w:rsidR="00565BDD" w:rsidRDefault="00565BDD" w:rsidP="00E5774A"/>
    <w:p w14:paraId="3C66B930" w14:textId="77777777" w:rsidR="00565BDD" w:rsidRDefault="00565BDD" w:rsidP="00E5774A"/>
    <w:p w14:paraId="35409556" w14:textId="77777777" w:rsidR="00565BDD" w:rsidRDefault="00565BDD" w:rsidP="00E5774A"/>
    <w:p w14:paraId="61409B0F" w14:textId="67213248" w:rsidR="008C19D8" w:rsidRPr="00E5774A" w:rsidRDefault="008C19D8" w:rsidP="008B206F">
      <w:pPr>
        <w:pStyle w:val="Heading1"/>
      </w:pPr>
      <w:r w:rsidRPr="00E5774A">
        <w:lastRenderedPageBreak/>
        <w:t>Introduction</w:t>
      </w:r>
    </w:p>
    <w:p w14:paraId="67CC0A8F" w14:textId="1539F02E" w:rsidR="00621219" w:rsidRDefault="000F4761" w:rsidP="008B206F">
      <w:pPr>
        <w:spacing w:after="120"/>
        <w:rPr>
          <w:lang w:eastAsia="en-US"/>
        </w:rPr>
      </w:pPr>
      <w:r>
        <w:t>The purpose of this Bill is to facilitate visits by the</w:t>
      </w:r>
      <w:r w:rsidR="00FC6C08">
        <w:t xml:space="preserve"> United Nations</w:t>
      </w:r>
      <w:r>
        <w:t xml:space="preserve"> Subcommittee </w:t>
      </w:r>
      <w:r w:rsidR="00FC6C08">
        <w:t>on Prevention of Torture (</w:t>
      </w:r>
      <w:r w:rsidR="00596E09">
        <w:t>the Subcommittee</w:t>
      </w:r>
      <w:r w:rsidR="00FC6C08">
        <w:t>)</w:t>
      </w:r>
      <w:r w:rsidR="00596E09">
        <w:t xml:space="preserve"> to places of detention in Que</w:t>
      </w:r>
      <w:r w:rsidR="007803F4">
        <w:t>ensland</w:t>
      </w:r>
      <w:r w:rsidR="003A408E">
        <w:t xml:space="preserve">. </w:t>
      </w:r>
      <w:r w:rsidR="00467301">
        <w:t xml:space="preserve">QAI welcomes this Bill following the Subcommittee’s failed visit to Australia in October 2022 when </w:t>
      </w:r>
      <w:r w:rsidR="00443F1E">
        <w:t>it</w:t>
      </w:r>
      <w:r w:rsidR="00467301">
        <w:rPr>
          <w:lang w:eastAsia="en-US"/>
        </w:rPr>
        <w:t xml:space="preserve"> was denied access to several places of detention in both Queensland and New South </w:t>
      </w:r>
      <w:r w:rsidR="002041D7">
        <w:rPr>
          <w:lang w:eastAsia="en-US"/>
        </w:rPr>
        <w:t>Wal</w:t>
      </w:r>
      <w:r w:rsidR="002041D7" w:rsidRPr="00DF5D86">
        <w:rPr>
          <w:lang w:eastAsia="en-US"/>
        </w:rPr>
        <w:t>es</w:t>
      </w:r>
      <w:r w:rsidR="002041D7">
        <w:rPr>
          <w:lang w:eastAsia="en-US"/>
        </w:rPr>
        <w:t xml:space="preserve"> and</w:t>
      </w:r>
      <w:r w:rsidR="00467301">
        <w:rPr>
          <w:lang w:eastAsia="en-US"/>
        </w:rPr>
        <w:t xml:space="preserve"> was forced to suspend its visit.</w:t>
      </w:r>
      <w:r w:rsidR="00467301">
        <w:rPr>
          <w:rStyle w:val="FootnoteReference"/>
          <w:lang w:eastAsia="en-US"/>
        </w:rPr>
        <w:footnoteReference w:id="2"/>
      </w:r>
      <w:r w:rsidR="00467301">
        <w:rPr>
          <w:lang w:eastAsia="en-US"/>
        </w:rPr>
        <w:t xml:space="preserve"> </w:t>
      </w:r>
    </w:p>
    <w:p w14:paraId="5E71950B" w14:textId="40CBA961" w:rsidR="00FD5C2C" w:rsidRDefault="003F5965" w:rsidP="008B206F">
      <w:pPr>
        <w:spacing w:after="120"/>
      </w:pPr>
      <w:r>
        <w:t>In</w:t>
      </w:r>
      <w:r w:rsidR="00FD3719">
        <w:t xml:space="preserve"> ratifying</w:t>
      </w:r>
      <w:r w:rsidR="003A408E">
        <w:t xml:space="preserve"> the Optional Protocol to the Convention Against Torture (OPCAT)</w:t>
      </w:r>
      <w:r w:rsidR="00FD3719">
        <w:t xml:space="preserve">, Australia </w:t>
      </w:r>
      <w:r>
        <w:t>committed</w:t>
      </w:r>
      <w:r w:rsidR="00FD3719">
        <w:t xml:space="preserve"> to facil</w:t>
      </w:r>
      <w:r>
        <w:t xml:space="preserve">itating </w:t>
      </w:r>
      <w:r w:rsidR="00347D0A">
        <w:t>visits by</w:t>
      </w:r>
      <w:r w:rsidR="005A6C2F">
        <w:t xml:space="preserve"> both</w:t>
      </w:r>
      <w:r w:rsidR="00347D0A">
        <w:t xml:space="preserve"> the Subcommittee</w:t>
      </w:r>
      <w:r w:rsidR="00FD5C2C">
        <w:t xml:space="preserve"> </w:t>
      </w:r>
      <w:r w:rsidR="005A6C2F">
        <w:t>and</w:t>
      </w:r>
      <w:r w:rsidR="00370409">
        <w:t xml:space="preserve"> a</w:t>
      </w:r>
      <w:r w:rsidR="005A6C2F">
        <w:t xml:space="preserve"> National Preventive Mechanism (NPM) </w:t>
      </w:r>
      <w:r w:rsidR="00FD5C2C">
        <w:t>to any place under its jurisdiction where persons are</w:t>
      </w:r>
      <w:r w:rsidR="003F466D">
        <w:t>,</w:t>
      </w:r>
      <w:r w:rsidR="00FD5C2C">
        <w:t xml:space="preserve"> or may be</w:t>
      </w:r>
      <w:r w:rsidR="003F466D">
        <w:t>,</w:t>
      </w:r>
      <w:r w:rsidR="00FD5C2C">
        <w:t xml:space="preserve"> deprived of their liberty.</w:t>
      </w:r>
      <w:r w:rsidR="00FD5C2C">
        <w:rPr>
          <w:rStyle w:val="FootnoteReference"/>
        </w:rPr>
        <w:footnoteReference w:id="3"/>
      </w:r>
      <w:r w:rsidR="003F466D">
        <w:t xml:space="preserve"> </w:t>
      </w:r>
      <w:r w:rsidR="00E26E60">
        <w:t xml:space="preserve">The purpose of these visits </w:t>
      </w:r>
      <w:r w:rsidR="00BA1656">
        <w:t xml:space="preserve">is to </w:t>
      </w:r>
      <w:r w:rsidR="00B14855">
        <w:t>make recommendations to States Parties</w:t>
      </w:r>
      <w:r w:rsidR="001F7D71">
        <w:t xml:space="preserve"> to strengthen</w:t>
      </w:r>
      <w:r w:rsidR="00BA1656">
        <w:t xml:space="preserve">, if necessary, the protection of these persons against torture and other cruel, </w:t>
      </w:r>
      <w:r w:rsidR="005779EA">
        <w:t>inhuman,</w:t>
      </w:r>
      <w:r w:rsidR="00BA1656">
        <w:t xml:space="preserve"> or degrading treatment or punishment.</w:t>
      </w:r>
    </w:p>
    <w:p w14:paraId="0FEAED3A" w14:textId="18D0B516" w:rsidR="00BE7AA2" w:rsidRDefault="00C711FB" w:rsidP="008B206F">
      <w:pPr>
        <w:spacing w:after="120"/>
      </w:pPr>
      <w:r>
        <w:t>This Bill purportedly</w:t>
      </w:r>
      <w:r w:rsidR="00A927BF">
        <w:t xml:space="preserve"> </w:t>
      </w:r>
      <w:r w:rsidR="2A333785">
        <w:t>enables</w:t>
      </w:r>
      <w:r w:rsidR="00A927BF">
        <w:t xml:space="preserve"> the Subcommittee to fulfil its mandate </w:t>
      </w:r>
      <w:r w:rsidR="001235AF">
        <w:t>by</w:t>
      </w:r>
      <w:r w:rsidR="00A927BF">
        <w:t xml:space="preserve"> </w:t>
      </w:r>
      <w:r w:rsidR="00BC1001">
        <w:t xml:space="preserve">facilitating </w:t>
      </w:r>
      <w:r w:rsidR="00EB2710">
        <w:t>access to places of detention, access to information t</w:t>
      </w:r>
      <w:r w:rsidR="00300659">
        <w:t>hat will</w:t>
      </w:r>
      <w:r w:rsidR="00EB2710">
        <w:t xml:space="preserve"> assist</w:t>
      </w:r>
      <w:r w:rsidR="008B3E87">
        <w:t xml:space="preserve"> the Subcommittee to</w:t>
      </w:r>
      <w:r w:rsidR="00EB2710">
        <w:t xml:space="preserve"> </w:t>
      </w:r>
      <w:r w:rsidR="3DA6D364">
        <w:t>perform its role</w:t>
      </w:r>
      <w:r w:rsidR="004F4812">
        <w:t>, remov</w:t>
      </w:r>
      <w:r w:rsidR="008B3E87">
        <w:t>ing</w:t>
      </w:r>
      <w:r w:rsidR="004F4812">
        <w:t xml:space="preserve"> legislative barriers</w:t>
      </w:r>
      <w:r w:rsidR="00A0509A">
        <w:t xml:space="preserve"> and</w:t>
      </w:r>
      <w:r w:rsidR="00E248DC">
        <w:t xml:space="preserve"> in</w:t>
      </w:r>
      <w:r w:rsidR="00A0509A">
        <w:t>troducing</w:t>
      </w:r>
      <w:r w:rsidR="00E248DC">
        <w:t xml:space="preserve"> safeguards</w:t>
      </w:r>
      <w:r w:rsidR="00A0509A">
        <w:t xml:space="preserve">. </w:t>
      </w:r>
      <w:r w:rsidR="00D243EF">
        <w:t>Despite its stated intention</w:t>
      </w:r>
      <w:r w:rsidR="00B910A6">
        <w:t xml:space="preserve"> however</w:t>
      </w:r>
      <w:r w:rsidR="00D243EF">
        <w:t>, the Bill does not provide adequate access to</w:t>
      </w:r>
      <w:r w:rsidR="00A76A1B">
        <w:t xml:space="preserve"> all places of detention</w:t>
      </w:r>
      <w:r w:rsidR="006D453A">
        <w:t>,</w:t>
      </w:r>
      <w:r w:rsidR="00A76A1B">
        <w:t xml:space="preserve"> nor does it facilitate access to all</w:t>
      </w:r>
      <w:r w:rsidR="00D243EF">
        <w:t xml:space="preserve"> information required by the Subcommittee</w:t>
      </w:r>
      <w:r w:rsidR="00BE7AA2">
        <w:t>. It also</w:t>
      </w:r>
      <w:r w:rsidR="00D243EF">
        <w:t xml:space="preserve"> contains clauses regarding issues of consent that risk introducing barriers to the Subcommittee </w:t>
      </w:r>
      <w:r w:rsidR="23CCA121">
        <w:t>achieving its purpose</w:t>
      </w:r>
      <w:r w:rsidR="00D243EF">
        <w:t xml:space="preserve"> under OPCAT.</w:t>
      </w:r>
    </w:p>
    <w:p w14:paraId="31604E36" w14:textId="06902EDB" w:rsidR="008632E6" w:rsidRDefault="2CE96D22" w:rsidP="008B206F">
      <w:pPr>
        <w:spacing w:after="120"/>
      </w:pPr>
      <w:r>
        <w:t xml:space="preserve">Whilst the Bill represents a welcome </w:t>
      </w:r>
      <w:r w:rsidR="61FB8D4A">
        <w:t>step towards Australia satisfying its obligations under OPCAT, t</w:t>
      </w:r>
      <w:r w:rsidR="00B0260E">
        <w:t xml:space="preserve">he Bill in its current form is insufficient and </w:t>
      </w:r>
      <w:r w:rsidR="5913E5B6">
        <w:t>th</w:t>
      </w:r>
      <w:r w:rsidR="00D243EF">
        <w:t xml:space="preserve">ere </w:t>
      </w:r>
      <w:r w:rsidR="6B8137F2">
        <w:t>remains</w:t>
      </w:r>
      <w:r w:rsidR="00D243EF">
        <w:t xml:space="preserve"> much to be done to </w:t>
      </w:r>
      <w:r w:rsidR="23FE442D">
        <w:t>ensure persons deprived of their liberty are</w:t>
      </w:r>
      <w:r w:rsidR="00D243EF">
        <w:t xml:space="preserve"> adequately protect</w:t>
      </w:r>
      <w:r w:rsidR="08FA1BF6">
        <w:t>ed</w:t>
      </w:r>
      <w:r w:rsidR="00D243EF">
        <w:t xml:space="preserve"> against torture, and other cruel, </w:t>
      </w:r>
      <w:r w:rsidR="00E655EB">
        <w:t>inhuman,</w:t>
      </w:r>
      <w:r w:rsidR="00D243EF">
        <w:t xml:space="preserve"> or degrading treatment or punishment.</w:t>
      </w:r>
    </w:p>
    <w:p w14:paraId="7BB7EFB7" w14:textId="4606E054" w:rsidR="008632E6" w:rsidRDefault="00E655EB" w:rsidP="008B206F">
      <w:pPr>
        <w:spacing w:after="120"/>
      </w:pPr>
      <w:r>
        <w:t>QAI’s</w:t>
      </w:r>
      <w:r w:rsidR="00C7123D">
        <w:t xml:space="preserve"> submission </w:t>
      </w:r>
      <w:r>
        <w:t>provide</w:t>
      </w:r>
      <w:r w:rsidR="002A2D7F">
        <w:t>s</w:t>
      </w:r>
      <w:r>
        <w:t xml:space="preserve"> feedback on the following</w:t>
      </w:r>
      <w:r w:rsidR="00FF52E8">
        <w:t xml:space="preserve"> clause</w:t>
      </w:r>
      <w:r w:rsidR="00144306">
        <w:t>s</w:t>
      </w:r>
      <w:r w:rsidR="00FF52E8">
        <w:t xml:space="preserve"> of concern</w:t>
      </w:r>
      <w:r w:rsidR="00144306">
        <w:t>; 4, 7</w:t>
      </w:r>
      <w:r w:rsidR="002A2D7F">
        <w:t xml:space="preserve">, </w:t>
      </w:r>
      <w:r w:rsidR="00144306">
        <w:t>8, 10,</w:t>
      </w:r>
      <w:r w:rsidR="002A2D7F">
        <w:t xml:space="preserve"> 11, 14, 15</w:t>
      </w:r>
      <w:r w:rsidR="00144306">
        <w:t xml:space="preserve"> </w:t>
      </w:r>
      <w:r w:rsidR="002A2D7F">
        <w:t>and 16.</w:t>
      </w:r>
    </w:p>
    <w:p w14:paraId="47EFE25C" w14:textId="104ED2C9" w:rsidR="008C19D8" w:rsidRPr="00E5774A" w:rsidRDefault="006504F0" w:rsidP="008B206F">
      <w:pPr>
        <w:pStyle w:val="Heading1"/>
        <w:spacing w:before="240"/>
      </w:pPr>
      <w:r>
        <w:t>Clause</w:t>
      </w:r>
      <w:r w:rsidR="002941EF">
        <w:t xml:space="preserve"> 4</w:t>
      </w:r>
      <w:r w:rsidR="002020CC">
        <w:t xml:space="preserve"> – Meaning of place of detention </w:t>
      </w:r>
    </w:p>
    <w:p w14:paraId="74CAA0D5" w14:textId="3954EC59" w:rsidR="002F2F01" w:rsidRDefault="449E27AF" w:rsidP="008B206F">
      <w:pPr>
        <w:spacing w:after="120"/>
      </w:pPr>
      <w:r>
        <w:t xml:space="preserve">Clause 4 provides a list of facilities that fall within the definition of </w:t>
      </w:r>
      <w:r w:rsidR="00631379">
        <w:t xml:space="preserve">a </w:t>
      </w:r>
      <w:r>
        <w:t xml:space="preserve">‘place of detention’ for the purposes of the Bill. </w:t>
      </w:r>
      <w:r w:rsidR="588FB394">
        <w:t xml:space="preserve">QAI welcomes the inclusion of inpatient units at </w:t>
      </w:r>
      <w:r w:rsidR="00172E91">
        <w:t>a</w:t>
      </w:r>
      <w:r w:rsidR="588FB394">
        <w:t xml:space="preserve">uthorised </w:t>
      </w:r>
      <w:r w:rsidR="00850D9B">
        <w:t>m</w:t>
      </w:r>
      <w:r w:rsidR="588FB394">
        <w:t xml:space="preserve">ental </w:t>
      </w:r>
      <w:r w:rsidR="00850D9B">
        <w:t>h</w:t>
      </w:r>
      <w:r w:rsidR="588FB394">
        <w:t xml:space="preserve">ealth </w:t>
      </w:r>
      <w:r w:rsidR="00850D9B">
        <w:t>s</w:t>
      </w:r>
      <w:r w:rsidR="588FB394">
        <w:t xml:space="preserve">ervices and the Forensic Disability Service as </w:t>
      </w:r>
      <w:r w:rsidR="3EF3F9A4">
        <w:t xml:space="preserve">identified </w:t>
      </w:r>
      <w:r w:rsidR="588FB394">
        <w:t>places of detention. This will enable the S</w:t>
      </w:r>
      <w:r w:rsidR="00244579">
        <w:t>ubcommittee</w:t>
      </w:r>
      <w:r w:rsidR="588FB394">
        <w:t xml:space="preserve"> to visit the places of detention QAI raised concern about in a letter </w:t>
      </w:r>
      <w:r w:rsidR="23C24020">
        <w:t xml:space="preserve">sent </w:t>
      </w:r>
      <w:r w:rsidR="588FB394">
        <w:t>to the Subcommittee prior to their visit in October 2022</w:t>
      </w:r>
      <w:r w:rsidR="002F2F01" w:rsidRPr="5F9F4F74">
        <w:rPr>
          <w:rStyle w:val="FootnoteReference"/>
        </w:rPr>
        <w:footnoteReference w:id="4"/>
      </w:r>
      <w:r w:rsidR="588FB394">
        <w:t xml:space="preserve">. </w:t>
      </w:r>
      <w:r w:rsidR="0A26A509">
        <w:t>W</w:t>
      </w:r>
      <w:r w:rsidR="588FB394">
        <w:t xml:space="preserve">e note with concern that these places of detention remain outside the scope of the </w:t>
      </w:r>
      <w:r w:rsidR="588FB394" w:rsidRPr="5F9F4F74">
        <w:rPr>
          <w:i/>
          <w:iCs/>
        </w:rPr>
        <w:t>Inspector of Detention Services Act 2022</w:t>
      </w:r>
      <w:r w:rsidR="588FB394">
        <w:t xml:space="preserve"> (Qld) and any other publicly detailed plan for an NPM in Queensland.</w:t>
      </w:r>
      <w:r w:rsidR="2A5B1063">
        <w:t xml:space="preserve"> </w:t>
      </w:r>
    </w:p>
    <w:p w14:paraId="641C8B8D" w14:textId="366343FA" w:rsidR="002F2F01" w:rsidRDefault="777713FE" w:rsidP="008B206F">
      <w:pPr>
        <w:spacing w:after="120"/>
      </w:pPr>
      <w:r>
        <w:t>However, while the explanatory notes</w:t>
      </w:r>
      <w:r w:rsidR="3898E0A7">
        <w:t xml:space="preserve"> state that the Bill “does not operate to pr</w:t>
      </w:r>
      <w:r w:rsidR="59466E0E">
        <w:t>event the Subcommittee from visiting other places where a person may be deprived of their liberty”</w:t>
      </w:r>
      <w:r w:rsidR="002F2F01" w:rsidRPr="5F9F4F74">
        <w:rPr>
          <w:rStyle w:val="FootnoteReference"/>
        </w:rPr>
        <w:footnoteReference w:id="5"/>
      </w:r>
      <w:r w:rsidR="0E588E37">
        <w:t xml:space="preserve">, </w:t>
      </w:r>
      <w:r w:rsidR="26748A7B">
        <w:t>th</w:t>
      </w:r>
      <w:r w:rsidR="0E588E37">
        <w:t xml:space="preserve">e </w:t>
      </w:r>
      <w:r w:rsidR="6A34305E">
        <w:t xml:space="preserve">wording </w:t>
      </w:r>
      <w:r w:rsidR="003D55E5">
        <w:t>of</w:t>
      </w:r>
      <w:r w:rsidR="61690EE5">
        <w:t xml:space="preserve"> the Bill </w:t>
      </w:r>
      <w:r w:rsidR="6A34305E">
        <w:t xml:space="preserve">does not reflect this </w:t>
      </w:r>
      <w:r w:rsidR="004E4260">
        <w:t>intention,</w:t>
      </w:r>
      <w:r w:rsidR="6A34305E">
        <w:t xml:space="preserve"> nor</w:t>
      </w:r>
      <w:r w:rsidR="4A92A653">
        <w:t xml:space="preserve"> does it</w:t>
      </w:r>
      <w:r w:rsidR="6A34305E">
        <w:t xml:space="preserve"> clearly state that the list</w:t>
      </w:r>
      <w:r w:rsidR="00C33345">
        <w:t xml:space="preserve"> of places</w:t>
      </w:r>
      <w:r w:rsidR="0E588E37">
        <w:t xml:space="preserve"> is non-exhaustive. It would be preferable</w:t>
      </w:r>
      <w:r w:rsidR="3B4F1644">
        <w:t xml:space="preserve"> for the Bill to clearly state that </w:t>
      </w:r>
      <w:r w:rsidR="7CAA3112">
        <w:t xml:space="preserve">the list of </w:t>
      </w:r>
      <w:r w:rsidR="3B4F1644">
        <w:t>place</w:t>
      </w:r>
      <w:r w:rsidR="1D57BE7A">
        <w:t>s</w:t>
      </w:r>
      <w:r w:rsidR="3B4F1644">
        <w:t xml:space="preserve"> of detention</w:t>
      </w:r>
      <w:r w:rsidR="4943D746">
        <w:t xml:space="preserve"> “includes</w:t>
      </w:r>
      <w:r w:rsidR="3B4F1644">
        <w:t xml:space="preserve"> but is not limited to</w:t>
      </w:r>
      <w:r w:rsidR="035B7956">
        <w:t>”</w:t>
      </w:r>
      <w:r w:rsidR="3A329179">
        <w:t>,</w:t>
      </w:r>
      <w:r w:rsidR="3B4F1644">
        <w:t xml:space="preserve"> or words to that affect.</w:t>
      </w:r>
      <w:r w:rsidR="3E054BE1">
        <w:t xml:space="preserve"> It is imperative that the defi</w:t>
      </w:r>
      <w:r w:rsidR="5269DEA2">
        <w:t>ni</w:t>
      </w:r>
      <w:r w:rsidR="3E054BE1">
        <w:t xml:space="preserve">tion of places of detention remains flexible to include emerging </w:t>
      </w:r>
      <w:r w:rsidR="6EA87DA0">
        <w:t>places</w:t>
      </w:r>
      <w:r w:rsidR="3E054BE1">
        <w:t xml:space="preserve"> of detention</w:t>
      </w:r>
      <w:r w:rsidR="5C879CBB">
        <w:t xml:space="preserve">, such </w:t>
      </w:r>
      <w:r w:rsidR="0346EE29">
        <w:t>quarantine facilities used during the height of</w:t>
      </w:r>
      <w:r w:rsidR="5C879CBB">
        <w:t xml:space="preserve"> the Covid-19 pandemic</w:t>
      </w:r>
      <w:r w:rsidR="0A34779F">
        <w:t>.</w:t>
      </w:r>
      <w:r w:rsidR="5C879CBB">
        <w:t xml:space="preserve"> </w:t>
      </w:r>
      <w:r w:rsidR="000D099D">
        <w:t>This</w:t>
      </w:r>
      <w:r w:rsidR="00543F65">
        <w:t xml:space="preserve"> was</w:t>
      </w:r>
      <w:r w:rsidR="00673B1B">
        <w:t xml:space="preserve"> in fact recommended by the Subcommittee </w:t>
      </w:r>
      <w:r w:rsidR="003B69AF">
        <w:t xml:space="preserve">in </w:t>
      </w:r>
      <w:r w:rsidR="009125CC">
        <w:t>advice</w:t>
      </w:r>
      <w:r w:rsidR="006B47ED">
        <w:t xml:space="preserve"> letters</w:t>
      </w:r>
      <w:r w:rsidR="009125CC">
        <w:t xml:space="preserve"> issued </w:t>
      </w:r>
      <w:r w:rsidR="00860FF0">
        <w:t xml:space="preserve">to States Parties </w:t>
      </w:r>
      <w:r w:rsidR="009125CC">
        <w:t>during the pandemic</w:t>
      </w:r>
      <w:r w:rsidR="00860FF0">
        <w:t xml:space="preserve">. </w:t>
      </w:r>
      <w:r w:rsidR="5C879CBB">
        <w:t>It is</w:t>
      </w:r>
      <w:r w:rsidR="224E30AC">
        <w:t xml:space="preserve"> equally</w:t>
      </w:r>
      <w:r w:rsidR="5C879CBB">
        <w:t xml:space="preserve"> imperative that the definition includes</w:t>
      </w:r>
      <w:r w:rsidR="7EEA6DA7">
        <w:t xml:space="preserve"> all accommodation</w:t>
      </w:r>
      <w:r w:rsidR="23F47B90">
        <w:t xml:space="preserve"> facilities</w:t>
      </w:r>
      <w:r w:rsidR="7EEA6DA7">
        <w:t xml:space="preserve"> in which people with disability </w:t>
      </w:r>
      <w:r w:rsidR="50EB039D">
        <w:t>reside in a</w:t>
      </w:r>
      <w:r w:rsidR="7EEA6DA7">
        <w:t xml:space="preserve"> group</w:t>
      </w:r>
      <w:r w:rsidR="626D0DD3">
        <w:t xml:space="preserve"> s</w:t>
      </w:r>
      <w:r w:rsidR="18ACB4D0">
        <w:t>etting</w:t>
      </w:r>
      <w:r w:rsidR="3AF825AE">
        <w:t>,</w:t>
      </w:r>
      <w:r w:rsidR="1A4A9847">
        <w:t xml:space="preserve"> </w:t>
      </w:r>
      <w:r w:rsidR="0085E301">
        <w:t>regardless of whether the facilities are</w:t>
      </w:r>
      <w:r w:rsidR="1A4A9847">
        <w:t xml:space="preserve"> </w:t>
      </w:r>
      <w:bookmarkStart w:id="0" w:name="_Int_WnKSaqNn"/>
      <w:proofErr w:type="gramStart"/>
      <w:r w:rsidR="00C95B0A">
        <w:t>S</w:t>
      </w:r>
      <w:r w:rsidR="1A4A9847">
        <w:t>tate</w:t>
      </w:r>
      <w:bookmarkEnd w:id="0"/>
      <w:proofErr w:type="gramEnd"/>
      <w:r w:rsidR="1A4A9847">
        <w:t xml:space="preserve"> </w:t>
      </w:r>
      <w:bookmarkStart w:id="1" w:name="_Int_24nilUc8"/>
      <w:r w:rsidR="535C900F">
        <w:t>or</w:t>
      </w:r>
      <w:bookmarkEnd w:id="1"/>
      <w:r w:rsidR="1A4A9847">
        <w:t xml:space="preserve"> </w:t>
      </w:r>
      <w:r w:rsidR="00C95B0A">
        <w:t>C</w:t>
      </w:r>
      <w:r w:rsidR="1A4A9847">
        <w:t xml:space="preserve">ommonwealth </w:t>
      </w:r>
      <w:r w:rsidR="59ADF71E">
        <w:t>funded. This inc</w:t>
      </w:r>
      <w:r w:rsidR="00BA6874">
        <w:t>lud</w:t>
      </w:r>
      <w:r w:rsidR="29CDFAAC">
        <w:t xml:space="preserve">es </w:t>
      </w:r>
      <w:r w:rsidR="00BA6874">
        <w:t xml:space="preserve">privately owned (yet government </w:t>
      </w:r>
      <w:r w:rsidR="61CBA721">
        <w:t>subsidised</w:t>
      </w:r>
      <w:r w:rsidR="4DBED4F8">
        <w:t>)</w:t>
      </w:r>
      <w:r w:rsidR="00BA6874">
        <w:t xml:space="preserve"> supported independent living arrangements </w:t>
      </w:r>
      <w:r w:rsidR="261F0ECE">
        <w:t>or specialist disability accommodation facilities funded by</w:t>
      </w:r>
      <w:r w:rsidR="00BA6874">
        <w:t xml:space="preserve"> the National Disability Insurance Scheme</w:t>
      </w:r>
      <w:r w:rsidR="6E6C625F">
        <w:t xml:space="preserve">. QAI is </w:t>
      </w:r>
      <w:r w:rsidR="5CBE053B">
        <w:t>similarly</w:t>
      </w:r>
      <w:r w:rsidR="6E6C625F">
        <w:t xml:space="preserve"> concerned to ensure residential aged care facilities, including locked aged care </w:t>
      </w:r>
      <w:r w:rsidR="14EA75C2">
        <w:t>wards</w:t>
      </w:r>
      <w:r w:rsidR="6E6C625F">
        <w:t xml:space="preserve"> in Q</w:t>
      </w:r>
      <w:r w:rsidR="71A922A0">
        <w:t>u</w:t>
      </w:r>
      <w:r w:rsidR="6E6C625F">
        <w:t>eensland public hospitals</w:t>
      </w:r>
      <w:r w:rsidR="495ABF7C">
        <w:t>,</w:t>
      </w:r>
      <w:r w:rsidR="6E6C625F">
        <w:t xml:space="preserve"> can be accessed by the Subcommittee an</w:t>
      </w:r>
      <w:r w:rsidR="6805CBFB">
        <w:t>d we endorse the submissions of Townsville Community Law in this regard.</w:t>
      </w:r>
    </w:p>
    <w:p w14:paraId="1725FF1D" w14:textId="11BA1503" w:rsidR="002F2F01" w:rsidRDefault="712297FC" w:rsidP="008B206F">
      <w:pPr>
        <w:spacing w:after="120"/>
      </w:pPr>
      <w:bookmarkStart w:id="2" w:name="_Int_AMzFU8j1"/>
      <w:r>
        <w:lastRenderedPageBreak/>
        <w:t xml:space="preserve">The explanatory notes state that “to enable the Subcommittee to fulfil its mandate, </w:t>
      </w:r>
      <w:r w:rsidR="00856704">
        <w:t>S</w:t>
      </w:r>
      <w:r>
        <w:t xml:space="preserve">tate parties that ratify OPCAT undertake to provide the Subcommittee with...unrestricted access to </w:t>
      </w:r>
      <w:r w:rsidRPr="5F9F4F74">
        <w:rPr>
          <w:i/>
          <w:iCs/>
          <w:u w:val="single"/>
        </w:rPr>
        <w:t>all</w:t>
      </w:r>
      <w:r>
        <w:t xml:space="preserve"> places of detention...”</w:t>
      </w:r>
      <w:r w:rsidR="002F2F01" w:rsidRPr="5F9F4F74">
        <w:rPr>
          <w:rStyle w:val="FootnoteReference"/>
        </w:rPr>
        <w:footnoteReference w:id="6"/>
      </w:r>
      <w:r w:rsidR="2A207FBA">
        <w:t xml:space="preserve"> </w:t>
      </w:r>
      <w:r w:rsidR="3E57E4C7">
        <w:t>(emphasis added)</w:t>
      </w:r>
      <w:r w:rsidR="4414F1AF">
        <w:t>,</w:t>
      </w:r>
      <w:r w:rsidR="3E57E4C7">
        <w:t xml:space="preserve"> </w:t>
      </w:r>
      <w:r w:rsidR="2A207FBA">
        <w:t xml:space="preserve">yet the Bill as currently </w:t>
      </w:r>
      <w:r w:rsidR="559C663A">
        <w:t>drafted</w:t>
      </w:r>
      <w:r w:rsidR="2A207FBA">
        <w:t xml:space="preserve"> does not do this.</w:t>
      </w:r>
      <w:r w:rsidR="744CE92D">
        <w:t xml:space="preserve"> </w:t>
      </w:r>
      <w:r w:rsidR="5D95984A">
        <w:t>QAI notes the approach taken by the Australian Capital Territory</w:t>
      </w:r>
      <w:r w:rsidR="0826421B">
        <w:t xml:space="preserve"> in its</w:t>
      </w:r>
      <w:r w:rsidR="5D95984A">
        <w:t xml:space="preserve"> equivalent </w:t>
      </w:r>
      <w:r w:rsidR="68F5219A">
        <w:t xml:space="preserve">piece of </w:t>
      </w:r>
      <w:r w:rsidR="5D95984A">
        <w:t>legislation</w:t>
      </w:r>
      <w:r w:rsidR="000B5A7E">
        <w:t>, which</w:t>
      </w:r>
      <w:r w:rsidR="05B40F60">
        <w:t xml:space="preserve"> defines a place of detention as “any place that the Subcommittee must be allowed to visit under the Optional Protocol, article 4, that is subject to the jurisdiction and control of the Territor</w:t>
      </w:r>
      <w:r w:rsidR="412CC5EC">
        <w:t>y"</w:t>
      </w:r>
      <w:r w:rsidR="6A4E9B03">
        <w:t>.</w:t>
      </w:r>
      <w:r w:rsidR="002F2F01" w:rsidRPr="5F9F4F74">
        <w:rPr>
          <w:rStyle w:val="FootnoteReference"/>
        </w:rPr>
        <w:footnoteReference w:id="7"/>
      </w:r>
      <w:r w:rsidR="6A4E9B03">
        <w:t xml:space="preserve"> </w:t>
      </w:r>
      <w:bookmarkEnd w:id="2"/>
      <w:r w:rsidR="00B9288E">
        <w:t>QAI</w:t>
      </w:r>
      <w:r w:rsidR="000B5A7E">
        <w:t xml:space="preserve"> urges the Committee to consider taking the same approach</w:t>
      </w:r>
      <w:r w:rsidR="00B9288E">
        <w:t>.</w:t>
      </w:r>
    </w:p>
    <w:p w14:paraId="74E0FC77" w14:textId="33616DF2" w:rsidR="000856C9" w:rsidRDefault="006504F0" w:rsidP="008B206F">
      <w:pPr>
        <w:pStyle w:val="Heading1"/>
        <w:spacing w:before="240"/>
      </w:pPr>
      <w:r>
        <w:t>Clause</w:t>
      </w:r>
      <w:r w:rsidR="4D36FDA9">
        <w:t>s</w:t>
      </w:r>
      <w:r w:rsidR="005B6350">
        <w:t xml:space="preserve"> </w:t>
      </w:r>
      <w:r w:rsidR="000856C9">
        <w:t>7 &amp; 8</w:t>
      </w:r>
      <w:r w:rsidR="2B8A051F">
        <w:t xml:space="preserve"> – Responsible Minister &amp; Detaining authority to ensure subcommittee permitted to visit and access a place of detention</w:t>
      </w:r>
    </w:p>
    <w:p w14:paraId="28419AA8" w14:textId="7535A40F" w:rsidR="000856C9" w:rsidRPr="008B206F" w:rsidRDefault="000856C9" w:rsidP="008B206F">
      <w:pPr>
        <w:autoSpaceDE w:val="0"/>
        <w:autoSpaceDN w:val="0"/>
        <w:adjustRightInd w:val="0"/>
        <w:spacing w:after="120"/>
        <w:rPr>
          <w:rFonts w:cstheme="minorBidi"/>
          <w:color w:val="000000"/>
        </w:rPr>
      </w:pPr>
      <w:r w:rsidRPr="5F9F4F74">
        <w:rPr>
          <w:rFonts w:cstheme="minorBidi"/>
          <w:color w:val="000000" w:themeColor="text1"/>
        </w:rPr>
        <w:t>Clause 7 states</w:t>
      </w:r>
      <w:r w:rsidR="5D0B295E" w:rsidRPr="5F9F4F74">
        <w:rPr>
          <w:rFonts w:cstheme="minorBidi"/>
          <w:color w:val="000000" w:themeColor="text1"/>
        </w:rPr>
        <w:t xml:space="preserve"> </w:t>
      </w:r>
      <w:r w:rsidRPr="5F9F4F74">
        <w:rPr>
          <w:rFonts w:cstheme="minorBidi"/>
          <w:color w:val="000000" w:themeColor="text1"/>
        </w:rPr>
        <w:t xml:space="preserve">the responsible Minister must ensure that the </w:t>
      </w:r>
      <w:r w:rsidR="6151DF7D" w:rsidRPr="5F9F4F74">
        <w:rPr>
          <w:rFonts w:cstheme="minorBidi"/>
          <w:color w:val="000000" w:themeColor="text1"/>
        </w:rPr>
        <w:t>S</w:t>
      </w:r>
      <w:r w:rsidRPr="5F9F4F74">
        <w:rPr>
          <w:rFonts w:cstheme="minorBidi"/>
          <w:color w:val="000000" w:themeColor="text1"/>
        </w:rPr>
        <w:t xml:space="preserve">ubcommittee is permitted to </w:t>
      </w:r>
      <w:r w:rsidR="002833C2" w:rsidRPr="5F9F4F74">
        <w:rPr>
          <w:rFonts w:cstheme="minorBidi"/>
          <w:color w:val="000000" w:themeColor="text1"/>
        </w:rPr>
        <w:t>enter</w:t>
      </w:r>
      <w:r w:rsidRPr="5F9F4F74">
        <w:rPr>
          <w:rFonts w:cstheme="minorBidi"/>
          <w:color w:val="000000" w:themeColor="text1"/>
        </w:rPr>
        <w:t xml:space="preserve"> and visit the place of detention and have unrestricted access to any part of the place of detention. Clause 8 imposes the same obligation on the detaining authority. </w:t>
      </w:r>
    </w:p>
    <w:p w14:paraId="36EF69A5" w14:textId="129E57F0" w:rsidR="5F9F4F74" w:rsidRDefault="000856C9" w:rsidP="008B206F">
      <w:pPr>
        <w:spacing w:before="240" w:after="120"/>
        <w:rPr>
          <w:rFonts w:cstheme="minorBidi"/>
          <w:color w:val="000000" w:themeColor="text1"/>
        </w:rPr>
      </w:pPr>
      <w:r w:rsidRPr="5F9F4F74">
        <w:rPr>
          <w:rFonts w:cstheme="minorBidi"/>
          <w:color w:val="000000" w:themeColor="text1"/>
        </w:rPr>
        <w:t>QAI</w:t>
      </w:r>
      <w:r w:rsidR="0A01B16C" w:rsidRPr="5F9F4F74">
        <w:rPr>
          <w:rFonts w:cstheme="minorBidi"/>
          <w:color w:val="000000" w:themeColor="text1"/>
        </w:rPr>
        <w:t xml:space="preserve"> </w:t>
      </w:r>
      <w:r w:rsidR="65A3C33D" w:rsidRPr="5F9F4F74">
        <w:rPr>
          <w:rFonts w:cstheme="minorBidi"/>
          <w:color w:val="000000" w:themeColor="text1"/>
        </w:rPr>
        <w:t>observes</w:t>
      </w:r>
      <w:r w:rsidRPr="5F9F4F74">
        <w:rPr>
          <w:rFonts w:cstheme="minorBidi"/>
          <w:color w:val="000000" w:themeColor="text1"/>
        </w:rPr>
        <w:t xml:space="preserve"> that neither clause makes provision for an offence or penalty </w:t>
      </w:r>
      <w:bookmarkStart w:id="3" w:name="_Int_tN51S2vj"/>
      <w:proofErr w:type="gramStart"/>
      <w:r w:rsidR="57A5C6E0" w:rsidRPr="5F9F4F74">
        <w:rPr>
          <w:rFonts w:cstheme="minorBidi"/>
          <w:color w:val="000000" w:themeColor="text1"/>
        </w:rPr>
        <w:t>in the event that</w:t>
      </w:r>
      <w:bookmarkEnd w:id="3"/>
      <w:proofErr w:type="gramEnd"/>
      <w:r w:rsidR="1E66442D" w:rsidRPr="5F9F4F74">
        <w:rPr>
          <w:rFonts w:cstheme="minorBidi"/>
          <w:color w:val="000000" w:themeColor="text1"/>
        </w:rPr>
        <w:t xml:space="preserve"> a Minister or detaining authority</w:t>
      </w:r>
      <w:r w:rsidR="44F46C04" w:rsidRPr="5F9F4F74">
        <w:rPr>
          <w:rFonts w:cstheme="minorBidi"/>
          <w:color w:val="000000" w:themeColor="text1"/>
        </w:rPr>
        <w:t xml:space="preserve"> fails </w:t>
      </w:r>
      <w:r w:rsidRPr="5F9F4F74">
        <w:rPr>
          <w:rFonts w:cstheme="minorBidi"/>
          <w:color w:val="000000" w:themeColor="text1"/>
        </w:rPr>
        <w:t>to comply with these clear statutory obligations.</w:t>
      </w:r>
      <w:r w:rsidR="5C4C1D8E" w:rsidRPr="5F9F4F74">
        <w:rPr>
          <w:rFonts w:cstheme="minorBidi"/>
          <w:color w:val="000000" w:themeColor="text1"/>
        </w:rPr>
        <w:t xml:space="preserve"> QAI</w:t>
      </w:r>
      <w:r w:rsidR="4BBDE0A4" w:rsidRPr="5F9F4F74">
        <w:rPr>
          <w:rFonts w:cstheme="minorBidi"/>
          <w:color w:val="000000" w:themeColor="text1"/>
        </w:rPr>
        <w:t xml:space="preserve"> recommends the Committee consider including such provision</w:t>
      </w:r>
      <w:r w:rsidR="01E0165A" w:rsidRPr="5F9F4F74">
        <w:rPr>
          <w:rFonts w:cstheme="minorBidi"/>
          <w:color w:val="000000" w:themeColor="text1"/>
        </w:rPr>
        <w:t xml:space="preserve">s in both </w:t>
      </w:r>
      <w:r w:rsidR="219D5603" w:rsidRPr="5F9F4F74">
        <w:rPr>
          <w:rFonts w:cstheme="minorBidi"/>
          <w:color w:val="000000" w:themeColor="text1"/>
        </w:rPr>
        <w:t>C</w:t>
      </w:r>
      <w:r w:rsidR="01E0165A" w:rsidRPr="5F9F4F74">
        <w:rPr>
          <w:rFonts w:cstheme="minorBidi"/>
          <w:color w:val="000000" w:themeColor="text1"/>
        </w:rPr>
        <w:t>lauses</w:t>
      </w:r>
      <w:r w:rsidR="4BBDE0A4" w:rsidRPr="5F9F4F74">
        <w:rPr>
          <w:rFonts w:cstheme="minorBidi"/>
          <w:color w:val="000000" w:themeColor="text1"/>
        </w:rPr>
        <w:t>.</w:t>
      </w:r>
    </w:p>
    <w:p w14:paraId="19677339" w14:textId="60FE214F" w:rsidR="00C83B0B" w:rsidRDefault="000856C9" w:rsidP="009906FC">
      <w:pPr>
        <w:pStyle w:val="Heading1"/>
        <w:spacing w:before="240"/>
      </w:pPr>
      <w:r>
        <w:t xml:space="preserve">Clause </w:t>
      </w:r>
      <w:r w:rsidR="005B6350">
        <w:t>1</w:t>
      </w:r>
      <w:r w:rsidR="00C83B0B">
        <w:t>0</w:t>
      </w:r>
      <w:r w:rsidR="004A74DF">
        <w:t xml:space="preserve"> – </w:t>
      </w:r>
      <w:r w:rsidR="00A31044">
        <w:t>D</w:t>
      </w:r>
      <w:r w:rsidR="004A74DF">
        <w:t>etaining authority may temporarily prohibit or restrict access to place of detention</w:t>
      </w:r>
    </w:p>
    <w:p w14:paraId="3DB1108A" w14:textId="18209D10" w:rsidR="00C83B0B" w:rsidRDefault="72A7FE82" w:rsidP="008B206F">
      <w:pPr>
        <w:spacing w:after="120"/>
        <w:rPr>
          <w:rFonts w:asciiTheme="minorHAnsi" w:eastAsiaTheme="minorEastAsia" w:hAnsiTheme="minorHAnsi" w:cstheme="minorBidi"/>
          <w:color w:val="000000" w:themeColor="text1"/>
        </w:rPr>
      </w:pPr>
      <w:r w:rsidRPr="5F9F4F74">
        <w:rPr>
          <w:rFonts w:asciiTheme="minorHAnsi" w:eastAsiaTheme="minorEastAsia" w:hAnsiTheme="minorHAnsi" w:cstheme="minorBidi"/>
          <w:color w:val="000000" w:themeColor="text1"/>
        </w:rPr>
        <w:t xml:space="preserve">QAI is concerned that Clause 10 provides </w:t>
      </w:r>
      <w:r w:rsidR="1F9E8690" w:rsidRPr="5F9F4F74">
        <w:rPr>
          <w:rFonts w:asciiTheme="minorHAnsi" w:eastAsiaTheme="minorEastAsia" w:hAnsiTheme="minorHAnsi" w:cstheme="minorBidi"/>
          <w:color w:val="000000" w:themeColor="text1"/>
        </w:rPr>
        <w:t xml:space="preserve">too much discretion </w:t>
      </w:r>
      <w:r w:rsidRPr="5F9F4F74">
        <w:rPr>
          <w:rFonts w:asciiTheme="minorHAnsi" w:eastAsiaTheme="minorEastAsia" w:hAnsiTheme="minorHAnsi" w:cstheme="minorBidi"/>
          <w:color w:val="000000" w:themeColor="text1"/>
        </w:rPr>
        <w:t>for a detaining authority to temporarily prohibit or restrict the Subcommittee accessing a place of detention</w:t>
      </w:r>
      <w:r w:rsidR="4ECE4276" w:rsidRPr="5F9F4F74">
        <w:rPr>
          <w:rFonts w:asciiTheme="minorHAnsi" w:eastAsiaTheme="minorEastAsia" w:hAnsiTheme="minorHAnsi" w:cstheme="minorBidi"/>
          <w:color w:val="000000" w:themeColor="text1"/>
        </w:rPr>
        <w:t xml:space="preserve">. </w:t>
      </w:r>
      <w:r w:rsidR="7333E58E" w:rsidRPr="5F9F4F74">
        <w:rPr>
          <w:rFonts w:asciiTheme="minorHAnsi" w:eastAsiaTheme="minorEastAsia" w:hAnsiTheme="minorHAnsi" w:cstheme="minorBidi"/>
          <w:color w:val="000000" w:themeColor="text1"/>
        </w:rPr>
        <w:t>Consequently, i</w:t>
      </w:r>
      <w:r w:rsidR="249064F7" w:rsidRPr="5F9F4F74">
        <w:rPr>
          <w:rFonts w:asciiTheme="minorHAnsi" w:eastAsiaTheme="minorEastAsia" w:hAnsiTheme="minorHAnsi" w:cstheme="minorBidi"/>
          <w:color w:val="000000" w:themeColor="text1"/>
        </w:rPr>
        <w:t xml:space="preserve">t </w:t>
      </w:r>
      <w:r w:rsidR="396AF0C0" w:rsidRPr="5F9F4F74">
        <w:rPr>
          <w:rFonts w:asciiTheme="minorHAnsi" w:eastAsiaTheme="minorEastAsia" w:hAnsiTheme="minorHAnsi" w:cstheme="minorBidi"/>
          <w:color w:val="000000" w:themeColor="text1"/>
        </w:rPr>
        <w:t xml:space="preserve">undermines the integrity of the Bill and its stated </w:t>
      </w:r>
      <w:r w:rsidR="1BF7CB18" w:rsidRPr="5F9F4F74">
        <w:rPr>
          <w:rFonts w:asciiTheme="minorHAnsi" w:eastAsiaTheme="minorEastAsia" w:hAnsiTheme="minorHAnsi" w:cstheme="minorBidi"/>
          <w:color w:val="000000" w:themeColor="text1"/>
        </w:rPr>
        <w:t>purpose</w:t>
      </w:r>
      <w:r w:rsidR="396AF0C0" w:rsidRPr="5F9F4F74">
        <w:rPr>
          <w:rFonts w:asciiTheme="minorHAnsi" w:eastAsiaTheme="minorEastAsia" w:hAnsiTheme="minorHAnsi" w:cstheme="minorBidi"/>
          <w:color w:val="000000" w:themeColor="text1"/>
        </w:rPr>
        <w:t xml:space="preserve"> which is to facilitate</w:t>
      </w:r>
      <w:r w:rsidR="2E232A00" w:rsidRPr="5F9F4F74">
        <w:rPr>
          <w:rFonts w:asciiTheme="minorHAnsi" w:eastAsiaTheme="minorEastAsia" w:hAnsiTheme="minorHAnsi" w:cstheme="minorBidi"/>
          <w:color w:val="000000" w:themeColor="text1"/>
        </w:rPr>
        <w:t xml:space="preserve"> visits by the Subcommittee to places of detention in Queensland. QAI notes that Article 14 of OPCAT states an </w:t>
      </w:r>
      <w:r w:rsidR="544452FF" w:rsidRPr="5F9F4F74">
        <w:rPr>
          <w:rFonts w:asciiTheme="minorHAnsi" w:eastAsiaTheme="minorEastAsia" w:hAnsiTheme="minorHAnsi" w:cstheme="minorBidi"/>
          <w:color w:val="000000" w:themeColor="text1"/>
        </w:rPr>
        <w:t>“</w:t>
      </w:r>
      <w:r w:rsidR="2E232A00" w:rsidRPr="5F9F4F74">
        <w:rPr>
          <w:rFonts w:asciiTheme="minorHAnsi" w:eastAsiaTheme="minorEastAsia" w:hAnsiTheme="minorHAnsi" w:cstheme="minorBidi"/>
          <w:color w:val="000000" w:themeColor="text1"/>
        </w:rPr>
        <w:t xml:space="preserve">objection to a visit to </w:t>
      </w:r>
      <w:r w:rsidR="0FB5D92E" w:rsidRPr="5F9F4F74">
        <w:rPr>
          <w:rFonts w:asciiTheme="minorHAnsi" w:eastAsiaTheme="minorEastAsia" w:hAnsiTheme="minorHAnsi" w:cstheme="minorBidi"/>
          <w:color w:val="000000" w:themeColor="text1"/>
        </w:rPr>
        <w:t xml:space="preserve">a </w:t>
      </w:r>
      <w:r w:rsidR="1C619484" w:rsidRPr="5F9F4F74">
        <w:rPr>
          <w:rFonts w:asciiTheme="minorHAnsi" w:eastAsiaTheme="minorEastAsia" w:hAnsiTheme="minorHAnsi" w:cstheme="minorBidi"/>
          <w:color w:val="000000" w:themeColor="text1"/>
        </w:rPr>
        <w:t>particular</w:t>
      </w:r>
      <w:r w:rsidR="2E232A00" w:rsidRPr="5F9F4F74">
        <w:rPr>
          <w:rFonts w:asciiTheme="minorHAnsi" w:eastAsiaTheme="minorEastAsia" w:hAnsiTheme="minorHAnsi" w:cstheme="minorBidi"/>
          <w:color w:val="000000" w:themeColor="text1"/>
        </w:rPr>
        <w:t xml:space="preserve"> place of</w:t>
      </w:r>
      <w:r w:rsidR="4287BCC1" w:rsidRPr="5F9F4F74">
        <w:rPr>
          <w:rFonts w:asciiTheme="minorHAnsi" w:eastAsiaTheme="minorEastAsia" w:hAnsiTheme="minorHAnsi" w:cstheme="minorBidi"/>
          <w:color w:val="000000" w:themeColor="text1"/>
        </w:rPr>
        <w:t xml:space="preserve"> detention may be made only on urgent and</w:t>
      </w:r>
      <w:r w:rsidR="213486A8" w:rsidRPr="5F9F4F74">
        <w:rPr>
          <w:rFonts w:asciiTheme="minorHAnsi" w:eastAsiaTheme="minorEastAsia" w:hAnsiTheme="minorHAnsi" w:cstheme="minorBidi"/>
          <w:color w:val="000000" w:themeColor="text1"/>
        </w:rPr>
        <w:t xml:space="preserve"> </w:t>
      </w:r>
      <w:r w:rsidR="4287BCC1" w:rsidRPr="5F9F4F74">
        <w:rPr>
          <w:rFonts w:asciiTheme="minorHAnsi" w:eastAsiaTheme="minorEastAsia" w:hAnsiTheme="minorHAnsi" w:cstheme="minorBidi"/>
          <w:color w:val="000000" w:themeColor="text1"/>
        </w:rPr>
        <w:t>compelling grounds of national defence, public safety, natural disaster or serious disorder in the place to be visited.”</w:t>
      </w:r>
      <w:r w:rsidR="00C83B0B" w:rsidRPr="5F9F4F74">
        <w:rPr>
          <w:rStyle w:val="FootnoteReference"/>
          <w:rFonts w:asciiTheme="minorHAnsi" w:eastAsiaTheme="minorEastAsia" w:hAnsiTheme="minorHAnsi" w:cstheme="minorBidi"/>
          <w:color w:val="000000" w:themeColor="text1"/>
        </w:rPr>
        <w:footnoteReference w:id="8"/>
      </w:r>
      <w:r w:rsidR="453DF25E" w:rsidRPr="5F9F4F74">
        <w:rPr>
          <w:rFonts w:asciiTheme="minorHAnsi" w:eastAsiaTheme="minorEastAsia" w:hAnsiTheme="minorHAnsi" w:cstheme="minorBidi"/>
          <w:color w:val="000000" w:themeColor="text1"/>
        </w:rPr>
        <w:t xml:space="preserve"> We note that Clause 9 already provides for such restriction</w:t>
      </w:r>
      <w:r w:rsidR="001C6A45">
        <w:rPr>
          <w:rFonts w:asciiTheme="minorHAnsi" w:eastAsiaTheme="minorEastAsia" w:hAnsiTheme="minorHAnsi" w:cstheme="minorBidi"/>
          <w:color w:val="000000" w:themeColor="text1"/>
        </w:rPr>
        <w:t>s</w:t>
      </w:r>
      <w:r w:rsidR="453DF25E" w:rsidRPr="5F9F4F74">
        <w:rPr>
          <w:rFonts w:asciiTheme="minorHAnsi" w:eastAsiaTheme="minorEastAsia" w:hAnsiTheme="minorHAnsi" w:cstheme="minorBidi"/>
          <w:color w:val="000000" w:themeColor="text1"/>
        </w:rPr>
        <w:t>, and that other jurisdictions such as the Australian Capital</w:t>
      </w:r>
      <w:r w:rsidR="65EB7FC5" w:rsidRPr="5F9F4F74">
        <w:rPr>
          <w:rFonts w:asciiTheme="minorHAnsi" w:eastAsiaTheme="minorEastAsia" w:hAnsiTheme="minorHAnsi" w:cstheme="minorBidi"/>
          <w:color w:val="000000" w:themeColor="text1"/>
        </w:rPr>
        <w:t xml:space="preserve"> Territory have not included additional grounds for limit</w:t>
      </w:r>
      <w:r w:rsidR="003276C9" w:rsidRPr="5F9F4F74">
        <w:rPr>
          <w:rFonts w:asciiTheme="minorHAnsi" w:eastAsiaTheme="minorEastAsia" w:hAnsiTheme="minorHAnsi" w:cstheme="minorBidi"/>
          <w:color w:val="000000" w:themeColor="text1"/>
        </w:rPr>
        <w:t>ing</w:t>
      </w:r>
      <w:r w:rsidR="65EB7FC5" w:rsidRPr="5F9F4F74">
        <w:rPr>
          <w:rFonts w:asciiTheme="minorHAnsi" w:eastAsiaTheme="minorEastAsia" w:hAnsiTheme="minorHAnsi" w:cstheme="minorBidi"/>
          <w:color w:val="000000" w:themeColor="text1"/>
        </w:rPr>
        <w:t xml:space="preserve"> visits </w:t>
      </w:r>
      <w:r w:rsidR="468EB885" w:rsidRPr="5F9F4F74">
        <w:rPr>
          <w:rFonts w:asciiTheme="minorHAnsi" w:eastAsiaTheme="minorEastAsia" w:hAnsiTheme="minorHAnsi" w:cstheme="minorBidi"/>
          <w:color w:val="000000" w:themeColor="text1"/>
        </w:rPr>
        <w:t>by</w:t>
      </w:r>
      <w:r w:rsidR="65EB7FC5" w:rsidRPr="5F9F4F74">
        <w:rPr>
          <w:rFonts w:asciiTheme="minorHAnsi" w:eastAsiaTheme="minorEastAsia" w:hAnsiTheme="minorHAnsi" w:cstheme="minorBidi"/>
          <w:color w:val="000000" w:themeColor="text1"/>
        </w:rPr>
        <w:t xml:space="preserve"> the Subcommittee as proposed in Clause 10.</w:t>
      </w:r>
    </w:p>
    <w:p w14:paraId="3DCF54B2" w14:textId="3325ED84" w:rsidR="00C83B0B" w:rsidRDefault="135D40D4" w:rsidP="008B206F">
      <w:pPr>
        <w:spacing w:after="120"/>
        <w:rPr>
          <w:rFonts w:asciiTheme="minorHAnsi" w:eastAsiaTheme="minorEastAsia" w:hAnsiTheme="minorHAnsi" w:cstheme="minorBidi"/>
          <w:color w:val="000000" w:themeColor="text1"/>
        </w:rPr>
      </w:pPr>
      <w:r w:rsidRPr="5F9F4F74">
        <w:rPr>
          <w:rFonts w:asciiTheme="minorHAnsi" w:eastAsiaTheme="minorEastAsia" w:hAnsiTheme="minorHAnsi" w:cstheme="minorBidi"/>
          <w:color w:val="000000" w:themeColor="text1"/>
        </w:rPr>
        <w:t xml:space="preserve">Clause 10(2)(b) lists </w:t>
      </w:r>
      <w:r w:rsidR="70CE1809" w:rsidRPr="5F9F4F74">
        <w:rPr>
          <w:rFonts w:asciiTheme="minorHAnsi" w:eastAsiaTheme="minorEastAsia" w:hAnsiTheme="minorHAnsi" w:cstheme="minorBidi"/>
          <w:color w:val="000000" w:themeColor="text1"/>
        </w:rPr>
        <w:t>one such</w:t>
      </w:r>
      <w:r w:rsidRPr="5F9F4F74">
        <w:rPr>
          <w:rFonts w:asciiTheme="minorHAnsi" w:eastAsiaTheme="minorEastAsia" w:hAnsiTheme="minorHAnsi" w:cstheme="minorBidi"/>
          <w:color w:val="000000" w:themeColor="text1"/>
        </w:rPr>
        <w:t xml:space="preserve"> </w:t>
      </w:r>
      <w:r w:rsidR="00861C62">
        <w:rPr>
          <w:rFonts w:asciiTheme="minorHAnsi" w:eastAsiaTheme="minorEastAsia" w:hAnsiTheme="minorHAnsi" w:cstheme="minorBidi"/>
          <w:color w:val="000000" w:themeColor="text1"/>
        </w:rPr>
        <w:t xml:space="preserve">additional </w:t>
      </w:r>
      <w:r w:rsidRPr="5F9F4F74">
        <w:rPr>
          <w:rFonts w:asciiTheme="minorHAnsi" w:eastAsiaTheme="minorEastAsia" w:hAnsiTheme="minorHAnsi" w:cstheme="minorBidi"/>
          <w:color w:val="000000" w:themeColor="text1"/>
        </w:rPr>
        <w:t>ground as</w:t>
      </w:r>
      <w:r w:rsidR="00B304EC">
        <w:rPr>
          <w:rFonts w:asciiTheme="minorHAnsi" w:eastAsiaTheme="minorEastAsia" w:hAnsiTheme="minorHAnsi" w:cstheme="minorBidi"/>
          <w:color w:val="000000" w:themeColor="text1"/>
        </w:rPr>
        <w:t xml:space="preserve"> </w:t>
      </w:r>
      <w:r w:rsidR="00DA7550">
        <w:rPr>
          <w:rFonts w:asciiTheme="minorHAnsi" w:eastAsiaTheme="minorEastAsia" w:hAnsiTheme="minorHAnsi" w:cstheme="minorBidi"/>
          <w:color w:val="000000" w:themeColor="text1"/>
        </w:rPr>
        <w:t xml:space="preserve">when </w:t>
      </w:r>
      <w:r w:rsidR="00B304EC">
        <w:rPr>
          <w:rFonts w:asciiTheme="minorHAnsi" w:eastAsiaTheme="minorEastAsia" w:hAnsiTheme="minorHAnsi" w:cstheme="minorBidi"/>
          <w:color w:val="000000" w:themeColor="text1"/>
        </w:rPr>
        <w:t>allowing access</w:t>
      </w:r>
      <w:r w:rsidR="003D257D">
        <w:rPr>
          <w:rFonts w:asciiTheme="minorHAnsi" w:eastAsiaTheme="minorEastAsia" w:hAnsiTheme="minorHAnsi" w:cstheme="minorBidi"/>
          <w:color w:val="000000" w:themeColor="text1"/>
        </w:rPr>
        <w:t xml:space="preserve"> to </w:t>
      </w:r>
      <w:r w:rsidR="0027238F">
        <w:rPr>
          <w:rFonts w:asciiTheme="minorHAnsi" w:eastAsiaTheme="minorEastAsia" w:hAnsiTheme="minorHAnsi" w:cstheme="minorBidi"/>
          <w:color w:val="000000" w:themeColor="text1"/>
        </w:rPr>
        <w:t>“</w:t>
      </w:r>
      <w:r w:rsidR="003D257D">
        <w:rPr>
          <w:rFonts w:asciiTheme="minorHAnsi" w:eastAsiaTheme="minorEastAsia" w:hAnsiTheme="minorHAnsi" w:cstheme="minorBidi"/>
          <w:color w:val="000000" w:themeColor="text1"/>
        </w:rPr>
        <w:t xml:space="preserve">the place </w:t>
      </w:r>
      <w:r w:rsidR="003D257D" w:rsidRPr="00CF133C">
        <w:rPr>
          <w:rFonts w:asciiTheme="minorHAnsi" w:eastAsiaTheme="minorEastAsia" w:hAnsiTheme="minorHAnsi" w:cstheme="minorBidi"/>
          <w:color w:val="000000" w:themeColor="text1"/>
        </w:rPr>
        <w:t xml:space="preserve">may </w:t>
      </w:r>
      <w:r w:rsidRPr="5F9F4F74">
        <w:rPr>
          <w:rFonts w:asciiTheme="minorHAnsi" w:eastAsiaTheme="minorEastAsia" w:hAnsiTheme="minorHAnsi" w:cstheme="minorBidi"/>
          <w:color w:val="000000" w:themeColor="text1"/>
        </w:rPr>
        <w:t xml:space="preserve">prevent the conduct of </w:t>
      </w:r>
      <w:r w:rsidRPr="003D257D">
        <w:rPr>
          <w:rFonts w:asciiTheme="minorHAnsi" w:eastAsiaTheme="minorEastAsia" w:hAnsiTheme="minorHAnsi" w:cstheme="minorBidi"/>
          <w:i/>
          <w:iCs/>
          <w:color w:val="000000" w:themeColor="text1"/>
        </w:rPr>
        <w:t>essential operations</w:t>
      </w:r>
      <w:r w:rsidRPr="5F9F4F74">
        <w:rPr>
          <w:rFonts w:asciiTheme="minorHAnsi" w:eastAsiaTheme="minorEastAsia" w:hAnsiTheme="minorHAnsi" w:cstheme="minorBidi"/>
          <w:color w:val="000000" w:themeColor="text1"/>
        </w:rPr>
        <w:t xml:space="preserve"> by the detaining authority” [emphasis added]. The term "essential operations” is not defined in the Bill. </w:t>
      </w:r>
      <w:r w:rsidR="61015648" w:rsidRPr="5F9F4F74">
        <w:rPr>
          <w:rFonts w:asciiTheme="minorHAnsi" w:eastAsiaTheme="minorEastAsia" w:hAnsiTheme="minorHAnsi" w:cstheme="minorBidi"/>
          <w:color w:val="000000" w:themeColor="text1"/>
        </w:rPr>
        <w:t xml:space="preserve">If Clause 10 is to be retained, </w:t>
      </w:r>
      <w:r w:rsidRPr="5F9F4F74">
        <w:rPr>
          <w:rFonts w:asciiTheme="minorHAnsi" w:eastAsiaTheme="minorEastAsia" w:hAnsiTheme="minorHAnsi" w:cstheme="minorBidi"/>
          <w:color w:val="000000" w:themeColor="text1"/>
        </w:rPr>
        <w:t>QAI</w:t>
      </w:r>
      <w:r w:rsidR="7141CBF7" w:rsidRPr="5F9F4F74">
        <w:rPr>
          <w:rFonts w:asciiTheme="minorHAnsi" w:eastAsiaTheme="minorEastAsia" w:hAnsiTheme="minorHAnsi" w:cstheme="minorBidi"/>
          <w:color w:val="000000" w:themeColor="text1"/>
        </w:rPr>
        <w:t xml:space="preserve"> recommends</w:t>
      </w:r>
      <w:r w:rsidRPr="5F9F4F74">
        <w:rPr>
          <w:rFonts w:asciiTheme="minorHAnsi" w:eastAsiaTheme="minorEastAsia" w:hAnsiTheme="minorHAnsi" w:cstheme="minorBidi"/>
          <w:color w:val="000000" w:themeColor="text1"/>
        </w:rPr>
        <w:t xml:space="preserve"> this term is defined and that the definition ‘set</w:t>
      </w:r>
      <w:r w:rsidR="28C3077B" w:rsidRPr="5F9F4F74">
        <w:rPr>
          <w:rFonts w:asciiTheme="minorHAnsi" w:eastAsiaTheme="minorEastAsia" w:hAnsiTheme="minorHAnsi" w:cstheme="minorBidi"/>
          <w:color w:val="000000" w:themeColor="text1"/>
        </w:rPr>
        <w:t>s</w:t>
      </w:r>
      <w:r w:rsidRPr="5F9F4F74">
        <w:rPr>
          <w:rFonts w:asciiTheme="minorHAnsi" w:eastAsiaTheme="minorEastAsia" w:hAnsiTheme="minorHAnsi" w:cstheme="minorBidi"/>
          <w:color w:val="000000" w:themeColor="text1"/>
        </w:rPr>
        <w:t xml:space="preserve"> the bar high’ to ensure that access by the Subcommittee is not prohibited or limited for minor or trivial reasons. </w:t>
      </w:r>
      <w:r w:rsidR="1737E705" w:rsidRPr="5F9F4F74">
        <w:rPr>
          <w:rFonts w:asciiTheme="minorHAnsi" w:eastAsiaTheme="minorEastAsia" w:hAnsiTheme="minorHAnsi" w:cstheme="minorBidi"/>
          <w:color w:val="000000" w:themeColor="text1"/>
        </w:rPr>
        <w:t xml:space="preserve">Including </w:t>
      </w:r>
      <w:r w:rsidR="0A23072D" w:rsidRPr="5F9F4F74">
        <w:rPr>
          <w:rFonts w:asciiTheme="minorHAnsi" w:eastAsiaTheme="minorEastAsia" w:hAnsiTheme="minorHAnsi" w:cstheme="minorBidi"/>
          <w:color w:val="000000" w:themeColor="text1"/>
        </w:rPr>
        <w:t xml:space="preserve">examples </w:t>
      </w:r>
      <w:r w:rsidR="1737E705" w:rsidRPr="5F9F4F74">
        <w:rPr>
          <w:rFonts w:asciiTheme="minorHAnsi" w:eastAsiaTheme="minorEastAsia" w:hAnsiTheme="minorHAnsi" w:cstheme="minorBidi"/>
          <w:color w:val="000000" w:themeColor="text1"/>
        </w:rPr>
        <w:t>of what</w:t>
      </w:r>
      <w:r w:rsidRPr="5F9F4F74">
        <w:rPr>
          <w:rFonts w:asciiTheme="minorHAnsi" w:eastAsiaTheme="minorEastAsia" w:hAnsiTheme="minorHAnsi" w:cstheme="minorBidi"/>
          <w:color w:val="000000" w:themeColor="text1"/>
        </w:rPr>
        <w:t xml:space="preserve"> would constitute “essential operations”</w:t>
      </w:r>
      <w:r w:rsidR="16137671" w:rsidRPr="5F9F4F74">
        <w:rPr>
          <w:rFonts w:asciiTheme="minorHAnsi" w:eastAsiaTheme="minorEastAsia" w:hAnsiTheme="minorHAnsi" w:cstheme="minorBidi"/>
          <w:color w:val="000000" w:themeColor="text1"/>
        </w:rPr>
        <w:t xml:space="preserve"> would be helpful, though c</w:t>
      </w:r>
      <w:r w:rsidRPr="5F9F4F74">
        <w:rPr>
          <w:rFonts w:asciiTheme="minorHAnsi" w:eastAsiaTheme="minorEastAsia" w:hAnsiTheme="minorHAnsi" w:cstheme="minorBidi"/>
          <w:color w:val="000000" w:themeColor="text1"/>
        </w:rPr>
        <w:t xml:space="preserve">onsidering Clause 10(2)(a) already </w:t>
      </w:r>
      <w:r w:rsidR="16A67252" w:rsidRPr="5F9F4F74">
        <w:rPr>
          <w:rFonts w:asciiTheme="minorHAnsi" w:eastAsiaTheme="minorEastAsia" w:hAnsiTheme="minorHAnsi" w:cstheme="minorBidi"/>
          <w:color w:val="000000" w:themeColor="text1"/>
        </w:rPr>
        <w:t>provide</w:t>
      </w:r>
      <w:r w:rsidR="289760BB" w:rsidRPr="5F9F4F74">
        <w:rPr>
          <w:rFonts w:asciiTheme="minorHAnsi" w:eastAsiaTheme="minorEastAsia" w:hAnsiTheme="minorHAnsi" w:cstheme="minorBidi"/>
          <w:color w:val="000000" w:themeColor="text1"/>
        </w:rPr>
        <w:t>s</w:t>
      </w:r>
      <w:r w:rsidRPr="5F9F4F74">
        <w:rPr>
          <w:rFonts w:asciiTheme="minorHAnsi" w:eastAsiaTheme="minorEastAsia" w:hAnsiTheme="minorHAnsi" w:cstheme="minorBidi"/>
          <w:color w:val="000000" w:themeColor="text1"/>
        </w:rPr>
        <w:t xml:space="preserve"> </w:t>
      </w:r>
      <w:r w:rsidR="0020208A">
        <w:rPr>
          <w:rFonts w:asciiTheme="minorHAnsi" w:eastAsiaTheme="minorEastAsia" w:hAnsiTheme="minorHAnsi" w:cstheme="minorBidi"/>
          <w:color w:val="000000" w:themeColor="text1"/>
        </w:rPr>
        <w:t xml:space="preserve">for restriction on the basis that allowing access </w:t>
      </w:r>
      <w:r w:rsidR="0020208A" w:rsidRPr="004D351D">
        <w:rPr>
          <w:rFonts w:asciiTheme="minorHAnsi" w:eastAsiaTheme="minorEastAsia" w:hAnsiTheme="minorHAnsi" w:cstheme="minorBidi"/>
          <w:color w:val="000000" w:themeColor="text1"/>
        </w:rPr>
        <w:t>may</w:t>
      </w:r>
      <w:r w:rsidR="0020208A">
        <w:rPr>
          <w:rFonts w:asciiTheme="minorHAnsi" w:eastAsiaTheme="minorEastAsia" w:hAnsiTheme="minorHAnsi" w:cstheme="minorBidi"/>
          <w:color w:val="000000" w:themeColor="text1"/>
        </w:rPr>
        <w:t xml:space="preserve"> </w:t>
      </w:r>
      <w:r w:rsidR="001C67F6" w:rsidRPr="5F9F4F74">
        <w:rPr>
          <w:rFonts w:asciiTheme="minorHAnsi" w:eastAsiaTheme="minorEastAsia" w:hAnsiTheme="minorHAnsi" w:cstheme="minorBidi"/>
          <w:color w:val="000000" w:themeColor="text1"/>
        </w:rPr>
        <w:t xml:space="preserve">prevent </w:t>
      </w:r>
      <w:r w:rsidRPr="5F9F4F74">
        <w:rPr>
          <w:rFonts w:asciiTheme="minorHAnsi" w:eastAsiaTheme="minorEastAsia" w:hAnsiTheme="minorHAnsi" w:cstheme="minorBidi"/>
          <w:color w:val="000000" w:themeColor="text1"/>
        </w:rPr>
        <w:t>the</w:t>
      </w:r>
      <w:r w:rsidR="4944EE22" w:rsidRPr="5F9F4F74">
        <w:rPr>
          <w:rFonts w:asciiTheme="minorHAnsi" w:eastAsiaTheme="minorEastAsia" w:hAnsiTheme="minorHAnsi" w:cstheme="minorBidi"/>
          <w:color w:val="000000" w:themeColor="text1"/>
        </w:rPr>
        <w:t xml:space="preserve"> maintenance of</w:t>
      </w:r>
      <w:r w:rsidRPr="5F9F4F74">
        <w:rPr>
          <w:rFonts w:asciiTheme="minorHAnsi" w:eastAsiaTheme="minorEastAsia" w:hAnsiTheme="minorHAnsi" w:cstheme="minorBidi"/>
          <w:color w:val="000000" w:themeColor="text1"/>
        </w:rPr>
        <w:t xml:space="preserve"> “security, good order and management of the place of detention”, it is difficult to envisage what other activities amount to “essential operations” </w:t>
      </w:r>
      <w:r w:rsidR="7239BA64" w:rsidRPr="5F9F4F74">
        <w:rPr>
          <w:rFonts w:asciiTheme="minorHAnsi" w:eastAsiaTheme="minorEastAsia" w:hAnsiTheme="minorHAnsi" w:cstheme="minorBidi"/>
          <w:color w:val="000000" w:themeColor="text1"/>
        </w:rPr>
        <w:t>that</w:t>
      </w:r>
      <w:r w:rsidR="00B76F65">
        <w:rPr>
          <w:rFonts w:asciiTheme="minorHAnsi" w:eastAsiaTheme="minorEastAsia" w:hAnsiTheme="minorHAnsi" w:cstheme="minorBidi"/>
          <w:color w:val="000000" w:themeColor="text1"/>
        </w:rPr>
        <w:t xml:space="preserve"> would</w:t>
      </w:r>
      <w:r w:rsidR="32785281" w:rsidRPr="5F9F4F74">
        <w:rPr>
          <w:rFonts w:asciiTheme="minorHAnsi" w:eastAsiaTheme="minorEastAsia" w:hAnsiTheme="minorHAnsi" w:cstheme="minorBidi"/>
          <w:color w:val="000000" w:themeColor="text1"/>
        </w:rPr>
        <w:t xml:space="preserve"> </w:t>
      </w:r>
      <w:r w:rsidR="5DA980E3" w:rsidRPr="5F9F4F74">
        <w:rPr>
          <w:rFonts w:asciiTheme="minorHAnsi" w:eastAsiaTheme="minorEastAsia" w:hAnsiTheme="minorHAnsi" w:cstheme="minorBidi"/>
          <w:color w:val="000000" w:themeColor="text1"/>
        </w:rPr>
        <w:t>justify</w:t>
      </w:r>
      <w:r w:rsidRPr="5F9F4F74">
        <w:rPr>
          <w:rFonts w:asciiTheme="minorHAnsi" w:eastAsiaTheme="minorEastAsia" w:hAnsiTheme="minorHAnsi" w:cstheme="minorBidi"/>
          <w:color w:val="000000" w:themeColor="text1"/>
        </w:rPr>
        <w:t xml:space="preserve"> restricting access </w:t>
      </w:r>
      <w:r w:rsidR="248414AB" w:rsidRPr="5F9F4F74">
        <w:rPr>
          <w:rFonts w:asciiTheme="minorHAnsi" w:eastAsiaTheme="minorEastAsia" w:hAnsiTheme="minorHAnsi" w:cstheme="minorBidi"/>
          <w:color w:val="000000" w:themeColor="text1"/>
        </w:rPr>
        <w:t>by</w:t>
      </w:r>
      <w:r w:rsidRPr="5F9F4F74">
        <w:rPr>
          <w:rFonts w:asciiTheme="minorHAnsi" w:eastAsiaTheme="minorEastAsia" w:hAnsiTheme="minorHAnsi" w:cstheme="minorBidi"/>
          <w:color w:val="000000" w:themeColor="text1"/>
        </w:rPr>
        <w:t xml:space="preserve"> the Subcommittee to the place of detention.</w:t>
      </w:r>
      <w:r w:rsidR="4EAA1B7D" w:rsidRPr="5F9F4F74">
        <w:rPr>
          <w:rFonts w:asciiTheme="minorHAnsi" w:eastAsiaTheme="minorEastAsia" w:hAnsiTheme="minorHAnsi" w:cstheme="minorBidi"/>
          <w:color w:val="000000" w:themeColor="text1"/>
        </w:rPr>
        <w:t xml:space="preserve"> </w:t>
      </w:r>
    </w:p>
    <w:p w14:paraId="56CAD4A9" w14:textId="7F79E846" w:rsidR="00DF4AAC" w:rsidRDefault="47DE1928" w:rsidP="008B206F">
      <w:pPr>
        <w:spacing w:after="120"/>
        <w:rPr>
          <w:rFonts w:asciiTheme="minorHAnsi" w:eastAsiaTheme="minorEastAsia" w:hAnsiTheme="minorHAnsi" w:cstheme="minorBidi"/>
          <w:color w:val="000000" w:themeColor="text1"/>
        </w:rPr>
      </w:pPr>
      <w:r w:rsidRPr="5F9F4F74">
        <w:rPr>
          <w:rFonts w:asciiTheme="minorHAnsi" w:eastAsiaTheme="minorEastAsia" w:hAnsiTheme="minorHAnsi" w:cstheme="minorBidi"/>
          <w:color w:val="000000" w:themeColor="text1"/>
        </w:rPr>
        <w:t>Indeed</w:t>
      </w:r>
      <w:r w:rsidR="5F6EDA8E" w:rsidRPr="5F9F4F74">
        <w:rPr>
          <w:rFonts w:asciiTheme="minorHAnsi" w:eastAsiaTheme="minorEastAsia" w:hAnsiTheme="minorHAnsi" w:cstheme="minorBidi"/>
          <w:color w:val="000000" w:themeColor="text1"/>
        </w:rPr>
        <w:t>,</w:t>
      </w:r>
      <w:r w:rsidR="5261BA23" w:rsidRPr="5F9F4F74">
        <w:rPr>
          <w:rFonts w:asciiTheme="minorHAnsi" w:eastAsiaTheme="minorEastAsia" w:hAnsiTheme="minorHAnsi" w:cstheme="minorBidi"/>
          <w:color w:val="000000" w:themeColor="text1"/>
        </w:rPr>
        <w:t xml:space="preserve"> </w:t>
      </w:r>
      <w:r w:rsidR="688BA68F" w:rsidRPr="5F9F4F74">
        <w:rPr>
          <w:rFonts w:asciiTheme="minorHAnsi" w:eastAsiaTheme="minorEastAsia" w:hAnsiTheme="minorHAnsi" w:cstheme="minorBidi"/>
          <w:color w:val="000000" w:themeColor="text1"/>
        </w:rPr>
        <w:t xml:space="preserve">restricting access on the grounds that </w:t>
      </w:r>
      <w:r w:rsidR="29E6C15E" w:rsidRPr="5F9F4F74">
        <w:rPr>
          <w:rFonts w:asciiTheme="minorHAnsi" w:eastAsiaTheme="minorEastAsia" w:hAnsiTheme="minorHAnsi" w:cstheme="minorBidi"/>
          <w:color w:val="000000" w:themeColor="text1"/>
        </w:rPr>
        <w:t>it</w:t>
      </w:r>
      <w:r w:rsidR="688BA68F" w:rsidRPr="5F9F4F74">
        <w:rPr>
          <w:rFonts w:asciiTheme="minorHAnsi" w:eastAsiaTheme="minorEastAsia" w:hAnsiTheme="minorHAnsi" w:cstheme="minorBidi"/>
          <w:color w:val="000000" w:themeColor="text1"/>
        </w:rPr>
        <w:t xml:space="preserve"> </w:t>
      </w:r>
      <w:r w:rsidR="688BA68F" w:rsidRPr="004D351D">
        <w:rPr>
          <w:rFonts w:asciiTheme="minorHAnsi" w:eastAsiaTheme="minorEastAsia" w:hAnsiTheme="minorHAnsi" w:cstheme="minorBidi"/>
          <w:color w:val="000000" w:themeColor="text1"/>
        </w:rPr>
        <w:t>may</w:t>
      </w:r>
      <w:r w:rsidR="688BA68F" w:rsidRPr="5F9F4F74">
        <w:rPr>
          <w:rFonts w:asciiTheme="minorHAnsi" w:eastAsiaTheme="minorEastAsia" w:hAnsiTheme="minorHAnsi" w:cstheme="minorBidi"/>
          <w:color w:val="000000" w:themeColor="text1"/>
        </w:rPr>
        <w:t xml:space="preserve"> “prevent the maintenance of security, good order and management of the place of detention”</w:t>
      </w:r>
      <w:r w:rsidR="00C83B0B" w:rsidRPr="5F9F4F74">
        <w:rPr>
          <w:rStyle w:val="FootnoteReference"/>
          <w:rFonts w:asciiTheme="minorHAnsi" w:eastAsiaTheme="minorEastAsia" w:hAnsiTheme="minorHAnsi" w:cstheme="minorBidi"/>
          <w:color w:val="000000" w:themeColor="text1"/>
        </w:rPr>
        <w:footnoteReference w:id="9"/>
      </w:r>
      <w:r w:rsidR="688BA68F" w:rsidRPr="5F9F4F74">
        <w:rPr>
          <w:rFonts w:asciiTheme="minorHAnsi" w:eastAsiaTheme="minorEastAsia" w:hAnsiTheme="minorHAnsi" w:cstheme="minorBidi"/>
          <w:color w:val="000000" w:themeColor="text1"/>
        </w:rPr>
        <w:t xml:space="preserve"> </w:t>
      </w:r>
      <w:r w:rsidR="37E4BDBB" w:rsidRPr="5F9F4F74">
        <w:rPr>
          <w:rFonts w:asciiTheme="minorHAnsi" w:eastAsiaTheme="minorEastAsia" w:hAnsiTheme="minorHAnsi" w:cstheme="minorBidi"/>
          <w:color w:val="000000" w:themeColor="text1"/>
        </w:rPr>
        <w:t xml:space="preserve">is </w:t>
      </w:r>
      <w:r w:rsidR="2C9CF6FB" w:rsidRPr="5F9F4F74">
        <w:rPr>
          <w:rFonts w:asciiTheme="minorHAnsi" w:eastAsiaTheme="minorEastAsia" w:hAnsiTheme="minorHAnsi" w:cstheme="minorBidi"/>
          <w:color w:val="000000" w:themeColor="text1"/>
        </w:rPr>
        <w:t xml:space="preserve">ambiguous and efforts to extrapolate the meaning of the phrase </w:t>
      </w:r>
      <w:r w:rsidR="2C9CF6FB" w:rsidRPr="0099469D">
        <w:rPr>
          <w:rFonts w:asciiTheme="minorHAnsi" w:eastAsiaTheme="minorEastAsia" w:hAnsiTheme="minorHAnsi" w:cstheme="minorBidi"/>
          <w:color w:val="000000" w:themeColor="text1"/>
        </w:rPr>
        <w:t>“prevent the maintenance of”</w:t>
      </w:r>
      <w:r w:rsidR="7821F053" w:rsidRPr="0099469D">
        <w:rPr>
          <w:rFonts w:asciiTheme="minorHAnsi" w:eastAsiaTheme="minorEastAsia" w:hAnsiTheme="minorHAnsi" w:cstheme="minorBidi"/>
          <w:color w:val="000000" w:themeColor="text1"/>
        </w:rPr>
        <w:t>, for example,</w:t>
      </w:r>
      <w:r w:rsidR="2C9CF6FB" w:rsidRPr="0099469D">
        <w:rPr>
          <w:rFonts w:asciiTheme="minorHAnsi" w:eastAsiaTheme="minorEastAsia" w:hAnsiTheme="minorHAnsi" w:cstheme="minorBidi"/>
          <w:color w:val="000000" w:themeColor="text1"/>
        </w:rPr>
        <w:t xml:space="preserve"> could cause unnecessary disru</w:t>
      </w:r>
      <w:r w:rsidR="286F9470" w:rsidRPr="0099469D">
        <w:rPr>
          <w:rFonts w:asciiTheme="minorHAnsi" w:eastAsiaTheme="minorEastAsia" w:hAnsiTheme="minorHAnsi" w:cstheme="minorBidi"/>
          <w:color w:val="000000" w:themeColor="text1"/>
        </w:rPr>
        <w:t xml:space="preserve">ptions to the Subcommittee's visit. </w:t>
      </w:r>
      <w:r w:rsidR="5B4880BF" w:rsidRPr="0099469D">
        <w:rPr>
          <w:rFonts w:asciiTheme="minorHAnsi" w:eastAsiaTheme="minorEastAsia" w:hAnsiTheme="minorHAnsi" w:cstheme="minorBidi"/>
          <w:color w:val="000000" w:themeColor="text1"/>
        </w:rPr>
        <w:t>A preferable</w:t>
      </w:r>
      <w:r w:rsidR="286F9470" w:rsidRPr="0099469D">
        <w:rPr>
          <w:rFonts w:asciiTheme="minorHAnsi" w:eastAsiaTheme="minorEastAsia" w:hAnsiTheme="minorHAnsi" w:cstheme="minorBidi"/>
          <w:color w:val="000000" w:themeColor="text1"/>
        </w:rPr>
        <w:t xml:space="preserve"> alternative would be</w:t>
      </w:r>
      <w:r w:rsidR="54BEAE36" w:rsidRPr="0099469D">
        <w:rPr>
          <w:rFonts w:asciiTheme="minorHAnsi" w:eastAsiaTheme="minorEastAsia" w:hAnsiTheme="minorHAnsi" w:cstheme="minorBidi"/>
          <w:color w:val="000000" w:themeColor="text1"/>
        </w:rPr>
        <w:t xml:space="preserve"> it is </w:t>
      </w:r>
      <w:r w:rsidR="529A0A29" w:rsidRPr="0099469D">
        <w:rPr>
          <w:rFonts w:asciiTheme="minorHAnsi" w:eastAsiaTheme="minorEastAsia" w:hAnsiTheme="minorHAnsi" w:cstheme="minorBidi"/>
          <w:color w:val="000000" w:themeColor="text1"/>
        </w:rPr>
        <w:t>“likely to interfere with” or “likely to disrupt”</w:t>
      </w:r>
      <w:r w:rsidR="310A53FC" w:rsidRPr="0099469D">
        <w:rPr>
          <w:rFonts w:asciiTheme="minorHAnsi" w:eastAsiaTheme="minorEastAsia" w:hAnsiTheme="minorHAnsi" w:cstheme="minorBidi"/>
          <w:color w:val="000000" w:themeColor="text1"/>
        </w:rPr>
        <w:t>.</w:t>
      </w:r>
      <w:r w:rsidR="007169AD" w:rsidRPr="0099469D">
        <w:rPr>
          <w:rFonts w:asciiTheme="minorHAnsi" w:eastAsiaTheme="minorEastAsia" w:hAnsiTheme="minorHAnsi" w:cstheme="minorBidi"/>
          <w:color w:val="000000" w:themeColor="text1"/>
        </w:rPr>
        <w:t xml:space="preserve"> </w:t>
      </w:r>
      <w:r w:rsidR="00DF4AAC" w:rsidRPr="0099469D">
        <w:rPr>
          <w:rFonts w:asciiTheme="minorHAnsi" w:eastAsiaTheme="minorEastAsia" w:hAnsiTheme="minorHAnsi" w:cstheme="minorBidi"/>
          <w:color w:val="000000" w:themeColor="text1"/>
        </w:rPr>
        <w:t>T</w:t>
      </w:r>
      <w:r w:rsidR="007169AD" w:rsidRPr="0099469D">
        <w:rPr>
          <w:rFonts w:asciiTheme="minorHAnsi" w:eastAsiaTheme="minorEastAsia" w:hAnsiTheme="minorHAnsi" w:cstheme="minorBidi"/>
          <w:color w:val="000000" w:themeColor="text1"/>
        </w:rPr>
        <w:t>he use of the word “may”</w:t>
      </w:r>
      <w:r w:rsidR="310A53FC" w:rsidRPr="0099469D">
        <w:rPr>
          <w:rFonts w:asciiTheme="minorHAnsi" w:eastAsiaTheme="minorEastAsia" w:hAnsiTheme="minorHAnsi" w:cstheme="minorBidi"/>
          <w:color w:val="000000" w:themeColor="text1"/>
        </w:rPr>
        <w:t xml:space="preserve"> </w:t>
      </w:r>
      <w:r w:rsidR="0061589F">
        <w:rPr>
          <w:rFonts w:asciiTheme="minorHAnsi" w:eastAsiaTheme="minorEastAsia" w:hAnsiTheme="minorHAnsi" w:cstheme="minorBidi"/>
          <w:color w:val="000000" w:themeColor="text1"/>
        </w:rPr>
        <w:t xml:space="preserve">throughout this Clause </w:t>
      </w:r>
      <w:r w:rsidR="000B0155">
        <w:rPr>
          <w:rFonts w:asciiTheme="minorHAnsi" w:eastAsiaTheme="minorEastAsia" w:hAnsiTheme="minorHAnsi" w:cstheme="minorBidi"/>
          <w:color w:val="000000" w:themeColor="text1"/>
        </w:rPr>
        <w:t>is a</w:t>
      </w:r>
      <w:r w:rsidR="0061589F">
        <w:rPr>
          <w:rFonts w:asciiTheme="minorHAnsi" w:eastAsiaTheme="minorEastAsia" w:hAnsiTheme="minorHAnsi" w:cstheme="minorBidi"/>
          <w:color w:val="000000" w:themeColor="text1"/>
        </w:rPr>
        <w:t>lso</w:t>
      </w:r>
      <w:r w:rsidR="000B0155">
        <w:rPr>
          <w:rFonts w:asciiTheme="minorHAnsi" w:eastAsiaTheme="minorEastAsia" w:hAnsiTheme="minorHAnsi" w:cstheme="minorBidi"/>
          <w:color w:val="000000" w:themeColor="text1"/>
        </w:rPr>
        <w:t xml:space="preserve"> of concern</w:t>
      </w:r>
      <w:r w:rsidR="002D020E">
        <w:rPr>
          <w:rFonts w:asciiTheme="minorHAnsi" w:eastAsiaTheme="minorEastAsia" w:hAnsiTheme="minorHAnsi" w:cstheme="minorBidi"/>
          <w:color w:val="000000" w:themeColor="text1"/>
        </w:rPr>
        <w:t xml:space="preserve"> as it</w:t>
      </w:r>
      <w:r w:rsidR="006216F5" w:rsidRPr="006216F5">
        <w:rPr>
          <w:rFonts w:asciiTheme="minorHAnsi" w:eastAsiaTheme="minorEastAsia" w:hAnsiTheme="minorHAnsi" w:cstheme="minorBidi"/>
          <w:color w:val="000000" w:themeColor="text1"/>
        </w:rPr>
        <w:t xml:space="preserve"> </w:t>
      </w:r>
      <w:r w:rsidR="006216F5">
        <w:rPr>
          <w:rFonts w:asciiTheme="minorHAnsi" w:eastAsiaTheme="minorEastAsia" w:hAnsiTheme="minorHAnsi" w:cstheme="minorBidi"/>
          <w:color w:val="000000" w:themeColor="text1"/>
        </w:rPr>
        <w:t>has the effect of lowering the threshold further still.</w:t>
      </w:r>
      <w:r w:rsidR="00DF4AAC">
        <w:rPr>
          <w:rFonts w:asciiTheme="minorHAnsi" w:eastAsiaTheme="minorEastAsia" w:hAnsiTheme="minorHAnsi" w:cstheme="minorBidi"/>
          <w:color w:val="000000" w:themeColor="text1"/>
        </w:rPr>
        <w:t xml:space="preserve"> </w:t>
      </w:r>
    </w:p>
    <w:p w14:paraId="543B0DC7" w14:textId="1E318408" w:rsidR="00C83B0B" w:rsidRDefault="0099469D" w:rsidP="008B206F">
      <w:pPr>
        <w:spacing w:after="1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Moreover</w:t>
      </w:r>
      <w:r w:rsidR="18CF7DBB" w:rsidRPr="5F9F4F74">
        <w:rPr>
          <w:rFonts w:asciiTheme="minorHAnsi" w:eastAsiaTheme="minorEastAsia" w:hAnsiTheme="minorHAnsi" w:cstheme="minorBidi"/>
          <w:color w:val="000000" w:themeColor="text1"/>
        </w:rPr>
        <w:t xml:space="preserve">, </w:t>
      </w:r>
      <w:r w:rsidR="70BC95BB" w:rsidRPr="5F9F4F74">
        <w:rPr>
          <w:rFonts w:asciiTheme="minorHAnsi" w:eastAsiaTheme="minorEastAsia" w:hAnsiTheme="minorHAnsi" w:cstheme="minorBidi"/>
          <w:color w:val="000000" w:themeColor="text1"/>
        </w:rPr>
        <w:t xml:space="preserve">restricting access on the grounds that it </w:t>
      </w:r>
      <w:r w:rsidR="70BC95BB" w:rsidRPr="0099469D">
        <w:rPr>
          <w:rFonts w:asciiTheme="minorHAnsi" w:eastAsiaTheme="minorEastAsia" w:hAnsiTheme="minorHAnsi" w:cstheme="minorBidi"/>
          <w:color w:val="000000" w:themeColor="text1"/>
        </w:rPr>
        <w:t>may</w:t>
      </w:r>
      <w:r w:rsidR="74F5C1AE" w:rsidRPr="0099469D">
        <w:rPr>
          <w:rFonts w:asciiTheme="minorHAnsi" w:eastAsiaTheme="minorEastAsia" w:hAnsiTheme="minorHAnsi" w:cstheme="minorBidi"/>
          <w:color w:val="000000" w:themeColor="text1"/>
        </w:rPr>
        <w:t xml:space="preserve"> </w:t>
      </w:r>
      <w:r w:rsidR="24B566B8" w:rsidRPr="5F9F4F74">
        <w:rPr>
          <w:rFonts w:asciiTheme="minorHAnsi" w:eastAsiaTheme="minorEastAsia" w:hAnsiTheme="minorHAnsi" w:cstheme="minorBidi"/>
          <w:color w:val="000000" w:themeColor="text1"/>
        </w:rPr>
        <w:t>disrupt</w:t>
      </w:r>
      <w:r w:rsidR="477B077F" w:rsidRPr="5F9F4F74">
        <w:rPr>
          <w:rFonts w:asciiTheme="minorHAnsi" w:eastAsiaTheme="minorEastAsia" w:hAnsiTheme="minorHAnsi" w:cstheme="minorBidi"/>
          <w:color w:val="000000" w:themeColor="text1"/>
        </w:rPr>
        <w:t xml:space="preserve"> </w:t>
      </w:r>
      <w:r w:rsidR="18CF7DBB" w:rsidRPr="0099469D">
        <w:rPr>
          <w:rFonts w:asciiTheme="minorHAnsi" w:eastAsiaTheme="minorEastAsia" w:hAnsiTheme="minorHAnsi" w:cstheme="minorBidi"/>
          <w:color w:val="000000" w:themeColor="text1"/>
        </w:rPr>
        <w:t xml:space="preserve">“the </w:t>
      </w:r>
      <w:r w:rsidR="20196F9E" w:rsidRPr="0099469D">
        <w:rPr>
          <w:rFonts w:asciiTheme="minorHAnsi" w:eastAsiaTheme="minorEastAsia" w:hAnsiTheme="minorHAnsi" w:cstheme="minorBidi"/>
          <w:color w:val="000000" w:themeColor="text1"/>
        </w:rPr>
        <w:t>management”</w:t>
      </w:r>
      <w:r w:rsidR="20196F9E" w:rsidRPr="5F9F4F74">
        <w:rPr>
          <w:rFonts w:asciiTheme="minorHAnsi" w:eastAsiaTheme="minorEastAsia" w:hAnsiTheme="minorHAnsi" w:cstheme="minorBidi"/>
          <w:color w:val="000000" w:themeColor="text1"/>
        </w:rPr>
        <w:t xml:space="preserve"> of </w:t>
      </w:r>
      <w:r w:rsidR="0CA4969D" w:rsidRPr="5F9F4F74">
        <w:rPr>
          <w:rFonts w:asciiTheme="minorHAnsi" w:eastAsiaTheme="minorEastAsia" w:hAnsiTheme="minorHAnsi" w:cstheme="minorBidi"/>
          <w:color w:val="000000" w:themeColor="text1"/>
        </w:rPr>
        <w:t>a</w:t>
      </w:r>
      <w:r w:rsidR="20196F9E" w:rsidRPr="5F9F4F74">
        <w:rPr>
          <w:rFonts w:asciiTheme="minorHAnsi" w:eastAsiaTheme="minorEastAsia" w:hAnsiTheme="minorHAnsi" w:cstheme="minorBidi"/>
          <w:color w:val="000000" w:themeColor="text1"/>
        </w:rPr>
        <w:t xml:space="preserve"> </w:t>
      </w:r>
      <w:r w:rsidR="0E05D5B6" w:rsidRPr="5F9F4F74">
        <w:rPr>
          <w:rFonts w:asciiTheme="minorHAnsi" w:eastAsiaTheme="minorEastAsia" w:hAnsiTheme="minorHAnsi" w:cstheme="minorBidi"/>
          <w:color w:val="000000" w:themeColor="text1"/>
        </w:rPr>
        <w:t xml:space="preserve">place of detention </w:t>
      </w:r>
      <w:r w:rsidR="5A497286" w:rsidRPr="5F9F4F74">
        <w:rPr>
          <w:rFonts w:asciiTheme="minorHAnsi" w:eastAsiaTheme="minorEastAsia" w:hAnsiTheme="minorHAnsi" w:cstheme="minorBidi"/>
          <w:color w:val="000000" w:themeColor="text1"/>
        </w:rPr>
        <w:t xml:space="preserve">is materially different to allowing a detaining authority to respond to critical </w:t>
      </w:r>
      <w:r w:rsidR="27ED87FB" w:rsidRPr="5F9F4F74">
        <w:rPr>
          <w:rFonts w:asciiTheme="minorHAnsi" w:eastAsiaTheme="minorEastAsia" w:hAnsiTheme="minorHAnsi" w:cstheme="minorBidi"/>
          <w:color w:val="000000" w:themeColor="text1"/>
        </w:rPr>
        <w:t>incidents in exceptional circumstances, as</w:t>
      </w:r>
      <w:r w:rsidR="1E5AC2F2" w:rsidRPr="5F9F4F74">
        <w:rPr>
          <w:rFonts w:asciiTheme="minorHAnsi" w:eastAsiaTheme="minorEastAsia" w:hAnsiTheme="minorHAnsi" w:cstheme="minorBidi"/>
          <w:color w:val="000000" w:themeColor="text1"/>
        </w:rPr>
        <w:t xml:space="preserve"> is</w:t>
      </w:r>
      <w:r w:rsidR="27ED87FB" w:rsidRPr="5F9F4F74">
        <w:rPr>
          <w:rFonts w:asciiTheme="minorHAnsi" w:eastAsiaTheme="minorEastAsia" w:hAnsiTheme="minorHAnsi" w:cstheme="minorBidi"/>
          <w:color w:val="000000" w:themeColor="text1"/>
        </w:rPr>
        <w:t xml:space="preserve"> purportedly the intention </w:t>
      </w:r>
      <w:r w:rsidR="0CAC65CE" w:rsidRPr="5F9F4F74">
        <w:rPr>
          <w:rFonts w:asciiTheme="minorHAnsi" w:eastAsiaTheme="minorEastAsia" w:hAnsiTheme="minorHAnsi" w:cstheme="minorBidi"/>
          <w:color w:val="000000" w:themeColor="text1"/>
        </w:rPr>
        <w:t>behind</w:t>
      </w:r>
      <w:r w:rsidR="702B2108" w:rsidRPr="5F9F4F74">
        <w:rPr>
          <w:rFonts w:asciiTheme="minorHAnsi" w:eastAsiaTheme="minorEastAsia" w:hAnsiTheme="minorHAnsi" w:cstheme="minorBidi"/>
          <w:color w:val="000000" w:themeColor="text1"/>
        </w:rPr>
        <w:t xml:space="preserve"> Clause</w:t>
      </w:r>
      <w:r w:rsidR="00C52453">
        <w:rPr>
          <w:rFonts w:asciiTheme="minorHAnsi" w:eastAsiaTheme="minorEastAsia" w:hAnsiTheme="minorHAnsi" w:cstheme="minorBidi"/>
          <w:color w:val="000000" w:themeColor="text1"/>
        </w:rPr>
        <w:t xml:space="preserve"> 10</w:t>
      </w:r>
      <w:r w:rsidR="702B2108" w:rsidRPr="5F9F4F74">
        <w:rPr>
          <w:rFonts w:asciiTheme="minorHAnsi" w:eastAsiaTheme="minorEastAsia" w:hAnsiTheme="minorHAnsi" w:cstheme="minorBidi"/>
          <w:color w:val="000000" w:themeColor="text1"/>
        </w:rPr>
        <w:t xml:space="preserve"> according to</w:t>
      </w:r>
      <w:r w:rsidR="27ED87FB" w:rsidRPr="5F9F4F74">
        <w:rPr>
          <w:rFonts w:asciiTheme="minorHAnsi" w:eastAsiaTheme="minorEastAsia" w:hAnsiTheme="minorHAnsi" w:cstheme="minorBidi"/>
          <w:color w:val="000000" w:themeColor="text1"/>
        </w:rPr>
        <w:t xml:space="preserve"> the explanatory notes.</w:t>
      </w:r>
      <w:r w:rsidR="00C83B0B" w:rsidRPr="5F9F4F74">
        <w:rPr>
          <w:rStyle w:val="FootnoteReference"/>
          <w:rFonts w:asciiTheme="minorHAnsi" w:eastAsiaTheme="minorEastAsia" w:hAnsiTheme="minorHAnsi" w:cstheme="minorBidi"/>
          <w:color w:val="000000" w:themeColor="text1"/>
        </w:rPr>
        <w:footnoteReference w:id="10"/>
      </w:r>
      <w:r w:rsidR="243D2734" w:rsidRPr="5F9F4F74">
        <w:rPr>
          <w:rFonts w:asciiTheme="minorHAnsi" w:eastAsiaTheme="minorEastAsia" w:hAnsiTheme="minorHAnsi" w:cstheme="minorBidi"/>
          <w:color w:val="000000" w:themeColor="text1"/>
        </w:rPr>
        <w:t xml:space="preserve"> QAI is concerned that such a phrase </w:t>
      </w:r>
      <w:r w:rsidR="243D2734" w:rsidRPr="5F9F4F74">
        <w:rPr>
          <w:rFonts w:asciiTheme="minorHAnsi" w:eastAsiaTheme="minorEastAsia" w:hAnsiTheme="minorHAnsi" w:cstheme="minorBidi"/>
          <w:color w:val="000000" w:themeColor="text1"/>
        </w:rPr>
        <w:lastRenderedPageBreak/>
        <w:t>could be satisfied too</w:t>
      </w:r>
      <w:r w:rsidR="472C508E" w:rsidRPr="5F9F4F74">
        <w:rPr>
          <w:rFonts w:asciiTheme="minorHAnsi" w:eastAsiaTheme="minorEastAsia" w:hAnsiTheme="minorHAnsi" w:cstheme="minorBidi"/>
          <w:color w:val="000000" w:themeColor="text1"/>
        </w:rPr>
        <w:t xml:space="preserve"> easily </w:t>
      </w:r>
      <w:r w:rsidR="40BAF6CA" w:rsidRPr="5F9F4F74">
        <w:rPr>
          <w:rFonts w:asciiTheme="minorHAnsi" w:eastAsiaTheme="minorEastAsia" w:hAnsiTheme="minorHAnsi" w:cstheme="minorBidi"/>
          <w:color w:val="000000" w:themeColor="text1"/>
        </w:rPr>
        <w:t xml:space="preserve">and </w:t>
      </w:r>
      <w:r w:rsidR="7E3815D2" w:rsidRPr="5F9F4F74">
        <w:rPr>
          <w:rFonts w:asciiTheme="minorHAnsi" w:eastAsiaTheme="minorEastAsia" w:hAnsiTheme="minorHAnsi" w:cstheme="minorBidi"/>
          <w:color w:val="000000" w:themeColor="text1"/>
        </w:rPr>
        <w:t xml:space="preserve">would </w:t>
      </w:r>
      <w:r w:rsidR="04DA8F39" w:rsidRPr="5F9F4F74">
        <w:rPr>
          <w:rFonts w:asciiTheme="minorHAnsi" w:eastAsiaTheme="minorEastAsia" w:hAnsiTheme="minorHAnsi" w:cstheme="minorBidi"/>
          <w:color w:val="000000" w:themeColor="text1"/>
        </w:rPr>
        <w:t>therefore</w:t>
      </w:r>
      <w:r w:rsidR="4DC94894" w:rsidRPr="5F9F4F74">
        <w:rPr>
          <w:rFonts w:asciiTheme="minorHAnsi" w:eastAsiaTheme="minorEastAsia" w:hAnsiTheme="minorHAnsi" w:cstheme="minorBidi"/>
          <w:color w:val="000000" w:themeColor="text1"/>
        </w:rPr>
        <w:t xml:space="preserve"> unnecessarily</w:t>
      </w:r>
      <w:r w:rsidR="40BAF6CA" w:rsidRPr="5F9F4F74">
        <w:rPr>
          <w:rFonts w:asciiTheme="minorHAnsi" w:eastAsiaTheme="minorEastAsia" w:hAnsiTheme="minorHAnsi" w:cstheme="minorBidi"/>
          <w:color w:val="000000" w:themeColor="text1"/>
        </w:rPr>
        <w:t xml:space="preserve"> </w:t>
      </w:r>
      <w:r w:rsidR="0EE67A9F" w:rsidRPr="5F9F4F74">
        <w:rPr>
          <w:rFonts w:asciiTheme="minorHAnsi" w:eastAsiaTheme="minorEastAsia" w:hAnsiTheme="minorHAnsi" w:cstheme="minorBidi"/>
          <w:color w:val="000000" w:themeColor="text1"/>
        </w:rPr>
        <w:t>compromise the ability of the Subcommittee to fulfil it</w:t>
      </w:r>
      <w:r w:rsidR="3BDD02AC" w:rsidRPr="5F9F4F74">
        <w:rPr>
          <w:rFonts w:asciiTheme="minorHAnsi" w:eastAsiaTheme="minorEastAsia" w:hAnsiTheme="minorHAnsi" w:cstheme="minorBidi"/>
          <w:color w:val="000000" w:themeColor="text1"/>
        </w:rPr>
        <w:t>s m</w:t>
      </w:r>
      <w:r w:rsidR="444FBDF8" w:rsidRPr="5F9F4F74">
        <w:rPr>
          <w:rFonts w:asciiTheme="minorHAnsi" w:eastAsiaTheme="minorEastAsia" w:hAnsiTheme="minorHAnsi" w:cstheme="minorBidi"/>
          <w:color w:val="000000" w:themeColor="text1"/>
        </w:rPr>
        <w:t>andate under OPCAT.</w:t>
      </w:r>
    </w:p>
    <w:p w14:paraId="2BB070C4" w14:textId="0E1C9BEC" w:rsidR="5F9F4F74" w:rsidRDefault="631EE8CA" w:rsidP="008B206F">
      <w:pPr>
        <w:spacing w:after="120"/>
        <w:rPr>
          <w:rFonts w:asciiTheme="minorHAnsi" w:eastAsiaTheme="minorEastAsia" w:hAnsiTheme="minorHAnsi" w:cstheme="minorBidi"/>
          <w:color w:val="000000" w:themeColor="text1"/>
        </w:rPr>
      </w:pPr>
      <w:r w:rsidRPr="5F9F4F74">
        <w:rPr>
          <w:rFonts w:asciiTheme="minorHAnsi" w:eastAsiaTheme="minorEastAsia" w:hAnsiTheme="minorHAnsi" w:cstheme="minorBidi"/>
          <w:color w:val="000000" w:themeColor="text1"/>
        </w:rPr>
        <w:t xml:space="preserve">Finally, </w:t>
      </w:r>
      <w:r w:rsidR="005A1263" w:rsidRPr="5F9F4F74">
        <w:rPr>
          <w:rFonts w:asciiTheme="minorHAnsi" w:eastAsiaTheme="minorEastAsia" w:hAnsiTheme="minorHAnsi" w:cstheme="minorBidi"/>
          <w:color w:val="000000" w:themeColor="text1"/>
        </w:rPr>
        <w:t>Clause 10(4)(b) requires the detaining authority to make a written record of each temporary prohibition or restriction of access to a place of detention or part thereof and give a copy of the record to the responsible Minister for the place of detention.</w:t>
      </w:r>
      <w:r w:rsidR="557098DC" w:rsidRPr="5F9F4F74">
        <w:rPr>
          <w:rFonts w:asciiTheme="minorHAnsi" w:eastAsiaTheme="minorEastAsia" w:hAnsiTheme="minorHAnsi" w:cstheme="minorBidi"/>
          <w:color w:val="000000" w:themeColor="text1"/>
        </w:rPr>
        <w:t xml:space="preserve"> </w:t>
      </w:r>
      <w:r w:rsidR="7A4405EC" w:rsidRPr="5F9F4F74">
        <w:rPr>
          <w:rFonts w:asciiTheme="minorHAnsi" w:eastAsiaTheme="minorEastAsia" w:hAnsiTheme="minorHAnsi" w:cstheme="minorBidi"/>
          <w:color w:val="000000" w:themeColor="text1"/>
        </w:rPr>
        <w:t>If Clause 10 is to be retained, f</w:t>
      </w:r>
      <w:r w:rsidR="005A1263" w:rsidRPr="5F9F4F74">
        <w:rPr>
          <w:rFonts w:asciiTheme="minorHAnsi" w:eastAsiaTheme="minorEastAsia" w:hAnsiTheme="minorHAnsi" w:cstheme="minorBidi"/>
          <w:color w:val="000000" w:themeColor="text1"/>
        </w:rPr>
        <w:t xml:space="preserve">or the purpose of transparency QAI </w:t>
      </w:r>
      <w:r w:rsidR="009D7F11">
        <w:rPr>
          <w:rFonts w:asciiTheme="minorHAnsi" w:eastAsiaTheme="minorEastAsia" w:hAnsiTheme="minorHAnsi" w:cstheme="minorBidi"/>
          <w:color w:val="000000" w:themeColor="text1"/>
        </w:rPr>
        <w:t>recommends</w:t>
      </w:r>
      <w:r w:rsidR="005A1263" w:rsidRPr="5F9F4F74">
        <w:rPr>
          <w:rFonts w:asciiTheme="minorHAnsi" w:eastAsiaTheme="minorEastAsia" w:hAnsiTheme="minorHAnsi" w:cstheme="minorBidi"/>
          <w:color w:val="000000" w:themeColor="text1"/>
        </w:rPr>
        <w:t xml:space="preserve"> this </w:t>
      </w:r>
      <w:r w:rsidR="131351ED" w:rsidRPr="5F9F4F74">
        <w:rPr>
          <w:rFonts w:asciiTheme="minorHAnsi" w:eastAsiaTheme="minorEastAsia" w:hAnsiTheme="minorHAnsi" w:cstheme="minorBidi"/>
          <w:color w:val="000000" w:themeColor="text1"/>
        </w:rPr>
        <w:t>C</w:t>
      </w:r>
      <w:r w:rsidR="005A1263" w:rsidRPr="5F9F4F74">
        <w:rPr>
          <w:rFonts w:asciiTheme="minorHAnsi" w:eastAsiaTheme="minorEastAsia" w:hAnsiTheme="minorHAnsi" w:cstheme="minorBidi"/>
          <w:color w:val="000000" w:themeColor="text1"/>
        </w:rPr>
        <w:t xml:space="preserve">lause </w:t>
      </w:r>
      <w:r w:rsidR="5D4BF9C3" w:rsidRPr="5F9F4F74">
        <w:rPr>
          <w:rFonts w:asciiTheme="minorHAnsi" w:eastAsiaTheme="minorEastAsia" w:hAnsiTheme="minorHAnsi" w:cstheme="minorBidi"/>
          <w:color w:val="000000" w:themeColor="text1"/>
        </w:rPr>
        <w:t>be</w:t>
      </w:r>
      <w:r w:rsidR="005A1263" w:rsidRPr="5F9F4F74">
        <w:rPr>
          <w:rFonts w:asciiTheme="minorHAnsi" w:eastAsiaTheme="minorEastAsia" w:hAnsiTheme="minorHAnsi" w:cstheme="minorBidi"/>
          <w:color w:val="000000" w:themeColor="text1"/>
        </w:rPr>
        <w:t xml:space="preserve"> amended to require the responsible Minister to</w:t>
      </w:r>
      <w:r w:rsidR="655B4109" w:rsidRPr="5F9F4F74">
        <w:rPr>
          <w:rFonts w:asciiTheme="minorHAnsi" w:eastAsiaTheme="minorEastAsia" w:hAnsiTheme="minorHAnsi" w:cstheme="minorBidi"/>
          <w:color w:val="000000" w:themeColor="text1"/>
        </w:rPr>
        <w:t xml:space="preserve"> </w:t>
      </w:r>
      <w:r w:rsidR="005A1263" w:rsidRPr="5F9F4F74">
        <w:rPr>
          <w:rFonts w:asciiTheme="minorHAnsi" w:eastAsiaTheme="minorEastAsia" w:hAnsiTheme="minorHAnsi" w:cstheme="minorBidi"/>
          <w:color w:val="000000" w:themeColor="text1"/>
        </w:rPr>
        <w:t>table the written record in Parliament within a specified</w:t>
      </w:r>
      <w:r w:rsidR="75E1FE27" w:rsidRPr="5F9F4F74">
        <w:rPr>
          <w:rFonts w:asciiTheme="minorHAnsi" w:eastAsiaTheme="minorEastAsia" w:hAnsiTheme="minorHAnsi" w:cstheme="minorBidi"/>
          <w:color w:val="000000" w:themeColor="text1"/>
        </w:rPr>
        <w:t xml:space="preserve"> and</w:t>
      </w:r>
      <w:r w:rsidR="005A1263" w:rsidRPr="5F9F4F74">
        <w:rPr>
          <w:rFonts w:asciiTheme="minorHAnsi" w:eastAsiaTheme="minorEastAsia" w:hAnsiTheme="minorHAnsi" w:cstheme="minorBidi"/>
          <w:color w:val="000000" w:themeColor="text1"/>
        </w:rPr>
        <w:t xml:space="preserve"> limited number of sitting days after receiving it.</w:t>
      </w:r>
      <w:r w:rsidR="00C330DF">
        <w:rPr>
          <w:rFonts w:asciiTheme="minorHAnsi" w:eastAsiaTheme="minorEastAsia" w:hAnsiTheme="minorHAnsi" w:cstheme="minorBidi"/>
          <w:color w:val="000000" w:themeColor="text1"/>
        </w:rPr>
        <w:t xml:space="preserve"> </w:t>
      </w:r>
      <w:r w:rsidR="003079B5">
        <w:rPr>
          <w:rFonts w:asciiTheme="minorHAnsi" w:eastAsiaTheme="minorEastAsia" w:hAnsiTheme="minorHAnsi" w:cstheme="minorBidi"/>
          <w:color w:val="000000" w:themeColor="text1"/>
        </w:rPr>
        <w:t xml:space="preserve">The detaining authority should also have an obligation to </w:t>
      </w:r>
      <w:proofErr w:type="gramStart"/>
      <w:r w:rsidR="003079B5">
        <w:rPr>
          <w:rFonts w:asciiTheme="minorHAnsi" w:eastAsiaTheme="minorEastAsia" w:hAnsiTheme="minorHAnsi" w:cstheme="minorBidi"/>
          <w:color w:val="000000" w:themeColor="text1"/>
        </w:rPr>
        <w:t>make arrangements</w:t>
      </w:r>
      <w:proofErr w:type="gramEnd"/>
      <w:r w:rsidR="003079B5">
        <w:rPr>
          <w:rFonts w:asciiTheme="minorHAnsi" w:eastAsiaTheme="minorEastAsia" w:hAnsiTheme="minorHAnsi" w:cstheme="minorBidi"/>
          <w:color w:val="000000" w:themeColor="text1"/>
        </w:rPr>
        <w:t xml:space="preserve"> for the visit to occur as soon as is reasonably practicable</w:t>
      </w:r>
      <w:r w:rsidR="00C330DF">
        <w:rPr>
          <w:rFonts w:asciiTheme="minorHAnsi" w:eastAsiaTheme="minorEastAsia" w:hAnsiTheme="minorHAnsi" w:cstheme="minorBidi"/>
          <w:color w:val="000000" w:themeColor="text1"/>
        </w:rPr>
        <w:t>.</w:t>
      </w:r>
    </w:p>
    <w:p w14:paraId="6EC2A67B" w14:textId="2F5E1B32" w:rsidR="00110013" w:rsidRDefault="006504F0" w:rsidP="008B206F">
      <w:pPr>
        <w:pStyle w:val="Heading1"/>
        <w:spacing w:before="240"/>
      </w:pPr>
      <w:r>
        <w:t>Clause</w:t>
      </w:r>
      <w:r w:rsidR="00C83B0B">
        <w:t xml:space="preserve"> 1</w:t>
      </w:r>
      <w:r w:rsidR="00110013">
        <w:t xml:space="preserve">1 </w:t>
      </w:r>
      <w:r w:rsidR="004A74DF">
        <w:t xml:space="preserve">– </w:t>
      </w:r>
      <w:r w:rsidR="00A31044">
        <w:t>P</w:t>
      </w:r>
      <w:r w:rsidR="004A74DF">
        <w:t>rocedures for visits to places of detention</w:t>
      </w:r>
    </w:p>
    <w:p w14:paraId="57751DFD" w14:textId="698C1B35" w:rsidR="00E76594" w:rsidRPr="000A6985" w:rsidRDefault="007B08B1" w:rsidP="008B206F">
      <w:pPr>
        <w:autoSpaceDE w:val="0"/>
        <w:autoSpaceDN w:val="0"/>
        <w:adjustRightInd w:val="0"/>
        <w:spacing w:after="120"/>
        <w:rPr>
          <w:rFonts w:asciiTheme="minorHAnsi" w:hAnsiTheme="minorHAnsi" w:cstheme="minorHAnsi"/>
          <w:color w:val="000000"/>
        </w:rPr>
      </w:pPr>
      <w:r w:rsidRPr="000A6985">
        <w:rPr>
          <w:rFonts w:asciiTheme="minorHAnsi" w:hAnsiTheme="minorHAnsi" w:cstheme="minorHAnsi"/>
          <w:color w:val="000000" w:themeColor="text1"/>
        </w:rPr>
        <w:t xml:space="preserve">Clause 11(1) provides that visits by the </w:t>
      </w:r>
      <w:r w:rsidR="74963B36" w:rsidRPr="000A6985">
        <w:rPr>
          <w:rFonts w:asciiTheme="minorHAnsi" w:hAnsiTheme="minorHAnsi" w:cstheme="minorHAnsi"/>
          <w:color w:val="000000" w:themeColor="text1"/>
        </w:rPr>
        <w:t>S</w:t>
      </w:r>
      <w:r w:rsidRPr="000A6985">
        <w:rPr>
          <w:rFonts w:asciiTheme="minorHAnsi" w:hAnsiTheme="minorHAnsi" w:cstheme="minorHAnsi"/>
          <w:color w:val="000000" w:themeColor="text1"/>
        </w:rPr>
        <w:t xml:space="preserve">ubcommittee and accompanying people </w:t>
      </w:r>
      <w:r w:rsidR="175E87AD" w:rsidRPr="000A6985">
        <w:rPr>
          <w:rFonts w:asciiTheme="minorHAnsi" w:hAnsiTheme="minorHAnsi" w:cstheme="minorHAnsi"/>
          <w:color w:val="000000" w:themeColor="text1"/>
        </w:rPr>
        <w:t>“</w:t>
      </w:r>
      <w:r w:rsidRPr="000A6985">
        <w:rPr>
          <w:rFonts w:asciiTheme="minorHAnsi" w:hAnsiTheme="minorHAnsi" w:cstheme="minorHAnsi"/>
          <w:color w:val="000000" w:themeColor="text1"/>
        </w:rPr>
        <w:t>must be conducted in accordance with any procedures that apply to a person visiting the place of detention</w:t>
      </w:r>
      <w:r w:rsidR="5F1BBF35" w:rsidRPr="000A6985">
        <w:rPr>
          <w:rFonts w:asciiTheme="minorHAnsi" w:hAnsiTheme="minorHAnsi" w:cstheme="minorHAnsi"/>
          <w:color w:val="000000" w:themeColor="text1"/>
        </w:rPr>
        <w:t>.”</w:t>
      </w:r>
      <w:r w:rsidRPr="000A6985">
        <w:rPr>
          <w:rStyle w:val="FootnoteReference"/>
          <w:rFonts w:asciiTheme="minorHAnsi" w:hAnsiTheme="minorHAnsi" w:cstheme="minorHAnsi"/>
          <w:color w:val="000000" w:themeColor="text1"/>
        </w:rPr>
        <w:footnoteReference w:id="11"/>
      </w:r>
      <w:r w:rsidR="00BA084D" w:rsidRPr="000A6985">
        <w:rPr>
          <w:rFonts w:asciiTheme="minorHAnsi" w:hAnsiTheme="minorHAnsi" w:cstheme="minorHAnsi"/>
          <w:color w:val="000000" w:themeColor="text1"/>
        </w:rPr>
        <w:t xml:space="preserve"> </w:t>
      </w:r>
      <w:r w:rsidR="00576FD5" w:rsidRPr="000A6985">
        <w:rPr>
          <w:rFonts w:asciiTheme="minorHAnsi" w:hAnsiTheme="minorHAnsi" w:cstheme="minorHAnsi"/>
          <w:color w:val="000000"/>
        </w:rPr>
        <w:t xml:space="preserve">QAI submits that this Clause is too broad in its operation. Generally, people visiting a place of detention such as a prison do not have free access to all parts of the place of detention, as is provided </w:t>
      </w:r>
      <w:bookmarkStart w:id="4" w:name="_Hlk124165481"/>
      <w:r w:rsidR="00576FD5" w:rsidRPr="000A6985">
        <w:rPr>
          <w:rFonts w:asciiTheme="minorHAnsi" w:hAnsiTheme="minorHAnsi" w:cstheme="minorHAnsi"/>
          <w:color w:val="000000"/>
        </w:rPr>
        <w:t xml:space="preserve">to the Subcommittee </w:t>
      </w:r>
      <w:bookmarkEnd w:id="4"/>
      <w:r w:rsidR="00576FD5" w:rsidRPr="000A6985">
        <w:rPr>
          <w:rFonts w:asciiTheme="minorHAnsi" w:hAnsiTheme="minorHAnsi" w:cstheme="minorHAnsi"/>
          <w:color w:val="000000"/>
        </w:rPr>
        <w:t xml:space="preserve">under Clauses 7 and 8 of the Bill. Clause 11(1) </w:t>
      </w:r>
      <w:r w:rsidR="002249DD" w:rsidRPr="000A6985">
        <w:rPr>
          <w:rFonts w:asciiTheme="minorHAnsi" w:hAnsiTheme="minorHAnsi" w:cstheme="minorHAnsi"/>
          <w:color w:val="000000"/>
        </w:rPr>
        <w:t>seemingly</w:t>
      </w:r>
      <w:r w:rsidR="00A12DEF" w:rsidRPr="000A6985">
        <w:rPr>
          <w:rFonts w:asciiTheme="minorHAnsi" w:hAnsiTheme="minorHAnsi" w:cstheme="minorHAnsi"/>
          <w:color w:val="000000"/>
        </w:rPr>
        <w:t xml:space="preserve"> </w:t>
      </w:r>
      <w:r w:rsidR="00576FD5" w:rsidRPr="000A6985">
        <w:rPr>
          <w:rFonts w:asciiTheme="minorHAnsi" w:hAnsiTheme="minorHAnsi" w:cstheme="minorHAnsi"/>
          <w:color w:val="000000"/>
        </w:rPr>
        <w:t xml:space="preserve">seeks to limit the </w:t>
      </w:r>
      <w:r w:rsidR="0030336C" w:rsidRPr="000A6985">
        <w:rPr>
          <w:rFonts w:asciiTheme="minorHAnsi" w:hAnsiTheme="minorHAnsi" w:cstheme="minorHAnsi"/>
          <w:color w:val="000000"/>
        </w:rPr>
        <w:t>f</w:t>
      </w:r>
      <w:r w:rsidR="00576FD5" w:rsidRPr="000A6985">
        <w:rPr>
          <w:rFonts w:asciiTheme="minorHAnsi" w:hAnsiTheme="minorHAnsi" w:cstheme="minorHAnsi"/>
          <w:color w:val="000000"/>
        </w:rPr>
        <w:t xml:space="preserve">ree access </w:t>
      </w:r>
      <w:r w:rsidR="0030336C" w:rsidRPr="000A6985">
        <w:rPr>
          <w:rFonts w:asciiTheme="minorHAnsi" w:hAnsiTheme="minorHAnsi" w:cstheme="minorHAnsi"/>
          <w:color w:val="000000"/>
        </w:rPr>
        <w:t>of</w:t>
      </w:r>
      <w:r w:rsidR="00576FD5" w:rsidRPr="000A6985">
        <w:rPr>
          <w:rFonts w:asciiTheme="minorHAnsi" w:hAnsiTheme="minorHAnsi" w:cstheme="minorHAnsi"/>
          <w:color w:val="000000"/>
        </w:rPr>
        <w:t xml:space="preserve"> the Subcommittee by requiring the visit be conducted in accordance with usual visiting procedures. </w:t>
      </w:r>
    </w:p>
    <w:p w14:paraId="4F38FF5F" w14:textId="1036F60E" w:rsidR="00E76594" w:rsidRPr="000A6985" w:rsidRDefault="00E76594" w:rsidP="008B206F">
      <w:pPr>
        <w:autoSpaceDE w:val="0"/>
        <w:autoSpaceDN w:val="0"/>
        <w:adjustRightInd w:val="0"/>
        <w:spacing w:after="120"/>
        <w:rPr>
          <w:rFonts w:asciiTheme="minorHAnsi" w:hAnsiTheme="minorHAnsi" w:cstheme="minorHAnsi"/>
          <w:color w:val="000000"/>
        </w:rPr>
      </w:pPr>
      <w:r w:rsidRPr="000A6985">
        <w:rPr>
          <w:rFonts w:asciiTheme="minorHAnsi" w:hAnsiTheme="minorHAnsi" w:cstheme="minorHAnsi"/>
          <w:color w:val="000000"/>
        </w:rPr>
        <w:t xml:space="preserve">The Subcommittee </w:t>
      </w:r>
      <w:r w:rsidR="006F245A" w:rsidRPr="000A6985">
        <w:rPr>
          <w:rFonts w:asciiTheme="minorHAnsi" w:hAnsiTheme="minorHAnsi" w:cstheme="minorHAnsi"/>
          <w:color w:val="000000"/>
        </w:rPr>
        <w:t>must</w:t>
      </w:r>
      <w:r w:rsidRPr="000A6985">
        <w:rPr>
          <w:rFonts w:asciiTheme="minorHAnsi" w:hAnsiTheme="minorHAnsi" w:cstheme="minorHAnsi"/>
          <w:color w:val="000000"/>
        </w:rPr>
        <w:t xml:space="preserve"> have wide-ranging access to all parts of places of detention that is limited</w:t>
      </w:r>
      <w:r w:rsidR="009A76A1" w:rsidRPr="009A76A1">
        <w:rPr>
          <w:rFonts w:asciiTheme="minorHAnsi" w:hAnsiTheme="minorHAnsi" w:cstheme="minorHAnsi"/>
          <w:color w:val="000000"/>
        </w:rPr>
        <w:t xml:space="preserve"> </w:t>
      </w:r>
      <w:r w:rsidR="009A76A1" w:rsidRPr="000A6985">
        <w:rPr>
          <w:rFonts w:asciiTheme="minorHAnsi" w:hAnsiTheme="minorHAnsi" w:cstheme="minorHAnsi"/>
          <w:color w:val="000000"/>
        </w:rPr>
        <w:t>only</w:t>
      </w:r>
      <w:r w:rsidRPr="000A6985">
        <w:rPr>
          <w:rFonts w:asciiTheme="minorHAnsi" w:hAnsiTheme="minorHAnsi" w:cstheme="minorHAnsi"/>
          <w:color w:val="000000"/>
        </w:rPr>
        <w:t xml:space="preserve"> by safety and security considerations. Ordinary visitors to prisons and other places of detention are only permitted to access very limited and specific parts of these facilities, for example, a visiting area. Accordingly, it is inappropriate to seek to apply the usual visiting procedures for these facilities to the very specialised visits of the Subcommittee.</w:t>
      </w:r>
      <w:r w:rsidR="009A76A1">
        <w:rPr>
          <w:rFonts w:asciiTheme="minorHAnsi" w:hAnsiTheme="minorHAnsi" w:cstheme="minorHAnsi"/>
          <w:color w:val="000000"/>
        </w:rPr>
        <w:t xml:space="preserve"> </w:t>
      </w:r>
    </w:p>
    <w:p w14:paraId="0CB55244" w14:textId="2CA08205" w:rsidR="007B08B1" w:rsidRPr="000A6985" w:rsidRDefault="00184102" w:rsidP="008B206F">
      <w:pPr>
        <w:autoSpaceDE w:val="0"/>
        <w:autoSpaceDN w:val="0"/>
        <w:adjustRightInd w:val="0"/>
        <w:spacing w:after="120"/>
        <w:rPr>
          <w:rFonts w:asciiTheme="minorHAnsi" w:hAnsiTheme="minorHAnsi" w:cstheme="minorHAnsi"/>
          <w:color w:val="000000"/>
        </w:rPr>
      </w:pPr>
      <w:r w:rsidRPr="000A6985">
        <w:rPr>
          <w:rFonts w:asciiTheme="minorHAnsi" w:hAnsiTheme="minorHAnsi" w:cstheme="minorHAnsi"/>
          <w:color w:val="000000"/>
        </w:rPr>
        <w:t xml:space="preserve">While </w:t>
      </w:r>
      <w:r w:rsidR="0074719C" w:rsidRPr="000A6985">
        <w:rPr>
          <w:rFonts w:asciiTheme="minorHAnsi" w:hAnsiTheme="minorHAnsi" w:cstheme="minorHAnsi"/>
          <w:color w:val="000000"/>
        </w:rPr>
        <w:t xml:space="preserve">Clause 11(2) does </w:t>
      </w:r>
      <w:r w:rsidR="001D1102" w:rsidRPr="000A6985">
        <w:rPr>
          <w:rFonts w:asciiTheme="minorHAnsi" w:hAnsiTheme="minorHAnsi" w:cstheme="minorHAnsi"/>
          <w:color w:val="000000"/>
        </w:rPr>
        <w:t>permit</w:t>
      </w:r>
      <w:r w:rsidR="0074719C" w:rsidRPr="000A6985">
        <w:rPr>
          <w:rFonts w:asciiTheme="minorHAnsi" w:hAnsiTheme="minorHAnsi" w:cstheme="minorHAnsi"/>
          <w:color w:val="000000"/>
        </w:rPr>
        <w:t xml:space="preserve"> </w:t>
      </w:r>
      <w:r w:rsidR="00DB2D0E" w:rsidRPr="000A6985">
        <w:rPr>
          <w:rFonts w:asciiTheme="minorHAnsi" w:hAnsiTheme="minorHAnsi" w:cstheme="minorHAnsi"/>
          <w:color w:val="000000"/>
        </w:rPr>
        <w:t xml:space="preserve">the detaining authority </w:t>
      </w:r>
      <w:r w:rsidR="0074719C" w:rsidRPr="000A6985">
        <w:rPr>
          <w:rFonts w:asciiTheme="minorHAnsi" w:hAnsiTheme="minorHAnsi" w:cstheme="minorHAnsi"/>
          <w:color w:val="000000"/>
        </w:rPr>
        <w:t>to</w:t>
      </w:r>
      <w:r w:rsidR="00DB2D0E" w:rsidRPr="000A6985">
        <w:rPr>
          <w:rFonts w:asciiTheme="minorHAnsi" w:hAnsiTheme="minorHAnsi" w:cstheme="minorHAnsi"/>
          <w:color w:val="000000"/>
        </w:rPr>
        <w:t xml:space="preserve"> </w:t>
      </w:r>
      <w:r w:rsidR="005A3FC7" w:rsidRPr="000A6985">
        <w:rPr>
          <w:rFonts w:asciiTheme="minorHAnsi" w:hAnsiTheme="minorHAnsi" w:cstheme="minorHAnsi"/>
          <w:color w:val="000000"/>
        </w:rPr>
        <w:t>allow the Subcommittee or accompanying pe</w:t>
      </w:r>
      <w:r w:rsidR="001B39D0" w:rsidRPr="000A6985">
        <w:rPr>
          <w:rFonts w:asciiTheme="minorHAnsi" w:hAnsiTheme="minorHAnsi" w:cstheme="minorHAnsi"/>
          <w:color w:val="000000"/>
        </w:rPr>
        <w:t>ople</w:t>
      </w:r>
      <w:r w:rsidR="005A3FC7" w:rsidRPr="000A6985">
        <w:rPr>
          <w:rFonts w:asciiTheme="minorHAnsi" w:hAnsiTheme="minorHAnsi" w:cstheme="minorHAnsi"/>
          <w:color w:val="000000"/>
        </w:rPr>
        <w:t xml:space="preserve"> access </w:t>
      </w:r>
      <w:r w:rsidR="003A4EE2" w:rsidRPr="000A6985">
        <w:rPr>
          <w:rFonts w:asciiTheme="minorHAnsi" w:hAnsiTheme="minorHAnsi" w:cstheme="minorHAnsi"/>
          <w:color w:val="000000"/>
        </w:rPr>
        <w:t xml:space="preserve">to the place of detention </w:t>
      </w:r>
      <w:r w:rsidR="005A3FC7" w:rsidRPr="000A6985">
        <w:rPr>
          <w:rFonts w:asciiTheme="minorHAnsi" w:hAnsiTheme="minorHAnsi" w:cstheme="minorHAnsi"/>
          <w:i/>
          <w:iCs/>
          <w:color w:val="000000"/>
        </w:rPr>
        <w:t xml:space="preserve">without </w:t>
      </w:r>
      <w:r w:rsidR="005A3FC7" w:rsidRPr="000A6985">
        <w:rPr>
          <w:rFonts w:asciiTheme="minorHAnsi" w:hAnsiTheme="minorHAnsi" w:cstheme="minorHAnsi"/>
          <w:color w:val="000000"/>
        </w:rPr>
        <w:t>complying with such requirements</w:t>
      </w:r>
      <w:r w:rsidR="00BF38BD" w:rsidRPr="000A6985">
        <w:rPr>
          <w:rFonts w:asciiTheme="minorHAnsi" w:hAnsiTheme="minorHAnsi" w:cstheme="minorHAnsi"/>
          <w:color w:val="000000"/>
        </w:rPr>
        <w:t>, t</w:t>
      </w:r>
      <w:r w:rsidR="00576FD5" w:rsidRPr="000A6985">
        <w:rPr>
          <w:rFonts w:asciiTheme="minorHAnsi" w:hAnsiTheme="minorHAnsi" w:cstheme="minorHAnsi"/>
          <w:color w:val="000000"/>
        </w:rPr>
        <w:t>his</w:t>
      </w:r>
      <w:r w:rsidR="006F1A21" w:rsidRPr="000A6985">
        <w:rPr>
          <w:rFonts w:asciiTheme="minorHAnsi" w:hAnsiTheme="minorHAnsi" w:cstheme="minorHAnsi"/>
          <w:color w:val="000000"/>
        </w:rPr>
        <w:t xml:space="preserve"> </w:t>
      </w:r>
      <w:r w:rsidR="003A4EE2" w:rsidRPr="000A6985">
        <w:rPr>
          <w:rFonts w:asciiTheme="minorHAnsi" w:hAnsiTheme="minorHAnsi" w:cstheme="minorHAnsi"/>
          <w:color w:val="000000"/>
        </w:rPr>
        <w:t>seemingly</w:t>
      </w:r>
      <w:r w:rsidR="006F1A21" w:rsidRPr="000A6985">
        <w:rPr>
          <w:rFonts w:asciiTheme="minorHAnsi" w:hAnsiTheme="minorHAnsi" w:cstheme="minorHAnsi"/>
          <w:color w:val="000000"/>
        </w:rPr>
        <w:t xml:space="preserve"> leaves it to the discretion of the detaining authority which</w:t>
      </w:r>
      <w:r w:rsidR="006C73B6" w:rsidRPr="000A6985">
        <w:rPr>
          <w:rFonts w:asciiTheme="minorHAnsi" w:hAnsiTheme="minorHAnsi" w:cstheme="minorHAnsi"/>
          <w:color w:val="000000"/>
        </w:rPr>
        <w:t xml:space="preserve"> </w:t>
      </w:r>
      <w:r w:rsidR="0085763D" w:rsidRPr="000A6985">
        <w:rPr>
          <w:rFonts w:asciiTheme="minorHAnsi" w:hAnsiTheme="minorHAnsi" w:cstheme="minorHAnsi"/>
          <w:color w:val="000000"/>
        </w:rPr>
        <w:t xml:space="preserve">undermines the </w:t>
      </w:r>
      <w:r w:rsidR="00194A06" w:rsidRPr="000A6985">
        <w:rPr>
          <w:rFonts w:asciiTheme="minorHAnsi" w:hAnsiTheme="minorHAnsi" w:cstheme="minorHAnsi"/>
          <w:color w:val="000000"/>
        </w:rPr>
        <w:t xml:space="preserve">unrestricted </w:t>
      </w:r>
      <w:r w:rsidR="0085763D" w:rsidRPr="000A6985">
        <w:rPr>
          <w:rFonts w:asciiTheme="minorHAnsi" w:hAnsiTheme="minorHAnsi" w:cstheme="minorHAnsi"/>
          <w:color w:val="000000"/>
        </w:rPr>
        <w:t>access provided</w:t>
      </w:r>
      <w:r w:rsidR="00043ED5" w:rsidRPr="000A6985">
        <w:rPr>
          <w:rFonts w:asciiTheme="minorHAnsi" w:hAnsiTheme="minorHAnsi" w:cstheme="minorHAnsi"/>
          <w:color w:val="000000"/>
        </w:rPr>
        <w:t xml:space="preserve"> for</w:t>
      </w:r>
      <w:r w:rsidR="0085763D" w:rsidRPr="000A6985">
        <w:rPr>
          <w:rFonts w:asciiTheme="minorHAnsi" w:hAnsiTheme="minorHAnsi" w:cstheme="minorHAnsi"/>
          <w:color w:val="000000"/>
        </w:rPr>
        <w:t xml:space="preserve"> in Clauses 7 and 8 and</w:t>
      </w:r>
      <w:r w:rsidR="00943862">
        <w:rPr>
          <w:rFonts w:asciiTheme="minorHAnsi" w:hAnsiTheme="minorHAnsi" w:cstheme="minorHAnsi"/>
          <w:color w:val="000000"/>
        </w:rPr>
        <w:t xml:space="preserve"> </w:t>
      </w:r>
      <w:r w:rsidR="00664E6C" w:rsidRPr="000A6985">
        <w:rPr>
          <w:rFonts w:asciiTheme="minorHAnsi" w:hAnsiTheme="minorHAnsi" w:cstheme="minorHAnsi"/>
          <w:color w:val="000000"/>
        </w:rPr>
        <w:t>contraven</w:t>
      </w:r>
      <w:r w:rsidR="00043ED5" w:rsidRPr="000A6985">
        <w:rPr>
          <w:rFonts w:asciiTheme="minorHAnsi" w:hAnsiTheme="minorHAnsi" w:cstheme="minorHAnsi"/>
          <w:color w:val="000000"/>
        </w:rPr>
        <w:t>es</w:t>
      </w:r>
      <w:r w:rsidR="00664E6C" w:rsidRPr="000A6985">
        <w:rPr>
          <w:rFonts w:asciiTheme="minorHAnsi" w:hAnsiTheme="minorHAnsi" w:cstheme="minorHAnsi"/>
          <w:color w:val="000000"/>
        </w:rPr>
        <w:t xml:space="preserve"> </w:t>
      </w:r>
      <w:r w:rsidR="006A2641" w:rsidRPr="000A6985">
        <w:rPr>
          <w:rFonts w:asciiTheme="minorHAnsi" w:hAnsiTheme="minorHAnsi" w:cstheme="minorHAnsi"/>
          <w:color w:val="000000"/>
        </w:rPr>
        <w:t>Article 14(1)</w:t>
      </w:r>
      <w:r w:rsidR="00486766" w:rsidRPr="000A6985">
        <w:rPr>
          <w:rFonts w:asciiTheme="minorHAnsi" w:hAnsiTheme="minorHAnsi" w:cstheme="minorHAnsi"/>
          <w:color w:val="000000"/>
        </w:rPr>
        <w:t>(c) of OPCAT</w:t>
      </w:r>
      <w:r w:rsidR="00A50513" w:rsidRPr="000A6985">
        <w:rPr>
          <w:rFonts w:asciiTheme="minorHAnsi" w:hAnsiTheme="minorHAnsi" w:cstheme="minorHAnsi"/>
          <w:color w:val="000000"/>
        </w:rPr>
        <w:t xml:space="preserve">. It </w:t>
      </w:r>
      <w:r w:rsidR="00576FD5" w:rsidRPr="000A6985">
        <w:rPr>
          <w:rFonts w:asciiTheme="minorHAnsi" w:hAnsiTheme="minorHAnsi" w:cstheme="minorHAnsi"/>
          <w:color w:val="000000"/>
        </w:rPr>
        <w:t>appears to create a conflict between the provisions</w:t>
      </w:r>
      <w:r w:rsidR="00055364" w:rsidRPr="000A6985">
        <w:rPr>
          <w:rFonts w:asciiTheme="minorHAnsi" w:hAnsiTheme="minorHAnsi" w:cstheme="minorHAnsi"/>
          <w:color w:val="000000"/>
        </w:rPr>
        <w:t xml:space="preserve"> </w:t>
      </w:r>
      <w:r w:rsidR="00576FD5" w:rsidRPr="000A6985">
        <w:rPr>
          <w:rFonts w:asciiTheme="minorHAnsi" w:hAnsiTheme="minorHAnsi" w:cstheme="minorHAnsi"/>
          <w:color w:val="000000"/>
        </w:rPr>
        <w:t xml:space="preserve">which is likely to lead to confusion and interfere with the efficient and effective conduct of visits by the Subcommittee. </w:t>
      </w:r>
    </w:p>
    <w:p w14:paraId="5E7D085F" w14:textId="0CF12949" w:rsidR="007B08B1" w:rsidRPr="000A6985" w:rsidRDefault="007B08B1" w:rsidP="008B206F">
      <w:pPr>
        <w:autoSpaceDE w:val="0"/>
        <w:autoSpaceDN w:val="0"/>
        <w:adjustRightInd w:val="0"/>
        <w:spacing w:after="120"/>
        <w:rPr>
          <w:rFonts w:asciiTheme="minorHAnsi" w:hAnsiTheme="minorHAnsi" w:cstheme="minorHAnsi"/>
          <w:color w:val="000000"/>
        </w:rPr>
      </w:pPr>
      <w:r w:rsidRPr="000A6985">
        <w:rPr>
          <w:rFonts w:asciiTheme="minorHAnsi" w:hAnsiTheme="minorHAnsi" w:cstheme="minorHAnsi"/>
          <w:color w:val="000000"/>
        </w:rPr>
        <w:t>QAI respectfully suggests that clause 11(1) be amended to read as follows, or something similar:</w:t>
      </w:r>
    </w:p>
    <w:p w14:paraId="751CF7A2" w14:textId="712D09AF" w:rsidR="007B08B1" w:rsidRPr="000A6985" w:rsidRDefault="007B08B1" w:rsidP="008B206F">
      <w:pPr>
        <w:autoSpaceDE w:val="0"/>
        <w:autoSpaceDN w:val="0"/>
        <w:adjustRightInd w:val="0"/>
        <w:spacing w:after="120"/>
        <w:ind w:left="720"/>
        <w:rPr>
          <w:rFonts w:asciiTheme="minorHAnsi" w:hAnsiTheme="minorHAnsi" w:cstheme="minorHAnsi"/>
          <w:color w:val="000000"/>
        </w:rPr>
      </w:pPr>
      <w:r w:rsidRPr="000A6985">
        <w:rPr>
          <w:rFonts w:asciiTheme="minorHAnsi" w:hAnsiTheme="minorHAnsi" w:cstheme="minorHAnsi"/>
          <w:color w:val="000000"/>
        </w:rPr>
        <w:t xml:space="preserve">The </w:t>
      </w:r>
      <w:r w:rsidR="00F57813" w:rsidRPr="000A6985">
        <w:rPr>
          <w:rFonts w:asciiTheme="minorHAnsi" w:hAnsiTheme="minorHAnsi" w:cstheme="minorHAnsi"/>
          <w:color w:val="000000"/>
        </w:rPr>
        <w:t>S</w:t>
      </w:r>
      <w:r w:rsidRPr="000A6985">
        <w:rPr>
          <w:rFonts w:asciiTheme="minorHAnsi" w:hAnsiTheme="minorHAnsi" w:cstheme="minorHAnsi"/>
          <w:color w:val="000000"/>
        </w:rPr>
        <w:t>ubcommittee and accompanying persons should conduct their visit in accordance with directions provided by an authorised officer of the place of detention</w:t>
      </w:r>
      <w:r w:rsidR="0091781A">
        <w:rPr>
          <w:rFonts w:asciiTheme="minorHAnsi" w:hAnsiTheme="minorHAnsi" w:cstheme="minorHAnsi"/>
          <w:color w:val="000000"/>
        </w:rPr>
        <w:t xml:space="preserve">, </w:t>
      </w:r>
      <w:r w:rsidR="0091781A">
        <w:rPr>
          <w:rFonts w:cstheme="minorHAnsi"/>
          <w:color w:val="000000"/>
        </w:rPr>
        <w:t xml:space="preserve">including directions that </w:t>
      </w:r>
      <w:r w:rsidR="00D364B6">
        <w:rPr>
          <w:rFonts w:cstheme="minorHAnsi"/>
          <w:color w:val="000000"/>
        </w:rPr>
        <w:t>ensure</w:t>
      </w:r>
      <w:r w:rsidR="0091781A">
        <w:rPr>
          <w:rFonts w:cstheme="minorHAnsi"/>
          <w:color w:val="000000"/>
        </w:rPr>
        <w:t xml:space="preserve"> free access to all parts of the place of detention</w:t>
      </w:r>
      <w:r w:rsidR="0039281B" w:rsidRPr="000A6985">
        <w:rPr>
          <w:rFonts w:asciiTheme="minorHAnsi" w:hAnsiTheme="minorHAnsi" w:cstheme="minorHAnsi"/>
          <w:color w:val="000000"/>
        </w:rPr>
        <w:t>. Such</w:t>
      </w:r>
      <w:r w:rsidRPr="000A6985">
        <w:rPr>
          <w:rFonts w:asciiTheme="minorHAnsi" w:hAnsiTheme="minorHAnsi" w:cstheme="minorHAnsi"/>
          <w:color w:val="000000"/>
        </w:rPr>
        <w:t xml:space="preserve"> directions should not unnecessarily limit the </w:t>
      </w:r>
      <w:r w:rsidR="0039281B" w:rsidRPr="000A6985">
        <w:rPr>
          <w:rFonts w:asciiTheme="minorHAnsi" w:hAnsiTheme="minorHAnsi" w:cstheme="minorHAnsi"/>
          <w:color w:val="000000"/>
        </w:rPr>
        <w:t>S</w:t>
      </w:r>
      <w:r w:rsidRPr="000A6985">
        <w:rPr>
          <w:rFonts w:asciiTheme="minorHAnsi" w:hAnsiTheme="minorHAnsi" w:cstheme="minorHAnsi"/>
          <w:color w:val="000000"/>
        </w:rPr>
        <w:t>ubcommittee's ability to undertake the visit and perform its functions under OPCAT.</w:t>
      </w:r>
    </w:p>
    <w:p w14:paraId="48794D04" w14:textId="18ACEFEF" w:rsidR="00F02F54" w:rsidRPr="00F02F54" w:rsidRDefault="007B08B1" w:rsidP="008B206F">
      <w:pPr>
        <w:autoSpaceDE w:val="0"/>
        <w:autoSpaceDN w:val="0"/>
        <w:adjustRightInd w:val="0"/>
        <w:spacing w:after="120"/>
        <w:rPr>
          <w:rFonts w:asciiTheme="minorHAnsi" w:hAnsiTheme="minorHAnsi" w:cstheme="minorHAnsi"/>
          <w:color w:val="000000"/>
        </w:rPr>
      </w:pPr>
      <w:r w:rsidRPr="000A6985">
        <w:rPr>
          <w:rFonts w:asciiTheme="minorHAnsi" w:hAnsiTheme="minorHAnsi" w:cstheme="minorHAnsi"/>
          <w:color w:val="000000"/>
        </w:rPr>
        <w:t xml:space="preserve">QAI supports the exemptions under clause 11(2)(a) and (b) in relation to holding an approval for the access and being searched. However, </w:t>
      </w:r>
      <w:r w:rsidR="0075415B">
        <w:rPr>
          <w:rFonts w:asciiTheme="minorHAnsi" w:hAnsiTheme="minorHAnsi" w:cstheme="minorHAnsi"/>
          <w:color w:val="000000"/>
        </w:rPr>
        <w:t>QAI is of the position that</w:t>
      </w:r>
      <w:r w:rsidRPr="000A6985">
        <w:rPr>
          <w:rFonts w:asciiTheme="minorHAnsi" w:hAnsiTheme="minorHAnsi" w:cstheme="minorHAnsi"/>
          <w:color w:val="000000"/>
        </w:rPr>
        <w:t xml:space="preserve"> </w:t>
      </w:r>
      <w:r w:rsidR="0075415B">
        <w:rPr>
          <w:rFonts w:asciiTheme="minorHAnsi" w:hAnsiTheme="minorHAnsi" w:cstheme="minorHAnsi"/>
          <w:color w:val="000000"/>
        </w:rPr>
        <w:t>S</w:t>
      </w:r>
      <w:r w:rsidRPr="000A6985">
        <w:rPr>
          <w:rFonts w:asciiTheme="minorHAnsi" w:hAnsiTheme="minorHAnsi" w:cstheme="minorHAnsi"/>
          <w:color w:val="000000"/>
        </w:rPr>
        <w:t xml:space="preserve">ubcommittee members and accompanying persons should have to provide some evidence of their identities such as their passports and some evidence from the United Nations that they are authorised to undertake visits under OPCAT. We would suggest that inquiries be made about the usual forms of identification used by </w:t>
      </w:r>
      <w:r w:rsidR="00F02F54">
        <w:rPr>
          <w:rFonts w:asciiTheme="minorHAnsi" w:hAnsiTheme="minorHAnsi" w:cstheme="minorHAnsi"/>
          <w:color w:val="000000"/>
        </w:rPr>
        <w:t>S</w:t>
      </w:r>
      <w:r w:rsidRPr="000A6985">
        <w:rPr>
          <w:rFonts w:asciiTheme="minorHAnsi" w:hAnsiTheme="minorHAnsi" w:cstheme="minorHAnsi"/>
          <w:color w:val="000000"/>
        </w:rPr>
        <w:t xml:space="preserve">ubcommittee members and accompanying persons and </w:t>
      </w:r>
      <w:r w:rsidR="00F02F54">
        <w:rPr>
          <w:rFonts w:asciiTheme="minorHAnsi" w:hAnsiTheme="minorHAnsi" w:cstheme="minorHAnsi"/>
          <w:color w:val="000000"/>
        </w:rPr>
        <w:t>that th</w:t>
      </w:r>
      <w:r w:rsidR="008F428B">
        <w:rPr>
          <w:rFonts w:asciiTheme="minorHAnsi" w:hAnsiTheme="minorHAnsi" w:cstheme="minorHAnsi"/>
          <w:color w:val="000000"/>
        </w:rPr>
        <w:t>ese processes be included</w:t>
      </w:r>
      <w:r w:rsidRPr="000A6985">
        <w:rPr>
          <w:rFonts w:asciiTheme="minorHAnsi" w:hAnsiTheme="minorHAnsi" w:cstheme="minorHAnsi"/>
          <w:color w:val="000000"/>
        </w:rPr>
        <w:t xml:space="preserve"> in </w:t>
      </w:r>
      <w:r w:rsidR="00F02F54">
        <w:rPr>
          <w:rFonts w:asciiTheme="minorHAnsi" w:hAnsiTheme="minorHAnsi" w:cstheme="minorHAnsi"/>
          <w:color w:val="000000"/>
        </w:rPr>
        <w:t>a re-drafted C</w:t>
      </w:r>
      <w:r w:rsidRPr="000A6985">
        <w:rPr>
          <w:rFonts w:asciiTheme="minorHAnsi" w:hAnsiTheme="minorHAnsi" w:cstheme="minorHAnsi"/>
          <w:color w:val="000000"/>
        </w:rPr>
        <w:t xml:space="preserve">lause. </w:t>
      </w:r>
    </w:p>
    <w:p w14:paraId="1DA3C86F" w14:textId="0520B626" w:rsidR="008C19D8" w:rsidRPr="00E5774A" w:rsidRDefault="00110013" w:rsidP="000938D6">
      <w:pPr>
        <w:pStyle w:val="Heading1"/>
        <w:spacing w:before="240" w:after="240"/>
      </w:pPr>
      <w:r>
        <w:t>Clause 1</w:t>
      </w:r>
      <w:r w:rsidR="00C83B0B">
        <w:t>4</w:t>
      </w:r>
      <w:r w:rsidR="004A74DF">
        <w:t xml:space="preserve"> – </w:t>
      </w:r>
      <w:r w:rsidR="00A31044">
        <w:t>A</w:t>
      </w:r>
      <w:r w:rsidR="004A74DF">
        <w:t>ccess to identifying information</w:t>
      </w:r>
    </w:p>
    <w:p w14:paraId="41C281B7" w14:textId="1760D54B" w:rsidR="00C7123D" w:rsidRDefault="00780453" w:rsidP="008B206F">
      <w:pPr>
        <w:spacing w:after="240"/>
      </w:pPr>
      <w:r>
        <w:t xml:space="preserve">QAI is particularly concerned about </w:t>
      </w:r>
      <w:r w:rsidR="0022481B">
        <w:t>the drafting of</w:t>
      </w:r>
      <w:r w:rsidR="001F76D7">
        <w:t>,</w:t>
      </w:r>
      <w:r w:rsidR="0022481B">
        <w:t xml:space="preserve"> and intention behind</w:t>
      </w:r>
      <w:r w:rsidR="001F76D7">
        <w:t>,</w:t>
      </w:r>
      <w:r w:rsidR="0022481B">
        <w:t xml:space="preserve"> Clause 14. Clause 14 seeks</w:t>
      </w:r>
      <w:r w:rsidR="001F76D7">
        <w:t xml:space="preserve"> to limit</w:t>
      </w:r>
      <w:r w:rsidR="00191483">
        <w:t xml:space="preserve"> </w:t>
      </w:r>
      <w:r w:rsidR="0055694E">
        <w:t xml:space="preserve">the </w:t>
      </w:r>
      <w:r w:rsidR="008914AF">
        <w:t xml:space="preserve">Subcommittee’s </w:t>
      </w:r>
      <w:r w:rsidR="00191483">
        <w:t xml:space="preserve">unrestricted access to information </w:t>
      </w:r>
      <w:r w:rsidR="0055694E">
        <w:t xml:space="preserve">relevant to </w:t>
      </w:r>
      <w:r w:rsidR="008914AF">
        <w:t>its</w:t>
      </w:r>
      <w:r w:rsidR="0055694E">
        <w:t xml:space="preserve"> purpose as </w:t>
      </w:r>
      <w:r w:rsidR="00191483">
        <w:t xml:space="preserve">requested </w:t>
      </w:r>
      <w:r w:rsidR="000264CD">
        <w:t>under Clause 13.</w:t>
      </w:r>
      <w:r w:rsidR="006A2547">
        <w:t xml:space="preserve"> Clause 14</w:t>
      </w:r>
      <w:r w:rsidR="00E37104">
        <w:t xml:space="preserve"> states that “…the </w:t>
      </w:r>
      <w:r w:rsidR="00063E13">
        <w:t>s</w:t>
      </w:r>
      <w:r w:rsidR="00E37104">
        <w:t>ubcommittee must not be given access under</w:t>
      </w:r>
      <w:r w:rsidR="002161DA">
        <w:t xml:space="preserve"> section 13 to identifying information (including </w:t>
      </w:r>
      <w:r w:rsidR="00A64822">
        <w:t>confi</w:t>
      </w:r>
      <w:r w:rsidR="00FF62CE">
        <w:t>dential information) about a person at a place of detention (including a detainee) unless the subcommittee visits that place of detention or has visited that place of detention.”</w:t>
      </w:r>
      <w:r w:rsidR="00FF62CE">
        <w:rPr>
          <w:rStyle w:val="FootnoteReference"/>
        </w:rPr>
        <w:footnoteReference w:id="12"/>
      </w:r>
    </w:p>
    <w:p w14:paraId="3C4A70AD" w14:textId="4AE278CD" w:rsidR="000A4E20" w:rsidRDefault="00AB1856" w:rsidP="008B206F">
      <w:pPr>
        <w:spacing w:after="240"/>
        <w:rPr>
          <w:rFonts w:cstheme="minorHAnsi"/>
          <w:color w:val="000000"/>
        </w:rPr>
      </w:pPr>
      <w:r>
        <w:t xml:space="preserve">Firstly, it is unclear </w:t>
      </w:r>
      <w:r w:rsidR="00F73636">
        <w:t>whether “…unless the subcommittee visits that place of detention…”</w:t>
      </w:r>
      <w:r w:rsidR="002D73DE">
        <w:t xml:space="preserve"> </w:t>
      </w:r>
      <w:r w:rsidR="00442A51">
        <w:t>means</w:t>
      </w:r>
      <w:r w:rsidR="002D73DE">
        <w:t xml:space="preserve"> </w:t>
      </w:r>
      <w:r w:rsidR="00F02AAF">
        <w:t>u</w:t>
      </w:r>
      <w:r w:rsidR="002D73DE">
        <w:t xml:space="preserve">nless the subcommittee </w:t>
      </w:r>
      <w:r w:rsidR="002D73DE">
        <w:rPr>
          <w:i/>
          <w:iCs/>
        </w:rPr>
        <w:t xml:space="preserve">intends </w:t>
      </w:r>
      <w:r w:rsidR="002D73DE" w:rsidRPr="002D73DE">
        <w:t>to visit</w:t>
      </w:r>
      <w:r w:rsidR="00097E2A">
        <w:t xml:space="preserve"> that place of detention.</w:t>
      </w:r>
      <w:r w:rsidR="002B576E">
        <w:t xml:space="preserve"> The ambiguity leaves open </w:t>
      </w:r>
      <w:r w:rsidR="00BF4C7B">
        <w:t>the</w:t>
      </w:r>
      <w:r w:rsidR="00705286">
        <w:t xml:space="preserve"> possibility that the Subcommittee </w:t>
      </w:r>
      <w:r w:rsidR="00B13E85">
        <w:lastRenderedPageBreak/>
        <w:t>will</w:t>
      </w:r>
      <w:r w:rsidR="00705286">
        <w:t xml:space="preserve"> only</w:t>
      </w:r>
      <w:r w:rsidR="00B13E85">
        <w:t xml:space="preserve"> be able to</w:t>
      </w:r>
      <w:r w:rsidR="00705286">
        <w:t xml:space="preserve"> access information about a person at a </w:t>
      </w:r>
      <w:r w:rsidR="00BF4C7B">
        <w:t xml:space="preserve">place of detention that it is </w:t>
      </w:r>
      <w:r w:rsidR="00BF4C7B">
        <w:rPr>
          <w:i/>
          <w:iCs/>
        </w:rPr>
        <w:t xml:space="preserve">presently visiting </w:t>
      </w:r>
      <w:r w:rsidR="00BF4C7B">
        <w:t>or has already visited, thus</w:t>
      </w:r>
      <w:r w:rsidR="00582716">
        <w:t xml:space="preserve"> potentially</w:t>
      </w:r>
      <w:r w:rsidR="00BF4C7B">
        <w:t xml:space="preserve"> preventing the Subcommittee from accessing information </w:t>
      </w:r>
      <w:r w:rsidR="00BF4C7B" w:rsidRPr="00B13E85">
        <w:rPr>
          <w:i/>
          <w:iCs/>
        </w:rPr>
        <w:t>prior</w:t>
      </w:r>
      <w:r w:rsidR="00BF4C7B">
        <w:t xml:space="preserve"> to </w:t>
      </w:r>
      <w:r w:rsidR="00B13E85">
        <w:t>a</w:t>
      </w:r>
      <w:r w:rsidR="00BF4C7B">
        <w:t xml:space="preserve"> visit.</w:t>
      </w:r>
      <w:r w:rsidR="00717FB1">
        <w:t xml:space="preserve"> Even if the</w:t>
      </w:r>
      <w:r w:rsidR="007B4423">
        <w:t xml:space="preserve"> </w:t>
      </w:r>
      <w:r w:rsidR="00365121">
        <w:t xml:space="preserve">intention </w:t>
      </w:r>
      <w:r w:rsidR="000A4E20">
        <w:t>is</w:t>
      </w:r>
      <w:r w:rsidR="007B4423">
        <w:t xml:space="preserve"> to </w:t>
      </w:r>
      <w:r w:rsidR="005E1397">
        <w:t xml:space="preserve">allow </w:t>
      </w:r>
      <w:r w:rsidR="007B4423">
        <w:t xml:space="preserve">the Subcommittee access to information </w:t>
      </w:r>
      <w:r w:rsidR="00373A03">
        <w:t xml:space="preserve">about a person at a place of detention </w:t>
      </w:r>
      <w:r w:rsidR="007B4423">
        <w:t xml:space="preserve">prior to </w:t>
      </w:r>
      <w:r w:rsidR="00CC331B">
        <w:t>a</w:t>
      </w:r>
      <w:r w:rsidR="007B4423">
        <w:t xml:space="preserve"> visit</w:t>
      </w:r>
      <w:r w:rsidR="00373A03">
        <w:t xml:space="preserve"> to the facility in question</w:t>
      </w:r>
      <w:r w:rsidR="007B4423">
        <w:t>, the operation of the Clause as currently drafted could result</w:t>
      </w:r>
      <w:r w:rsidR="00A35C02" w:rsidRPr="00A35C02">
        <w:rPr>
          <w:rFonts w:cstheme="minorHAnsi"/>
          <w:color w:val="000000"/>
        </w:rPr>
        <w:t xml:space="preserve"> </w:t>
      </w:r>
      <w:r w:rsidR="00A35C02" w:rsidRPr="00CB4EA7">
        <w:rPr>
          <w:rFonts w:cstheme="minorHAnsi"/>
          <w:color w:val="000000"/>
        </w:rPr>
        <w:t xml:space="preserve">in a cumbersome and obstructive process that </w:t>
      </w:r>
      <w:r w:rsidR="00502A18">
        <w:rPr>
          <w:rFonts w:cstheme="minorHAnsi"/>
          <w:color w:val="000000"/>
        </w:rPr>
        <w:t xml:space="preserve">could </w:t>
      </w:r>
      <w:r w:rsidR="00A35C02" w:rsidRPr="00CB4EA7">
        <w:rPr>
          <w:rFonts w:cstheme="minorHAnsi"/>
          <w:color w:val="000000"/>
        </w:rPr>
        <w:t xml:space="preserve">prevent the </w:t>
      </w:r>
      <w:r w:rsidR="00A35C02">
        <w:rPr>
          <w:rFonts w:cstheme="minorHAnsi"/>
          <w:color w:val="000000"/>
        </w:rPr>
        <w:t>S</w:t>
      </w:r>
      <w:r w:rsidR="00A35C02" w:rsidRPr="00CB4EA7">
        <w:rPr>
          <w:rFonts w:cstheme="minorHAnsi"/>
          <w:color w:val="000000"/>
        </w:rPr>
        <w:t xml:space="preserve">ubcommittee from accessing </w:t>
      </w:r>
      <w:r w:rsidR="00582716">
        <w:rPr>
          <w:rFonts w:cstheme="minorHAnsi"/>
          <w:color w:val="000000"/>
        </w:rPr>
        <w:t xml:space="preserve">timely and </w:t>
      </w:r>
      <w:r w:rsidR="00A35C02" w:rsidRPr="00CB4EA7">
        <w:rPr>
          <w:rFonts w:cstheme="minorHAnsi"/>
          <w:color w:val="000000"/>
        </w:rPr>
        <w:t xml:space="preserve">relevant information </w:t>
      </w:r>
      <w:r w:rsidR="00502A18">
        <w:rPr>
          <w:rFonts w:cstheme="minorHAnsi"/>
          <w:color w:val="000000"/>
        </w:rPr>
        <w:t xml:space="preserve">that is essential to </w:t>
      </w:r>
      <w:r w:rsidR="00A27F79">
        <w:rPr>
          <w:rFonts w:cstheme="minorHAnsi"/>
          <w:color w:val="000000"/>
        </w:rPr>
        <w:t xml:space="preserve">its </w:t>
      </w:r>
      <w:r w:rsidR="00004D58">
        <w:rPr>
          <w:rFonts w:cstheme="minorHAnsi"/>
          <w:color w:val="000000"/>
        </w:rPr>
        <w:t>mandate</w:t>
      </w:r>
      <w:r w:rsidR="00A27F79">
        <w:rPr>
          <w:rFonts w:cstheme="minorHAnsi"/>
          <w:color w:val="000000"/>
        </w:rPr>
        <w:t xml:space="preserve">. </w:t>
      </w:r>
    </w:p>
    <w:p w14:paraId="5E140243" w14:textId="0DC04E56" w:rsidR="00525A80" w:rsidRDefault="00525A80" w:rsidP="008B206F">
      <w:pPr>
        <w:spacing w:after="240"/>
        <w:rPr>
          <w:rFonts w:cstheme="minorHAnsi"/>
          <w:color w:val="000000"/>
        </w:rPr>
      </w:pPr>
      <w:r>
        <w:rPr>
          <w:rFonts w:cstheme="minorHAnsi"/>
          <w:color w:val="000000"/>
        </w:rPr>
        <w:t xml:space="preserve">It is </w:t>
      </w:r>
      <w:r w:rsidR="000022B8">
        <w:rPr>
          <w:rFonts w:cstheme="minorHAnsi"/>
          <w:color w:val="000000"/>
        </w:rPr>
        <w:t xml:space="preserve">feasible that the Subcommittee may request access to identifying information about detainees </w:t>
      </w:r>
      <w:r w:rsidR="0060109E">
        <w:rPr>
          <w:rFonts w:cstheme="minorHAnsi"/>
          <w:color w:val="000000"/>
        </w:rPr>
        <w:t>prior to visiting a facility</w:t>
      </w:r>
      <w:r w:rsidR="00F22132">
        <w:rPr>
          <w:rFonts w:cstheme="minorHAnsi"/>
          <w:color w:val="000000"/>
        </w:rPr>
        <w:t>, and QAI is eager to ensure there are no</w:t>
      </w:r>
      <w:r w:rsidR="00C65D16">
        <w:rPr>
          <w:rFonts w:cstheme="minorHAnsi"/>
          <w:color w:val="000000"/>
        </w:rPr>
        <w:t xml:space="preserve"> </w:t>
      </w:r>
      <w:r w:rsidR="008557D2">
        <w:rPr>
          <w:rFonts w:cstheme="minorHAnsi"/>
          <w:color w:val="000000"/>
        </w:rPr>
        <w:t xml:space="preserve">unnecessary </w:t>
      </w:r>
      <w:r w:rsidR="003C29E6">
        <w:rPr>
          <w:rFonts w:cstheme="minorHAnsi"/>
          <w:color w:val="000000"/>
        </w:rPr>
        <w:t xml:space="preserve">legislative barriers that </w:t>
      </w:r>
      <w:r w:rsidR="008557D2">
        <w:rPr>
          <w:rFonts w:cstheme="minorHAnsi"/>
          <w:color w:val="000000"/>
        </w:rPr>
        <w:t xml:space="preserve">would </w:t>
      </w:r>
      <w:r w:rsidR="003C29E6">
        <w:rPr>
          <w:rFonts w:cstheme="minorHAnsi"/>
          <w:color w:val="000000"/>
        </w:rPr>
        <w:t xml:space="preserve">prevent the Subcommittee from </w:t>
      </w:r>
      <w:r w:rsidR="0077524C">
        <w:rPr>
          <w:rFonts w:cstheme="minorHAnsi"/>
          <w:color w:val="000000"/>
        </w:rPr>
        <w:t xml:space="preserve">accessing the information it requires to </w:t>
      </w:r>
      <w:r w:rsidR="00AA0443">
        <w:rPr>
          <w:rFonts w:cstheme="minorHAnsi"/>
          <w:color w:val="000000"/>
        </w:rPr>
        <w:t xml:space="preserve">properly </w:t>
      </w:r>
      <w:r w:rsidR="003C29E6">
        <w:rPr>
          <w:rFonts w:cstheme="minorHAnsi"/>
          <w:color w:val="000000"/>
        </w:rPr>
        <w:t>carry out its</w:t>
      </w:r>
      <w:r w:rsidR="0077524C">
        <w:rPr>
          <w:rFonts w:cstheme="minorHAnsi"/>
          <w:color w:val="000000"/>
        </w:rPr>
        <w:t xml:space="preserve"> function</w:t>
      </w:r>
      <w:r w:rsidR="004F4B54">
        <w:rPr>
          <w:rFonts w:cstheme="minorHAnsi"/>
          <w:color w:val="000000"/>
        </w:rPr>
        <w:t xml:space="preserve">s, providing </w:t>
      </w:r>
      <w:r w:rsidR="009734FD">
        <w:rPr>
          <w:rFonts w:cstheme="minorHAnsi"/>
          <w:color w:val="000000"/>
        </w:rPr>
        <w:t xml:space="preserve">that </w:t>
      </w:r>
      <w:r w:rsidR="004F4B54">
        <w:rPr>
          <w:rFonts w:cstheme="minorHAnsi"/>
          <w:color w:val="000000"/>
        </w:rPr>
        <w:t>this information is handled and</w:t>
      </w:r>
      <w:r w:rsidR="009734FD">
        <w:rPr>
          <w:rFonts w:cstheme="minorHAnsi"/>
          <w:color w:val="000000"/>
        </w:rPr>
        <w:t xml:space="preserve"> used in an appropriate manner</w:t>
      </w:r>
      <w:r w:rsidR="0077524C">
        <w:rPr>
          <w:rFonts w:cstheme="minorHAnsi"/>
          <w:color w:val="000000"/>
        </w:rPr>
        <w:t>.</w:t>
      </w:r>
      <w:r w:rsidR="00E16424" w:rsidRPr="00E16424">
        <w:rPr>
          <w:rFonts w:cstheme="minorHAnsi"/>
          <w:color w:val="000000"/>
        </w:rPr>
        <w:t xml:space="preserve"> </w:t>
      </w:r>
      <w:r w:rsidR="00E16424" w:rsidRPr="00CB4EA7">
        <w:rPr>
          <w:rFonts w:cstheme="minorHAnsi"/>
          <w:color w:val="000000"/>
        </w:rPr>
        <w:t xml:space="preserve">The </w:t>
      </w:r>
      <w:r w:rsidR="00E16424">
        <w:rPr>
          <w:rFonts w:cstheme="minorHAnsi"/>
          <w:color w:val="000000"/>
        </w:rPr>
        <w:t>S</w:t>
      </w:r>
      <w:r w:rsidR="00E16424" w:rsidRPr="00CB4EA7">
        <w:rPr>
          <w:rFonts w:cstheme="minorHAnsi"/>
          <w:color w:val="000000"/>
        </w:rPr>
        <w:t>ubcommittee is likely to have information from c</w:t>
      </w:r>
      <w:r w:rsidR="00E16424">
        <w:rPr>
          <w:rFonts w:cstheme="minorHAnsi"/>
          <w:color w:val="000000"/>
        </w:rPr>
        <w:t xml:space="preserve">ivil society </w:t>
      </w:r>
      <w:r w:rsidR="00E16424" w:rsidRPr="00CB4EA7">
        <w:rPr>
          <w:rFonts w:cstheme="minorHAnsi"/>
          <w:color w:val="000000"/>
        </w:rPr>
        <w:t xml:space="preserve">organisations, such as QAI, raising concerns about conditions in certain facilities and the treatment of certain individuals, </w:t>
      </w:r>
      <w:r w:rsidR="00E16424">
        <w:rPr>
          <w:rFonts w:cstheme="minorHAnsi"/>
          <w:color w:val="000000"/>
        </w:rPr>
        <w:t>with a request that the Subcommittee</w:t>
      </w:r>
      <w:r w:rsidR="00E16424" w:rsidRPr="00CB4EA7">
        <w:rPr>
          <w:rFonts w:cstheme="minorHAnsi"/>
          <w:color w:val="000000"/>
        </w:rPr>
        <w:t xml:space="preserve"> visit the</w:t>
      </w:r>
      <w:r w:rsidR="00E16424">
        <w:rPr>
          <w:rFonts w:cstheme="minorHAnsi"/>
          <w:color w:val="000000"/>
        </w:rPr>
        <w:t xml:space="preserve"> facility and detainee or,</w:t>
      </w:r>
      <w:r w:rsidR="00E16424" w:rsidRPr="00CB4EA7">
        <w:rPr>
          <w:rFonts w:cstheme="minorHAnsi"/>
          <w:color w:val="000000"/>
        </w:rPr>
        <w:t xml:space="preserve"> at the least, examine their circumstances. </w:t>
      </w:r>
      <w:r w:rsidR="00E16424">
        <w:rPr>
          <w:rFonts w:cstheme="minorHAnsi"/>
          <w:color w:val="000000"/>
        </w:rPr>
        <w:t>For</w:t>
      </w:r>
      <w:r w:rsidR="00E16424" w:rsidRPr="00CB4EA7">
        <w:rPr>
          <w:rFonts w:cstheme="minorHAnsi"/>
          <w:color w:val="000000"/>
        </w:rPr>
        <w:t xml:space="preserve"> the </w:t>
      </w:r>
      <w:r w:rsidR="00E16424">
        <w:rPr>
          <w:rFonts w:cstheme="minorHAnsi"/>
          <w:color w:val="000000"/>
        </w:rPr>
        <w:t>S</w:t>
      </w:r>
      <w:r w:rsidR="00E16424" w:rsidRPr="00CB4EA7">
        <w:rPr>
          <w:rFonts w:cstheme="minorHAnsi"/>
          <w:color w:val="000000"/>
        </w:rPr>
        <w:t>ubcommittee to use its time most effectively, it</w:t>
      </w:r>
      <w:r w:rsidR="00E16424">
        <w:rPr>
          <w:rFonts w:cstheme="minorHAnsi"/>
          <w:color w:val="000000"/>
        </w:rPr>
        <w:t xml:space="preserve"> may</w:t>
      </w:r>
      <w:r w:rsidR="00E16424" w:rsidRPr="00CB4EA7">
        <w:rPr>
          <w:rFonts w:cstheme="minorHAnsi"/>
          <w:color w:val="000000"/>
        </w:rPr>
        <w:t xml:space="preserve"> seek access </w:t>
      </w:r>
      <w:r w:rsidR="00E16424">
        <w:rPr>
          <w:rFonts w:cstheme="minorHAnsi"/>
          <w:color w:val="000000"/>
        </w:rPr>
        <w:t xml:space="preserve">to </w:t>
      </w:r>
      <w:r w:rsidR="00E16424" w:rsidRPr="00CB4EA7">
        <w:rPr>
          <w:rFonts w:cstheme="minorHAnsi"/>
          <w:color w:val="000000"/>
        </w:rPr>
        <w:t>relevant information from detaining authorities before it undertakes a visit</w:t>
      </w:r>
      <w:r w:rsidR="00E16424" w:rsidRPr="00C32692">
        <w:rPr>
          <w:rFonts w:cstheme="minorHAnsi"/>
          <w:color w:val="000000"/>
        </w:rPr>
        <w:t>. Th</w:t>
      </w:r>
      <w:r w:rsidR="00E16424">
        <w:rPr>
          <w:rFonts w:cstheme="minorHAnsi"/>
          <w:color w:val="000000"/>
        </w:rPr>
        <w:t>is information</w:t>
      </w:r>
      <w:r w:rsidR="00E16424" w:rsidRPr="00CB4EA7">
        <w:rPr>
          <w:rFonts w:cstheme="minorHAnsi"/>
          <w:color w:val="000000"/>
        </w:rPr>
        <w:t xml:space="preserve"> could help direct the focus of </w:t>
      </w:r>
      <w:r w:rsidR="00E16424">
        <w:rPr>
          <w:rFonts w:cstheme="minorHAnsi"/>
          <w:color w:val="000000"/>
        </w:rPr>
        <w:t>a</w:t>
      </w:r>
      <w:r w:rsidR="00E16424" w:rsidRPr="00CB4EA7">
        <w:rPr>
          <w:rFonts w:cstheme="minorHAnsi"/>
          <w:color w:val="000000"/>
        </w:rPr>
        <w:t xml:space="preserve"> visit, including identifying parts of the facility it might want to inspect, the questions it might want to ask of the administrators and the detainees it might want to meet with. </w:t>
      </w:r>
    </w:p>
    <w:p w14:paraId="3D827C49" w14:textId="425C08D9" w:rsidR="008B459A" w:rsidRDefault="00175E03" w:rsidP="008B206F">
      <w:pPr>
        <w:autoSpaceDE w:val="0"/>
        <w:autoSpaceDN w:val="0"/>
        <w:adjustRightInd w:val="0"/>
        <w:spacing w:after="240"/>
        <w:rPr>
          <w:rFonts w:cstheme="minorHAnsi"/>
          <w:color w:val="000000"/>
        </w:rPr>
      </w:pPr>
      <w:r>
        <w:rPr>
          <w:rFonts w:cstheme="minorHAnsi"/>
          <w:color w:val="000000"/>
        </w:rPr>
        <w:t>Secondly</w:t>
      </w:r>
      <w:r w:rsidR="006D0901" w:rsidRPr="00CB4EA7">
        <w:rPr>
          <w:rFonts w:cstheme="minorHAnsi"/>
          <w:color w:val="000000"/>
        </w:rPr>
        <w:t xml:space="preserve">, </w:t>
      </w:r>
      <w:r w:rsidR="00DD27B9">
        <w:rPr>
          <w:rFonts w:cstheme="minorHAnsi"/>
          <w:color w:val="000000"/>
        </w:rPr>
        <w:t xml:space="preserve">Clause 14 </w:t>
      </w:r>
      <w:r w:rsidR="007C3EA6">
        <w:rPr>
          <w:rFonts w:cstheme="minorHAnsi"/>
          <w:color w:val="000000"/>
        </w:rPr>
        <w:t xml:space="preserve">takes the </w:t>
      </w:r>
      <w:r w:rsidR="005131D5">
        <w:rPr>
          <w:rFonts w:cstheme="minorHAnsi"/>
          <w:color w:val="000000"/>
        </w:rPr>
        <w:t>concernin</w:t>
      </w:r>
      <w:r w:rsidR="007C3EA6">
        <w:rPr>
          <w:rFonts w:cstheme="minorHAnsi"/>
          <w:color w:val="000000"/>
        </w:rPr>
        <w:t xml:space="preserve">g step of </w:t>
      </w:r>
      <w:r w:rsidR="007307E1">
        <w:rPr>
          <w:rFonts w:cstheme="minorHAnsi"/>
          <w:color w:val="000000"/>
        </w:rPr>
        <w:t>limiting</w:t>
      </w:r>
      <w:r w:rsidR="00265E2D">
        <w:rPr>
          <w:rFonts w:cstheme="minorHAnsi"/>
          <w:color w:val="000000"/>
        </w:rPr>
        <w:t xml:space="preserve"> the Subcommittee’s access to </w:t>
      </w:r>
      <w:r w:rsidR="00FB6D91">
        <w:rPr>
          <w:rFonts w:cstheme="minorHAnsi"/>
          <w:color w:val="000000"/>
        </w:rPr>
        <w:t xml:space="preserve">identifying </w:t>
      </w:r>
      <w:r w:rsidR="00265E2D">
        <w:rPr>
          <w:rFonts w:cstheme="minorHAnsi"/>
          <w:color w:val="000000"/>
        </w:rPr>
        <w:t xml:space="preserve">information </w:t>
      </w:r>
      <w:r w:rsidR="00C6530C">
        <w:rPr>
          <w:rFonts w:cstheme="minorHAnsi"/>
          <w:color w:val="000000"/>
        </w:rPr>
        <w:t xml:space="preserve">to that </w:t>
      </w:r>
      <w:r w:rsidR="00E03E51">
        <w:rPr>
          <w:rFonts w:cstheme="minorHAnsi"/>
          <w:color w:val="000000"/>
        </w:rPr>
        <w:t>of</w:t>
      </w:r>
      <w:r w:rsidR="002C6E8B">
        <w:rPr>
          <w:rFonts w:cstheme="minorHAnsi"/>
          <w:color w:val="000000"/>
        </w:rPr>
        <w:t xml:space="preserve"> </w:t>
      </w:r>
      <w:r w:rsidR="00E03E51">
        <w:rPr>
          <w:rFonts w:cstheme="minorHAnsi"/>
          <w:color w:val="000000"/>
        </w:rPr>
        <w:t>detainees</w:t>
      </w:r>
      <w:r w:rsidR="002233DC">
        <w:rPr>
          <w:rFonts w:cstheme="minorHAnsi"/>
          <w:color w:val="000000"/>
        </w:rPr>
        <w:t xml:space="preserve"> only</w:t>
      </w:r>
      <w:r w:rsidR="00E03E51">
        <w:rPr>
          <w:rFonts w:cstheme="minorHAnsi"/>
          <w:color w:val="000000"/>
        </w:rPr>
        <w:t xml:space="preserve"> at</w:t>
      </w:r>
      <w:r w:rsidR="002233DC">
        <w:rPr>
          <w:rFonts w:cstheme="minorHAnsi"/>
          <w:color w:val="000000"/>
        </w:rPr>
        <w:t xml:space="preserve"> the</w:t>
      </w:r>
      <w:r w:rsidR="00BE113C">
        <w:rPr>
          <w:rFonts w:cstheme="minorHAnsi"/>
          <w:color w:val="000000"/>
        </w:rPr>
        <w:t xml:space="preserve"> </w:t>
      </w:r>
      <w:r w:rsidR="006D1B20">
        <w:rPr>
          <w:rFonts w:cstheme="minorHAnsi"/>
          <w:color w:val="000000"/>
        </w:rPr>
        <w:t>places of detention it</w:t>
      </w:r>
      <w:r w:rsidR="00BE113C">
        <w:rPr>
          <w:rFonts w:cstheme="minorHAnsi"/>
          <w:color w:val="000000"/>
        </w:rPr>
        <w:t xml:space="preserve"> has</w:t>
      </w:r>
      <w:r w:rsidR="00452E5B">
        <w:rPr>
          <w:rFonts w:cstheme="minorHAnsi"/>
          <w:color w:val="000000"/>
        </w:rPr>
        <w:t xml:space="preserve"> visited</w:t>
      </w:r>
      <w:r w:rsidR="00C13E09">
        <w:rPr>
          <w:rFonts w:cstheme="minorHAnsi"/>
          <w:color w:val="000000"/>
        </w:rPr>
        <w:t>, or</w:t>
      </w:r>
      <w:r w:rsidR="00452E5B">
        <w:rPr>
          <w:rFonts w:cstheme="minorHAnsi"/>
          <w:color w:val="000000"/>
        </w:rPr>
        <w:t xml:space="preserve"> </w:t>
      </w:r>
      <w:r w:rsidR="006D1B20">
        <w:rPr>
          <w:rFonts w:cstheme="minorHAnsi"/>
          <w:color w:val="000000"/>
        </w:rPr>
        <w:t>(</w:t>
      </w:r>
      <w:r w:rsidR="00452E5B">
        <w:rPr>
          <w:rFonts w:cstheme="minorHAnsi"/>
          <w:color w:val="000000"/>
        </w:rPr>
        <w:t>p</w:t>
      </w:r>
      <w:r w:rsidR="00BD17D1">
        <w:rPr>
          <w:rFonts w:cstheme="minorHAnsi"/>
          <w:color w:val="000000"/>
        </w:rPr>
        <w:t>otentially</w:t>
      </w:r>
      <w:r w:rsidR="006D1B20">
        <w:rPr>
          <w:rFonts w:cstheme="minorHAnsi"/>
          <w:color w:val="000000"/>
        </w:rPr>
        <w:t>)</w:t>
      </w:r>
      <w:r w:rsidR="00C13E09">
        <w:rPr>
          <w:rFonts w:cstheme="minorHAnsi"/>
          <w:color w:val="000000"/>
        </w:rPr>
        <w:t xml:space="preserve"> </w:t>
      </w:r>
      <w:r w:rsidR="00BD17D1">
        <w:rPr>
          <w:rFonts w:cstheme="minorHAnsi"/>
          <w:color w:val="000000"/>
        </w:rPr>
        <w:t>intends</w:t>
      </w:r>
      <w:r w:rsidR="00C13E09">
        <w:rPr>
          <w:rFonts w:cstheme="minorHAnsi"/>
          <w:color w:val="000000"/>
        </w:rPr>
        <w:t xml:space="preserve"> to visit</w:t>
      </w:r>
      <w:r w:rsidR="007C3EA6">
        <w:rPr>
          <w:rFonts w:cstheme="minorHAnsi"/>
          <w:color w:val="000000"/>
        </w:rPr>
        <w:t xml:space="preserve">. </w:t>
      </w:r>
      <w:r w:rsidR="007307E1">
        <w:rPr>
          <w:rFonts w:cstheme="minorHAnsi"/>
          <w:color w:val="000000"/>
        </w:rPr>
        <w:t>The Subcommittee’s a</w:t>
      </w:r>
      <w:r w:rsidR="00BD17D1">
        <w:rPr>
          <w:rFonts w:cstheme="minorHAnsi"/>
          <w:color w:val="000000"/>
        </w:rPr>
        <w:t>ccess to information</w:t>
      </w:r>
      <w:r w:rsidR="006965DE">
        <w:rPr>
          <w:rFonts w:cstheme="minorHAnsi"/>
          <w:color w:val="000000"/>
        </w:rPr>
        <w:t>, be it identifying or non-identifying,</w:t>
      </w:r>
      <w:r w:rsidR="00BD17D1">
        <w:rPr>
          <w:rFonts w:cstheme="minorHAnsi"/>
          <w:color w:val="000000"/>
        </w:rPr>
        <w:t xml:space="preserve"> should not be</w:t>
      </w:r>
      <w:r w:rsidR="007307E1">
        <w:rPr>
          <w:rFonts w:cstheme="minorHAnsi"/>
          <w:color w:val="000000"/>
        </w:rPr>
        <w:t xml:space="preserve"> dependent upon </w:t>
      </w:r>
      <w:r w:rsidR="00F200BF">
        <w:rPr>
          <w:rFonts w:cstheme="minorHAnsi"/>
          <w:color w:val="000000"/>
        </w:rPr>
        <w:t>it conducting a visit to th</w:t>
      </w:r>
      <w:r w:rsidR="0043014C">
        <w:rPr>
          <w:rFonts w:cstheme="minorHAnsi"/>
          <w:color w:val="000000"/>
        </w:rPr>
        <w:t>at</w:t>
      </w:r>
      <w:r w:rsidR="00F200BF">
        <w:rPr>
          <w:rFonts w:cstheme="minorHAnsi"/>
          <w:color w:val="000000"/>
        </w:rPr>
        <w:t xml:space="preserve"> place of detention</w:t>
      </w:r>
      <w:r w:rsidR="009568E5">
        <w:rPr>
          <w:rFonts w:cstheme="minorHAnsi"/>
          <w:color w:val="000000"/>
        </w:rPr>
        <w:t>. T</w:t>
      </w:r>
      <w:r w:rsidR="006965DE">
        <w:rPr>
          <w:rFonts w:cstheme="minorHAnsi"/>
          <w:color w:val="000000"/>
        </w:rPr>
        <w:t xml:space="preserve">his </w:t>
      </w:r>
      <w:r w:rsidR="009568E5">
        <w:rPr>
          <w:rFonts w:cstheme="minorHAnsi"/>
          <w:color w:val="000000"/>
        </w:rPr>
        <w:t>constitutes an</w:t>
      </w:r>
      <w:r w:rsidR="005F26AD">
        <w:rPr>
          <w:rFonts w:cstheme="minorHAnsi"/>
          <w:color w:val="000000"/>
        </w:rPr>
        <w:t xml:space="preserve"> unjustifiable curtailment of the Subcommittee’s need </w:t>
      </w:r>
      <w:r w:rsidR="006965DE">
        <w:rPr>
          <w:rFonts w:cstheme="minorHAnsi"/>
          <w:color w:val="000000"/>
        </w:rPr>
        <w:t xml:space="preserve">for </w:t>
      </w:r>
      <w:r w:rsidR="006965DE">
        <w:rPr>
          <w:rFonts w:cstheme="minorHAnsi"/>
          <w:i/>
          <w:iCs/>
          <w:color w:val="000000"/>
        </w:rPr>
        <w:t>unrestricted</w:t>
      </w:r>
      <w:r w:rsidR="006965DE">
        <w:rPr>
          <w:rFonts w:cstheme="minorHAnsi"/>
          <w:color w:val="000000"/>
        </w:rPr>
        <w:t xml:space="preserve"> access to information as required by OPCAT</w:t>
      </w:r>
      <w:r w:rsidR="00A16FC4">
        <w:rPr>
          <w:rFonts w:cstheme="minorHAnsi"/>
          <w:color w:val="000000"/>
        </w:rPr>
        <w:t xml:space="preserve">. </w:t>
      </w:r>
      <w:r w:rsidR="00F03083">
        <w:rPr>
          <w:rFonts w:cstheme="minorHAnsi"/>
          <w:color w:val="000000"/>
        </w:rPr>
        <w:t xml:space="preserve">In October 2022, the Subcommittee had a two-week period in which to visit places of detention throughout the </w:t>
      </w:r>
      <w:r w:rsidR="00F97EAC">
        <w:rPr>
          <w:rFonts w:cstheme="minorHAnsi"/>
          <w:color w:val="000000"/>
        </w:rPr>
        <w:t>entire</w:t>
      </w:r>
      <w:r w:rsidR="00F03083">
        <w:rPr>
          <w:rFonts w:cstheme="minorHAnsi"/>
          <w:color w:val="000000"/>
        </w:rPr>
        <w:t xml:space="preserve"> country. The Subcommittee, given </w:t>
      </w:r>
      <w:r w:rsidR="001912D0">
        <w:rPr>
          <w:rFonts w:cstheme="minorHAnsi"/>
          <w:color w:val="000000"/>
        </w:rPr>
        <w:t>its</w:t>
      </w:r>
      <w:r w:rsidR="00F03083">
        <w:rPr>
          <w:rFonts w:cstheme="minorHAnsi"/>
          <w:color w:val="000000"/>
        </w:rPr>
        <w:t xml:space="preserve"> time and resourcing limitations, will not be </w:t>
      </w:r>
      <w:r w:rsidR="006C3AF7">
        <w:rPr>
          <w:rFonts w:cstheme="minorHAnsi"/>
          <w:color w:val="000000"/>
        </w:rPr>
        <w:t>able</w:t>
      </w:r>
      <w:r w:rsidR="00F03083">
        <w:rPr>
          <w:rFonts w:cstheme="minorHAnsi"/>
          <w:color w:val="000000"/>
        </w:rPr>
        <w:t xml:space="preserve"> to visit all places of detention</w:t>
      </w:r>
      <w:r w:rsidR="006C3AF7">
        <w:rPr>
          <w:rFonts w:cstheme="minorHAnsi"/>
          <w:color w:val="000000"/>
        </w:rPr>
        <w:t>, including all places</w:t>
      </w:r>
      <w:r w:rsidR="00D133F3">
        <w:rPr>
          <w:rFonts w:cstheme="minorHAnsi"/>
          <w:color w:val="000000"/>
        </w:rPr>
        <w:t xml:space="preserve"> of interest</w:t>
      </w:r>
      <w:r w:rsidR="003179EB">
        <w:rPr>
          <w:rFonts w:cstheme="minorHAnsi"/>
          <w:color w:val="000000"/>
        </w:rPr>
        <w:t xml:space="preserve"> to the Subcommittee following</w:t>
      </w:r>
      <w:r w:rsidR="006C3AF7">
        <w:rPr>
          <w:rFonts w:cstheme="minorHAnsi"/>
          <w:color w:val="000000"/>
        </w:rPr>
        <w:t xml:space="preserve"> concerns raised by civil society organisations.</w:t>
      </w:r>
      <w:r w:rsidR="00F55E7E">
        <w:rPr>
          <w:rFonts w:cstheme="minorHAnsi"/>
          <w:color w:val="000000"/>
        </w:rPr>
        <w:t xml:space="preserve"> </w:t>
      </w:r>
      <w:r w:rsidR="00226A78">
        <w:rPr>
          <w:rFonts w:cstheme="minorHAnsi"/>
          <w:color w:val="000000"/>
        </w:rPr>
        <w:t>This</w:t>
      </w:r>
      <w:r w:rsidR="00451286">
        <w:rPr>
          <w:rFonts w:cstheme="minorHAnsi"/>
          <w:color w:val="000000"/>
        </w:rPr>
        <w:t xml:space="preserve"> should</w:t>
      </w:r>
      <w:r w:rsidR="00226A78">
        <w:rPr>
          <w:rFonts w:cstheme="minorHAnsi"/>
          <w:color w:val="000000"/>
        </w:rPr>
        <w:t xml:space="preserve"> not mean that the Subcommittee cannot access identifying information about detainees at</w:t>
      </w:r>
      <w:r w:rsidR="00014D8A">
        <w:rPr>
          <w:rFonts w:cstheme="minorHAnsi"/>
          <w:color w:val="000000"/>
        </w:rPr>
        <w:t xml:space="preserve"> other places of detention</w:t>
      </w:r>
      <w:r w:rsidR="00593B95">
        <w:rPr>
          <w:rFonts w:cstheme="minorHAnsi"/>
          <w:color w:val="000000"/>
        </w:rPr>
        <w:t>,</w:t>
      </w:r>
      <w:r w:rsidR="00130DEB">
        <w:rPr>
          <w:rFonts w:cstheme="minorHAnsi"/>
          <w:color w:val="000000"/>
        </w:rPr>
        <w:t xml:space="preserve"> as this information </w:t>
      </w:r>
      <w:r w:rsidR="007D4866">
        <w:rPr>
          <w:rFonts w:cstheme="minorHAnsi"/>
          <w:color w:val="000000"/>
        </w:rPr>
        <w:t>could be</w:t>
      </w:r>
      <w:r w:rsidR="00130DEB">
        <w:rPr>
          <w:rFonts w:cstheme="minorHAnsi"/>
          <w:color w:val="000000"/>
        </w:rPr>
        <w:t xml:space="preserve"> critical to</w:t>
      </w:r>
      <w:r w:rsidR="007D4866">
        <w:rPr>
          <w:rFonts w:cstheme="minorHAnsi"/>
          <w:color w:val="000000"/>
        </w:rPr>
        <w:t xml:space="preserve"> informing</w:t>
      </w:r>
      <w:r w:rsidR="00014D8A">
        <w:rPr>
          <w:rFonts w:cstheme="minorHAnsi"/>
          <w:color w:val="000000"/>
        </w:rPr>
        <w:t xml:space="preserve"> </w:t>
      </w:r>
      <w:r w:rsidR="007D4866">
        <w:rPr>
          <w:rFonts w:cstheme="minorHAnsi"/>
          <w:color w:val="000000"/>
        </w:rPr>
        <w:t>the Subcommittee’s</w:t>
      </w:r>
      <w:r w:rsidR="00014D8A">
        <w:rPr>
          <w:rFonts w:cstheme="minorHAnsi"/>
          <w:color w:val="000000"/>
        </w:rPr>
        <w:t xml:space="preserve"> deliberations </w:t>
      </w:r>
      <w:r w:rsidR="006C6EAA">
        <w:rPr>
          <w:rFonts w:cstheme="minorHAnsi"/>
          <w:color w:val="000000"/>
        </w:rPr>
        <w:t>and</w:t>
      </w:r>
      <w:r w:rsidR="00014D8A">
        <w:rPr>
          <w:rFonts w:cstheme="minorHAnsi"/>
          <w:color w:val="000000"/>
        </w:rPr>
        <w:t xml:space="preserve"> reporting on the treatment of people at those places of detention. </w:t>
      </w:r>
      <w:r w:rsidR="00AC0D57">
        <w:rPr>
          <w:rFonts w:cstheme="minorHAnsi"/>
          <w:color w:val="000000"/>
        </w:rPr>
        <w:t>F</w:t>
      </w:r>
      <w:r w:rsidR="00B01B0D">
        <w:rPr>
          <w:rFonts w:cstheme="minorHAnsi"/>
          <w:color w:val="000000"/>
        </w:rPr>
        <w:t>urther, t</w:t>
      </w:r>
      <w:r w:rsidR="00D23A0B">
        <w:rPr>
          <w:rFonts w:cstheme="minorHAnsi"/>
          <w:color w:val="000000"/>
        </w:rPr>
        <w:t>his Clause</w:t>
      </w:r>
      <w:r w:rsidR="00B01B0D">
        <w:rPr>
          <w:rFonts w:cstheme="minorHAnsi"/>
          <w:color w:val="000000"/>
        </w:rPr>
        <w:t xml:space="preserve"> could be misused by detaining authorities who</w:t>
      </w:r>
      <w:r w:rsidR="0096150D">
        <w:rPr>
          <w:rFonts w:cstheme="minorHAnsi"/>
          <w:color w:val="000000"/>
        </w:rPr>
        <w:t>, in the knowledge of a pending visit by the Subcommittee,</w:t>
      </w:r>
      <w:r w:rsidR="00B01B0D">
        <w:rPr>
          <w:rFonts w:cstheme="minorHAnsi"/>
          <w:color w:val="000000"/>
        </w:rPr>
        <w:t xml:space="preserve"> relocate </w:t>
      </w:r>
      <w:r w:rsidR="0096150D">
        <w:rPr>
          <w:rFonts w:cstheme="minorHAnsi"/>
          <w:color w:val="000000"/>
        </w:rPr>
        <w:t>certain</w:t>
      </w:r>
      <w:r w:rsidR="00B01B0D">
        <w:rPr>
          <w:rFonts w:cstheme="minorHAnsi"/>
          <w:color w:val="000000"/>
        </w:rPr>
        <w:t xml:space="preserve"> detainee</w:t>
      </w:r>
      <w:r w:rsidR="0096150D">
        <w:rPr>
          <w:rFonts w:cstheme="minorHAnsi"/>
          <w:color w:val="000000"/>
        </w:rPr>
        <w:t>s</w:t>
      </w:r>
      <w:r w:rsidR="00B01B0D">
        <w:rPr>
          <w:rFonts w:cstheme="minorHAnsi"/>
          <w:color w:val="000000"/>
        </w:rPr>
        <w:t xml:space="preserve"> to </w:t>
      </w:r>
      <w:r w:rsidR="0096150D">
        <w:rPr>
          <w:rFonts w:cstheme="minorHAnsi"/>
          <w:color w:val="000000"/>
        </w:rPr>
        <w:t>other</w:t>
      </w:r>
      <w:r w:rsidR="00B01B0D">
        <w:rPr>
          <w:rFonts w:cstheme="minorHAnsi"/>
          <w:color w:val="000000"/>
        </w:rPr>
        <w:t xml:space="preserve"> facilit</w:t>
      </w:r>
      <w:r w:rsidR="00D23A0B">
        <w:rPr>
          <w:rFonts w:cstheme="minorHAnsi"/>
          <w:color w:val="000000"/>
        </w:rPr>
        <w:t>ies</w:t>
      </w:r>
      <w:r w:rsidR="0096150D">
        <w:rPr>
          <w:rFonts w:cstheme="minorHAnsi"/>
          <w:color w:val="000000"/>
        </w:rPr>
        <w:t>, thereby preventing the Subcommittee from accessing i</w:t>
      </w:r>
      <w:r w:rsidR="007037CA">
        <w:rPr>
          <w:rFonts w:cstheme="minorHAnsi"/>
          <w:color w:val="000000"/>
        </w:rPr>
        <w:t>dentifying</w:t>
      </w:r>
      <w:r w:rsidR="0096150D">
        <w:rPr>
          <w:rFonts w:cstheme="minorHAnsi"/>
          <w:color w:val="000000"/>
        </w:rPr>
        <w:t xml:space="preserve"> information about the treatment of </w:t>
      </w:r>
      <w:r w:rsidR="00C474DB">
        <w:rPr>
          <w:rFonts w:cstheme="minorHAnsi"/>
          <w:color w:val="000000"/>
        </w:rPr>
        <w:t>those</w:t>
      </w:r>
      <w:r w:rsidR="0096150D">
        <w:rPr>
          <w:rFonts w:cstheme="minorHAnsi"/>
          <w:color w:val="000000"/>
        </w:rPr>
        <w:t xml:space="preserve"> detainees.</w:t>
      </w:r>
    </w:p>
    <w:p w14:paraId="5CDC2DF7" w14:textId="55BF80AF" w:rsidR="000C36E2" w:rsidRDefault="006D0901" w:rsidP="008B206F">
      <w:pPr>
        <w:autoSpaceDE w:val="0"/>
        <w:autoSpaceDN w:val="0"/>
        <w:adjustRightInd w:val="0"/>
        <w:spacing w:after="240"/>
        <w:rPr>
          <w:rFonts w:cstheme="minorHAnsi"/>
          <w:color w:val="000000"/>
        </w:rPr>
      </w:pPr>
      <w:r w:rsidRPr="00CB4EA7">
        <w:rPr>
          <w:rFonts w:cstheme="minorHAnsi"/>
          <w:color w:val="000000"/>
        </w:rPr>
        <w:t xml:space="preserve">The inclusion of </w:t>
      </w:r>
      <w:r w:rsidR="00D95413">
        <w:rPr>
          <w:rFonts w:cstheme="minorHAnsi"/>
          <w:color w:val="000000"/>
        </w:rPr>
        <w:t>C</w:t>
      </w:r>
      <w:r w:rsidRPr="00CB4EA7">
        <w:rPr>
          <w:rFonts w:cstheme="minorHAnsi"/>
          <w:color w:val="000000"/>
        </w:rPr>
        <w:t>lause</w:t>
      </w:r>
      <w:r w:rsidR="00D95413">
        <w:rPr>
          <w:rFonts w:cstheme="minorHAnsi"/>
          <w:color w:val="000000"/>
        </w:rPr>
        <w:t xml:space="preserve"> 14</w:t>
      </w:r>
      <w:r w:rsidRPr="00CB4EA7">
        <w:rPr>
          <w:rFonts w:cstheme="minorHAnsi"/>
          <w:color w:val="000000"/>
        </w:rPr>
        <w:t xml:space="preserve"> </w:t>
      </w:r>
      <w:r w:rsidR="00957B95">
        <w:rPr>
          <w:rFonts w:cstheme="minorHAnsi"/>
          <w:color w:val="000000"/>
        </w:rPr>
        <w:t>will</w:t>
      </w:r>
      <w:r w:rsidR="009F0C4D">
        <w:rPr>
          <w:rFonts w:cstheme="minorHAnsi"/>
          <w:color w:val="000000"/>
        </w:rPr>
        <w:t xml:space="preserve"> likely</w:t>
      </w:r>
      <w:r w:rsidR="00176CF1">
        <w:rPr>
          <w:rFonts w:cstheme="minorHAnsi"/>
          <w:color w:val="000000"/>
        </w:rPr>
        <w:t xml:space="preserve"> </w:t>
      </w:r>
      <w:r w:rsidRPr="00CB4EA7">
        <w:rPr>
          <w:rFonts w:cstheme="minorHAnsi"/>
          <w:color w:val="000000"/>
        </w:rPr>
        <w:t xml:space="preserve">have the effect of obstructing the </w:t>
      </w:r>
      <w:r w:rsidR="00D95413">
        <w:rPr>
          <w:rFonts w:cstheme="minorHAnsi"/>
          <w:color w:val="000000"/>
        </w:rPr>
        <w:t>S</w:t>
      </w:r>
      <w:r w:rsidRPr="00CB4EA7">
        <w:rPr>
          <w:rFonts w:cstheme="minorHAnsi"/>
          <w:color w:val="000000"/>
        </w:rPr>
        <w:t xml:space="preserve">ubcommittee in performing its </w:t>
      </w:r>
      <w:r w:rsidR="007F7D76">
        <w:rPr>
          <w:rFonts w:cstheme="minorHAnsi"/>
          <w:color w:val="000000"/>
        </w:rPr>
        <w:t xml:space="preserve">function </w:t>
      </w:r>
      <w:r w:rsidRPr="00CB4EA7">
        <w:rPr>
          <w:rFonts w:cstheme="minorHAnsi"/>
          <w:color w:val="000000"/>
        </w:rPr>
        <w:t>and</w:t>
      </w:r>
      <w:r w:rsidR="00FF1B7E">
        <w:rPr>
          <w:rFonts w:cstheme="minorHAnsi"/>
          <w:color w:val="000000"/>
        </w:rPr>
        <w:t xml:space="preserve"> could</w:t>
      </w:r>
      <w:r w:rsidRPr="00CB4EA7">
        <w:rPr>
          <w:rFonts w:cstheme="minorHAnsi"/>
          <w:color w:val="000000"/>
        </w:rPr>
        <w:t xml:space="preserve"> result in </w:t>
      </w:r>
      <w:r w:rsidR="00811887">
        <w:rPr>
          <w:rFonts w:cstheme="minorHAnsi"/>
          <w:color w:val="000000"/>
        </w:rPr>
        <w:t xml:space="preserve">further </w:t>
      </w:r>
      <w:r w:rsidRPr="00CB4EA7">
        <w:rPr>
          <w:rFonts w:cstheme="minorHAnsi"/>
          <w:color w:val="000000"/>
        </w:rPr>
        <w:t xml:space="preserve">international criticism of the Queensland </w:t>
      </w:r>
      <w:r w:rsidR="00811887">
        <w:rPr>
          <w:rFonts w:cstheme="minorHAnsi"/>
          <w:color w:val="000000"/>
        </w:rPr>
        <w:t xml:space="preserve">and Australian </w:t>
      </w:r>
      <w:r w:rsidRPr="00CB4EA7">
        <w:rPr>
          <w:rFonts w:cstheme="minorHAnsi"/>
          <w:color w:val="000000"/>
        </w:rPr>
        <w:t>government</w:t>
      </w:r>
      <w:r w:rsidR="00811887">
        <w:rPr>
          <w:rFonts w:cstheme="minorHAnsi"/>
          <w:color w:val="000000"/>
        </w:rPr>
        <w:t>s</w:t>
      </w:r>
      <w:r w:rsidRPr="00CB4EA7">
        <w:rPr>
          <w:rFonts w:cstheme="minorHAnsi"/>
          <w:color w:val="000000"/>
        </w:rPr>
        <w:t xml:space="preserve">. </w:t>
      </w:r>
      <w:r w:rsidR="000C36E2">
        <w:rPr>
          <w:rFonts w:cstheme="minorHAnsi"/>
          <w:color w:val="000000"/>
        </w:rPr>
        <w:t xml:space="preserve">It is not consistent with the content or spirit of OPCAT and significantly narrows the range of information the Subcommittee can access with the effect of limiting the effectiveness of its visits and capacity to identify opportunities to strengthen protections for people deprived of their liberty. </w:t>
      </w:r>
    </w:p>
    <w:p w14:paraId="27B601D0" w14:textId="31ACB744" w:rsidR="00197364" w:rsidRPr="00CB4EA7" w:rsidRDefault="00955D62" w:rsidP="008B206F">
      <w:pPr>
        <w:autoSpaceDE w:val="0"/>
        <w:autoSpaceDN w:val="0"/>
        <w:adjustRightInd w:val="0"/>
        <w:spacing w:after="240"/>
        <w:rPr>
          <w:rFonts w:cstheme="minorHAnsi"/>
          <w:color w:val="000000"/>
        </w:rPr>
      </w:pPr>
      <w:r>
        <w:rPr>
          <w:rFonts w:cstheme="minorHAnsi"/>
          <w:color w:val="000000"/>
        </w:rPr>
        <w:t>Accordingly</w:t>
      </w:r>
      <w:r w:rsidR="00D24D6C">
        <w:rPr>
          <w:rFonts w:cstheme="minorHAnsi"/>
          <w:color w:val="000000"/>
        </w:rPr>
        <w:t xml:space="preserve">, </w:t>
      </w:r>
      <w:r w:rsidR="00197364" w:rsidRPr="00CB4EA7">
        <w:rPr>
          <w:rFonts w:cstheme="minorHAnsi"/>
          <w:color w:val="000000"/>
        </w:rPr>
        <w:t xml:space="preserve">QAI objects to the inclusion of </w:t>
      </w:r>
      <w:r w:rsidR="00707576">
        <w:rPr>
          <w:rFonts w:cstheme="minorHAnsi"/>
          <w:color w:val="000000"/>
        </w:rPr>
        <w:t>C</w:t>
      </w:r>
      <w:r w:rsidR="00197364" w:rsidRPr="00CB4EA7">
        <w:rPr>
          <w:rFonts w:cstheme="minorHAnsi"/>
          <w:color w:val="000000"/>
        </w:rPr>
        <w:t xml:space="preserve">lause 14 </w:t>
      </w:r>
      <w:r w:rsidR="00161671">
        <w:rPr>
          <w:rFonts w:cstheme="minorHAnsi"/>
          <w:color w:val="000000"/>
        </w:rPr>
        <w:t>and respectfully requests the Committee recommend this Clause be removed</w:t>
      </w:r>
      <w:r w:rsidR="00197364" w:rsidRPr="00CB4EA7">
        <w:rPr>
          <w:rFonts w:cstheme="minorHAnsi"/>
          <w:color w:val="000000"/>
        </w:rPr>
        <w:t xml:space="preserve">. </w:t>
      </w:r>
    </w:p>
    <w:p w14:paraId="4EA4986B" w14:textId="477D348F" w:rsidR="00262AA8" w:rsidRDefault="00262AA8" w:rsidP="008B206F">
      <w:pPr>
        <w:pStyle w:val="Heading1"/>
        <w:spacing w:after="240"/>
      </w:pPr>
      <w:r>
        <w:t>Clause 1</w:t>
      </w:r>
      <w:r w:rsidR="00DB45E7">
        <w:t xml:space="preserve">5 – Subcommittee may retain, </w:t>
      </w:r>
      <w:r w:rsidR="00380EB8">
        <w:t>copy,</w:t>
      </w:r>
      <w:r w:rsidR="00DB45E7">
        <w:t xml:space="preserve"> or take notes of information</w:t>
      </w:r>
    </w:p>
    <w:p w14:paraId="2B330AAE" w14:textId="5FCC3702" w:rsidR="004C4CED" w:rsidRDefault="007E27A3" w:rsidP="008B206F">
      <w:pPr>
        <w:spacing w:after="240"/>
        <w:rPr>
          <w:lang w:eastAsia="en-US"/>
        </w:rPr>
      </w:pPr>
      <w:r w:rsidRPr="007E27A3">
        <w:rPr>
          <w:lang w:eastAsia="en-US"/>
        </w:rPr>
        <w:t xml:space="preserve">QAI has similar concerns about the operation of </w:t>
      </w:r>
      <w:r>
        <w:rPr>
          <w:lang w:eastAsia="en-US"/>
        </w:rPr>
        <w:t>C</w:t>
      </w:r>
      <w:r w:rsidRPr="007E27A3">
        <w:rPr>
          <w:lang w:eastAsia="en-US"/>
        </w:rPr>
        <w:t xml:space="preserve">lause 15 and its obstructive effect on the </w:t>
      </w:r>
      <w:r>
        <w:rPr>
          <w:lang w:eastAsia="en-US"/>
        </w:rPr>
        <w:t>S</w:t>
      </w:r>
      <w:r w:rsidRPr="007E27A3">
        <w:rPr>
          <w:lang w:eastAsia="en-US"/>
        </w:rPr>
        <w:t>ubcommittee's ability to perform its functions.</w:t>
      </w:r>
      <w:r w:rsidR="00765202">
        <w:rPr>
          <w:lang w:eastAsia="en-US"/>
        </w:rPr>
        <w:t xml:space="preserve"> </w:t>
      </w:r>
      <w:r w:rsidR="00CD6500">
        <w:rPr>
          <w:lang w:eastAsia="en-US"/>
        </w:rPr>
        <w:t xml:space="preserve">Clause 15(2) provides that the Subcommittee may retain, </w:t>
      </w:r>
      <w:r w:rsidR="00EE5E38">
        <w:rPr>
          <w:lang w:eastAsia="en-US"/>
        </w:rPr>
        <w:t>copy,</w:t>
      </w:r>
      <w:r w:rsidR="00CD6500">
        <w:rPr>
          <w:lang w:eastAsia="en-US"/>
        </w:rPr>
        <w:t xml:space="preserve"> or include in any notes taken identifying information about a detainee in a place of detention </w:t>
      </w:r>
      <w:r w:rsidR="00CD6500">
        <w:rPr>
          <w:i/>
          <w:iCs/>
          <w:lang w:eastAsia="en-US"/>
        </w:rPr>
        <w:t>only</w:t>
      </w:r>
      <w:r w:rsidR="00CD6500">
        <w:rPr>
          <w:lang w:eastAsia="en-US"/>
        </w:rPr>
        <w:t xml:space="preserve"> if the detainee or the</w:t>
      </w:r>
      <w:r w:rsidR="00002DAD">
        <w:rPr>
          <w:lang w:eastAsia="en-US"/>
        </w:rPr>
        <w:t xml:space="preserve"> detainee’s</w:t>
      </w:r>
      <w:r w:rsidR="00CD6500">
        <w:rPr>
          <w:lang w:eastAsia="en-US"/>
        </w:rPr>
        <w:t xml:space="preserve"> guardian consents.</w:t>
      </w:r>
      <w:r w:rsidR="00002DAD">
        <w:rPr>
          <w:lang w:eastAsia="en-US"/>
        </w:rPr>
        <w:t xml:space="preserve"> There are numerous </w:t>
      </w:r>
      <w:r w:rsidR="00A37BD8">
        <w:rPr>
          <w:lang w:eastAsia="en-US"/>
        </w:rPr>
        <w:t>difficulties</w:t>
      </w:r>
      <w:r w:rsidR="00002DAD">
        <w:rPr>
          <w:lang w:eastAsia="en-US"/>
        </w:rPr>
        <w:t xml:space="preserve"> with this </w:t>
      </w:r>
      <w:r w:rsidR="00927EF5">
        <w:rPr>
          <w:lang w:eastAsia="en-US"/>
        </w:rPr>
        <w:t>C</w:t>
      </w:r>
      <w:r w:rsidR="00002DAD">
        <w:rPr>
          <w:lang w:eastAsia="en-US"/>
        </w:rPr>
        <w:t>lause</w:t>
      </w:r>
      <w:r w:rsidR="001A3D14">
        <w:rPr>
          <w:lang w:eastAsia="en-US"/>
        </w:rPr>
        <w:t>. It</w:t>
      </w:r>
      <w:r w:rsidR="003E7998">
        <w:rPr>
          <w:lang w:eastAsia="en-US"/>
        </w:rPr>
        <w:t xml:space="preserve"> </w:t>
      </w:r>
      <w:r w:rsidR="0005290D">
        <w:rPr>
          <w:lang w:eastAsia="en-US"/>
        </w:rPr>
        <w:t>seemingly takes a simplistic</w:t>
      </w:r>
      <w:r w:rsidR="00545BA5">
        <w:rPr>
          <w:lang w:eastAsia="en-US"/>
        </w:rPr>
        <w:t xml:space="preserve">, and </w:t>
      </w:r>
      <w:r w:rsidR="007F77D6">
        <w:rPr>
          <w:lang w:eastAsia="en-US"/>
        </w:rPr>
        <w:t>potentially misguided</w:t>
      </w:r>
      <w:r w:rsidR="0044279A">
        <w:rPr>
          <w:lang w:eastAsia="en-US"/>
        </w:rPr>
        <w:t xml:space="preserve"> and misunder</w:t>
      </w:r>
      <w:r w:rsidR="00880E3F">
        <w:rPr>
          <w:lang w:eastAsia="en-US"/>
        </w:rPr>
        <w:t>stood</w:t>
      </w:r>
      <w:r w:rsidR="0005290D">
        <w:rPr>
          <w:lang w:eastAsia="en-US"/>
        </w:rPr>
        <w:t xml:space="preserve"> approach to the issue</w:t>
      </w:r>
      <w:r w:rsidR="004E4BC8">
        <w:rPr>
          <w:lang w:eastAsia="en-US"/>
        </w:rPr>
        <w:t>s</w:t>
      </w:r>
      <w:r w:rsidR="0005290D">
        <w:rPr>
          <w:lang w:eastAsia="en-US"/>
        </w:rPr>
        <w:t xml:space="preserve"> of consent </w:t>
      </w:r>
      <w:r w:rsidR="00880E3F">
        <w:rPr>
          <w:lang w:eastAsia="en-US"/>
        </w:rPr>
        <w:t xml:space="preserve">and capacity </w:t>
      </w:r>
      <w:r w:rsidR="0005290D">
        <w:rPr>
          <w:lang w:eastAsia="en-US"/>
        </w:rPr>
        <w:t>and</w:t>
      </w:r>
      <w:r w:rsidR="00823FFF">
        <w:rPr>
          <w:lang w:eastAsia="en-US"/>
        </w:rPr>
        <w:t xml:space="preserve"> </w:t>
      </w:r>
      <w:r w:rsidR="005D33E0">
        <w:rPr>
          <w:lang w:eastAsia="en-US"/>
        </w:rPr>
        <w:t xml:space="preserve">fails to </w:t>
      </w:r>
      <w:r w:rsidR="00823FFF">
        <w:rPr>
          <w:lang w:eastAsia="en-US"/>
        </w:rPr>
        <w:t xml:space="preserve">acknowledge the complex decision-support needs of many people </w:t>
      </w:r>
      <w:r w:rsidR="00874747">
        <w:rPr>
          <w:lang w:eastAsia="en-US"/>
        </w:rPr>
        <w:t xml:space="preserve">deprived of their liberty in places of detention. </w:t>
      </w:r>
    </w:p>
    <w:p w14:paraId="490559F6" w14:textId="1A5DFFA4" w:rsidR="00BB140B" w:rsidRPr="00996A2B" w:rsidRDefault="003E3DD5" w:rsidP="00996A2B">
      <w:pPr>
        <w:autoSpaceDE w:val="0"/>
        <w:autoSpaceDN w:val="0"/>
        <w:adjustRightInd w:val="0"/>
        <w:spacing w:after="240"/>
        <w:rPr>
          <w:rFonts w:cstheme="minorHAnsi"/>
          <w:color w:val="000000"/>
        </w:rPr>
      </w:pPr>
      <w:r w:rsidRPr="00CB4EA7">
        <w:rPr>
          <w:rFonts w:cstheme="minorHAnsi"/>
          <w:color w:val="000000"/>
        </w:rPr>
        <w:t xml:space="preserve">If the </w:t>
      </w:r>
      <w:r>
        <w:rPr>
          <w:rFonts w:cstheme="minorHAnsi"/>
          <w:color w:val="000000"/>
        </w:rPr>
        <w:t>Sub</w:t>
      </w:r>
      <w:r w:rsidRPr="00CB4EA7">
        <w:rPr>
          <w:rFonts w:cstheme="minorHAnsi"/>
          <w:color w:val="000000"/>
        </w:rPr>
        <w:t>committee is to write reliable and accurate report</w:t>
      </w:r>
      <w:r>
        <w:rPr>
          <w:rFonts w:cstheme="minorHAnsi"/>
          <w:color w:val="000000"/>
        </w:rPr>
        <w:t>s about its inspections under OPCAT</w:t>
      </w:r>
      <w:r w:rsidRPr="00CB4EA7">
        <w:rPr>
          <w:rFonts w:cstheme="minorHAnsi"/>
          <w:color w:val="000000"/>
        </w:rPr>
        <w:t xml:space="preserve">, especially where it may be raising concerns about individuals who are being subjected to inappropriate treatment and conditions, it </w:t>
      </w:r>
      <w:r>
        <w:rPr>
          <w:rFonts w:cstheme="minorHAnsi"/>
          <w:color w:val="000000"/>
        </w:rPr>
        <w:t xml:space="preserve">is feasible that it </w:t>
      </w:r>
      <w:r w:rsidRPr="00CB4EA7">
        <w:rPr>
          <w:rFonts w:cstheme="minorHAnsi"/>
          <w:color w:val="000000"/>
        </w:rPr>
        <w:t>will need to retain identifying information, at least for a limited time</w:t>
      </w:r>
      <w:r>
        <w:rPr>
          <w:rFonts w:cstheme="minorHAnsi"/>
          <w:color w:val="000000"/>
        </w:rPr>
        <w:t xml:space="preserve">, </w:t>
      </w:r>
      <w:proofErr w:type="gramStart"/>
      <w:r>
        <w:rPr>
          <w:rFonts w:cstheme="minorHAnsi"/>
          <w:color w:val="000000"/>
        </w:rPr>
        <w:t>in order to</w:t>
      </w:r>
      <w:proofErr w:type="gramEnd"/>
      <w:r>
        <w:rPr>
          <w:rFonts w:cstheme="minorHAnsi"/>
          <w:color w:val="000000"/>
        </w:rPr>
        <w:t xml:space="preserve"> </w:t>
      </w:r>
      <w:r w:rsidR="00823B1D">
        <w:rPr>
          <w:rFonts w:cstheme="minorHAnsi"/>
          <w:color w:val="000000"/>
        </w:rPr>
        <w:t xml:space="preserve">adequately </w:t>
      </w:r>
      <w:r>
        <w:rPr>
          <w:rFonts w:cstheme="minorHAnsi"/>
          <w:color w:val="000000"/>
        </w:rPr>
        <w:t xml:space="preserve">complete its </w:t>
      </w:r>
      <w:r>
        <w:rPr>
          <w:rFonts w:cstheme="minorHAnsi"/>
          <w:color w:val="000000"/>
        </w:rPr>
        <w:lastRenderedPageBreak/>
        <w:t>reporting functions</w:t>
      </w:r>
      <w:r w:rsidRPr="00CB4EA7">
        <w:rPr>
          <w:rFonts w:cstheme="minorHAnsi"/>
          <w:color w:val="000000"/>
        </w:rPr>
        <w:t xml:space="preserve">. </w:t>
      </w:r>
      <w:r w:rsidR="0081414A">
        <w:rPr>
          <w:rFonts w:cstheme="minorHAnsi"/>
          <w:color w:val="000000"/>
        </w:rPr>
        <w:t xml:space="preserve">QAI notes that no such </w:t>
      </w:r>
      <w:r w:rsidR="00543EBC">
        <w:rPr>
          <w:rFonts w:cstheme="minorHAnsi"/>
          <w:color w:val="000000"/>
        </w:rPr>
        <w:t xml:space="preserve">equivalent </w:t>
      </w:r>
      <w:r w:rsidR="0081414A">
        <w:rPr>
          <w:rFonts w:cstheme="minorHAnsi"/>
          <w:color w:val="000000"/>
        </w:rPr>
        <w:t>restriction is</w:t>
      </w:r>
      <w:r w:rsidR="00543EBC">
        <w:rPr>
          <w:rFonts w:cstheme="minorHAnsi"/>
          <w:color w:val="000000"/>
        </w:rPr>
        <w:t xml:space="preserve"> </w:t>
      </w:r>
      <w:r w:rsidR="00337B79">
        <w:rPr>
          <w:rFonts w:cstheme="minorHAnsi"/>
          <w:color w:val="000000"/>
        </w:rPr>
        <w:t>included in</w:t>
      </w:r>
      <w:r w:rsidR="0081414A">
        <w:rPr>
          <w:rFonts w:cstheme="minorHAnsi"/>
          <w:color w:val="000000"/>
        </w:rPr>
        <w:t xml:space="preserve"> OPCAT</w:t>
      </w:r>
      <w:r w:rsidR="00270800">
        <w:rPr>
          <w:rFonts w:cstheme="minorHAnsi"/>
          <w:color w:val="000000"/>
        </w:rPr>
        <w:t xml:space="preserve">, which instead provides limitations on the Subcommittee’s ability to </w:t>
      </w:r>
      <w:r w:rsidR="00270800" w:rsidRPr="00270800">
        <w:rPr>
          <w:rFonts w:cstheme="minorHAnsi"/>
          <w:i/>
          <w:iCs/>
          <w:color w:val="000000"/>
        </w:rPr>
        <w:t>publish</w:t>
      </w:r>
      <w:r w:rsidR="00270800">
        <w:rPr>
          <w:rFonts w:cstheme="minorHAnsi"/>
          <w:color w:val="000000"/>
        </w:rPr>
        <w:t xml:space="preserve"> identifying information</w:t>
      </w:r>
      <w:r w:rsidR="00811FDE">
        <w:rPr>
          <w:rFonts w:cstheme="minorHAnsi"/>
          <w:color w:val="000000"/>
        </w:rPr>
        <w:t>.</w:t>
      </w:r>
      <w:r w:rsidR="00270800">
        <w:rPr>
          <w:rStyle w:val="FootnoteReference"/>
          <w:rFonts w:cstheme="minorHAnsi"/>
          <w:color w:val="000000"/>
        </w:rPr>
        <w:footnoteReference w:id="13"/>
      </w:r>
    </w:p>
    <w:p w14:paraId="741A2D8A" w14:textId="2B1715D4" w:rsidR="00E0628F" w:rsidRDefault="00E832D2" w:rsidP="008B206F">
      <w:pPr>
        <w:spacing w:after="240"/>
        <w:rPr>
          <w:lang w:eastAsia="en-US"/>
        </w:rPr>
      </w:pPr>
      <w:r>
        <w:rPr>
          <w:lang w:eastAsia="en-US"/>
        </w:rPr>
        <w:t xml:space="preserve">Clause 15 is silent on the issue </w:t>
      </w:r>
      <w:r w:rsidR="000D2205">
        <w:rPr>
          <w:lang w:eastAsia="en-US"/>
        </w:rPr>
        <w:t>as to</w:t>
      </w:r>
      <w:r>
        <w:rPr>
          <w:lang w:eastAsia="en-US"/>
        </w:rPr>
        <w:t xml:space="preserve"> who would make the decision</w:t>
      </w:r>
      <w:r w:rsidR="00EF2744">
        <w:rPr>
          <w:lang w:eastAsia="en-US"/>
        </w:rPr>
        <w:t xml:space="preserve"> under Clause 15(2)(b) that a detainee does not have the</w:t>
      </w:r>
      <w:r w:rsidR="00A67CB9">
        <w:rPr>
          <w:lang w:eastAsia="en-US"/>
        </w:rPr>
        <w:t xml:space="preserve"> capacity to consent to the Subcommittee retaining </w:t>
      </w:r>
      <w:r w:rsidR="00A41A43">
        <w:rPr>
          <w:lang w:eastAsia="en-US"/>
        </w:rPr>
        <w:t xml:space="preserve">their identifying information, creating significant uncertainty. It </w:t>
      </w:r>
      <w:r w:rsidR="00337B79">
        <w:rPr>
          <w:lang w:eastAsia="en-US"/>
        </w:rPr>
        <w:t>c</w:t>
      </w:r>
      <w:r w:rsidR="00E40027">
        <w:rPr>
          <w:lang w:eastAsia="en-US"/>
        </w:rPr>
        <w:t xml:space="preserve">ould </w:t>
      </w:r>
      <w:r w:rsidR="00CE1B97">
        <w:rPr>
          <w:lang w:eastAsia="en-US"/>
        </w:rPr>
        <w:t xml:space="preserve">also </w:t>
      </w:r>
      <w:r w:rsidR="00E40027">
        <w:rPr>
          <w:lang w:eastAsia="en-US"/>
        </w:rPr>
        <w:t>be interpreted</w:t>
      </w:r>
      <w:r w:rsidR="00EF37CC">
        <w:rPr>
          <w:lang w:eastAsia="en-US"/>
        </w:rPr>
        <w:t xml:space="preserve"> as meaning</w:t>
      </w:r>
      <w:r w:rsidR="000C2848">
        <w:rPr>
          <w:lang w:eastAsia="en-US"/>
        </w:rPr>
        <w:t xml:space="preserve"> detainees will </w:t>
      </w:r>
      <w:r w:rsidR="0002439E">
        <w:rPr>
          <w:lang w:eastAsia="en-US"/>
        </w:rPr>
        <w:t xml:space="preserve">need to </w:t>
      </w:r>
      <w:r w:rsidR="000C2848">
        <w:rPr>
          <w:lang w:eastAsia="en-US"/>
        </w:rPr>
        <w:t>be individually assessed as to whether they have the capacity to conse</w:t>
      </w:r>
      <w:r w:rsidR="009C0D29">
        <w:rPr>
          <w:lang w:eastAsia="en-US"/>
        </w:rPr>
        <w:t>nt to the Subcommittee retaining their identifying information</w:t>
      </w:r>
      <w:r w:rsidR="0002439E">
        <w:rPr>
          <w:lang w:eastAsia="en-US"/>
        </w:rPr>
        <w:t xml:space="preserve">. This </w:t>
      </w:r>
      <w:r w:rsidR="00C42592">
        <w:rPr>
          <w:lang w:eastAsia="en-US"/>
        </w:rPr>
        <w:t xml:space="preserve">then </w:t>
      </w:r>
      <w:r w:rsidR="0002439E">
        <w:rPr>
          <w:lang w:eastAsia="en-US"/>
        </w:rPr>
        <w:t xml:space="preserve">raises the question </w:t>
      </w:r>
      <w:r w:rsidR="009E29D1">
        <w:rPr>
          <w:lang w:eastAsia="en-US"/>
        </w:rPr>
        <w:t>as to</w:t>
      </w:r>
      <w:r w:rsidR="0002439E">
        <w:rPr>
          <w:lang w:eastAsia="en-US"/>
        </w:rPr>
        <w:t xml:space="preserve"> who will complete th</w:t>
      </w:r>
      <w:r w:rsidR="009602A4">
        <w:rPr>
          <w:lang w:eastAsia="en-US"/>
        </w:rPr>
        <w:t>is</w:t>
      </w:r>
      <w:r w:rsidR="0002439E">
        <w:rPr>
          <w:lang w:eastAsia="en-US"/>
        </w:rPr>
        <w:t xml:space="preserve"> assessment</w:t>
      </w:r>
      <w:r w:rsidR="0031446D">
        <w:rPr>
          <w:lang w:eastAsia="en-US"/>
        </w:rPr>
        <w:t>.</w:t>
      </w:r>
      <w:r w:rsidR="0031446D" w:rsidRPr="0031446D">
        <w:rPr>
          <w:lang w:eastAsia="en-US"/>
        </w:rPr>
        <w:t xml:space="preserve"> </w:t>
      </w:r>
      <w:r w:rsidR="0031446D">
        <w:rPr>
          <w:lang w:eastAsia="en-US"/>
        </w:rPr>
        <w:t xml:space="preserve">It would be highly inappropriate and a conflict of interest if professionals employed by the place of detention are responsible for assessing </w:t>
      </w:r>
      <w:r w:rsidR="00AF23CE">
        <w:rPr>
          <w:lang w:eastAsia="en-US"/>
        </w:rPr>
        <w:t xml:space="preserve">and/or deciding </w:t>
      </w:r>
      <w:r w:rsidR="0031446D">
        <w:rPr>
          <w:lang w:eastAsia="en-US"/>
        </w:rPr>
        <w:t xml:space="preserve">whether a detainee has capacity to consent to the Subcommittee retaining their identifying information. </w:t>
      </w:r>
    </w:p>
    <w:p w14:paraId="3C611BAF" w14:textId="49079002" w:rsidR="000E748A" w:rsidRDefault="003E51B1" w:rsidP="008B206F">
      <w:pPr>
        <w:spacing w:after="240"/>
        <w:rPr>
          <w:lang w:eastAsia="en-US"/>
        </w:rPr>
      </w:pPr>
      <w:r>
        <w:rPr>
          <w:lang w:eastAsia="en-US"/>
        </w:rPr>
        <w:t>T</w:t>
      </w:r>
      <w:r w:rsidR="004107EE" w:rsidRPr="004107EE">
        <w:rPr>
          <w:lang w:eastAsia="en-US"/>
        </w:rPr>
        <w:t>here are</w:t>
      </w:r>
      <w:r w:rsidR="00BF5524">
        <w:rPr>
          <w:lang w:eastAsia="en-US"/>
        </w:rPr>
        <w:t xml:space="preserve"> complex</w:t>
      </w:r>
      <w:r w:rsidR="004107EE" w:rsidRPr="004107EE">
        <w:rPr>
          <w:lang w:eastAsia="en-US"/>
        </w:rPr>
        <w:t xml:space="preserve"> legal considerations in terms of whether a person has capacity. There are also different tests for capacity in relation to criminal responsibility, capacity under the </w:t>
      </w:r>
      <w:r w:rsidR="004107EE" w:rsidRPr="00A118BF">
        <w:rPr>
          <w:i/>
          <w:iCs/>
          <w:lang w:eastAsia="en-US"/>
        </w:rPr>
        <w:t>Mental Health Act 2016</w:t>
      </w:r>
      <w:r w:rsidR="004107EE" w:rsidRPr="004107EE">
        <w:rPr>
          <w:lang w:eastAsia="en-US"/>
        </w:rPr>
        <w:t xml:space="preserve"> </w:t>
      </w:r>
      <w:r w:rsidR="00A118BF">
        <w:rPr>
          <w:lang w:eastAsia="en-US"/>
        </w:rPr>
        <w:t xml:space="preserve">(Qld) </w:t>
      </w:r>
      <w:r w:rsidR="004107EE" w:rsidRPr="004107EE">
        <w:rPr>
          <w:lang w:eastAsia="en-US"/>
        </w:rPr>
        <w:t>and a person’s civil legal capacity for personal and financial decision-making</w:t>
      </w:r>
      <w:r w:rsidR="003302ED">
        <w:rPr>
          <w:lang w:eastAsia="en-US"/>
        </w:rPr>
        <w:t xml:space="preserve"> under the </w:t>
      </w:r>
      <w:r w:rsidR="003302ED">
        <w:rPr>
          <w:i/>
          <w:iCs/>
          <w:lang w:eastAsia="en-US"/>
        </w:rPr>
        <w:t xml:space="preserve">Guardianship and Administration Act 2000 </w:t>
      </w:r>
      <w:r w:rsidR="003302ED">
        <w:rPr>
          <w:lang w:eastAsia="en-US"/>
        </w:rPr>
        <w:t>(Qld)</w:t>
      </w:r>
      <w:r w:rsidR="00B96F3B">
        <w:rPr>
          <w:lang w:eastAsia="en-US"/>
        </w:rPr>
        <w:t>, the latter of which relates to the appointment of guardians for adults</w:t>
      </w:r>
      <w:r w:rsidR="004107EE" w:rsidRPr="004107EE">
        <w:rPr>
          <w:lang w:eastAsia="en-US"/>
        </w:rPr>
        <w:t xml:space="preserve">. </w:t>
      </w:r>
      <w:r w:rsidR="00A118BF">
        <w:rPr>
          <w:lang w:eastAsia="en-US"/>
        </w:rPr>
        <w:t>C</w:t>
      </w:r>
      <w:r w:rsidR="004107EE" w:rsidRPr="004107EE">
        <w:rPr>
          <w:lang w:eastAsia="en-US"/>
        </w:rPr>
        <w:t>apacity is</w:t>
      </w:r>
      <w:r w:rsidR="00A118BF">
        <w:rPr>
          <w:lang w:eastAsia="en-US"/>
        </w:rPr>
        <w:t xml:space="preserve"> also</w:t>
      </w:r>
      <w:r w:rsidR="004107EE" w:rsidRPr="004107EE">
        <w:rPr>
          <w:lang w:eastAsia="en-US"/>
        </w:rPr>
        <w:t xml:space="preserve"> time and decision</w:t>
      </w:r>
      <w:r w:rsidR="00A118BF">
        <w:rPr>
          <w:lang w:eastAsia="en-US"/>
        </w:rPr>
        <w:t xml:space="preserve"> </w:t>
      </w:r>
      <w:r w:rsidR="004107EE" w:rsidRPr="004107EE">
        <w:rPr>
          <w:lang w:eastAsia="en-US"/>
        </w:rPr>
        <w:t xml:space="preserve">specific, meaning that a person’s capacity can fluctuate from time to </w:t>
      </w:r>
      <w:r w:rsidR="00215BDF" w:rsidRPr="004107EE">
        <w:rPr>
          <w:lang w:eastAsia="en-US"/>
        </w:rPr>
        <w:t>time,</w:t>
      </w:r>
      <w:r w:rsidR="004107EE" w:rsidRPr="004107EE">
        <w:rPr>
          <w:lang w:eastAsia="en-US"/>
        </w:rPr>
        <w:t xml:space="preserve"> and they may have capacity for one type of decision but not have capacity for another.</w:t>
      </w:r>
      <w:r w:rsidR="006072CE">
        <w:rPr>
          <w:lang w:eastAsia="en-US"/>
        </w:rPr>
        <w:t xml:space="preserve"> </w:t>
      </w:r>
      <w:r w:rsidR="0093170B">
        <w:rPr>
          <w:lang w:eastAsia="en-US"/>
        </w:rPr>
        <w:t xml:space="preserve">Accordingly, the fact that a person is detained under the </w:t>
      </w:r>
      <w:r w:rsidR="0093170B" w:rsidRPr="0093170B">
        <w:rPr>
          <w:i/>
          <w:iCs/>
          <w:lang w:eastAsia="en-US"/>
        </w:rPr>
        <w:t>Mental Health Act 2016</w:t>
      </w:r>
      <w:r w:rsidR="0093170B">
        <w:rPr>
          <w:lang w:eastAsia="en-US"/>
        </w:rPr>
        <w:t xml:space="preserve"> (Qld), for example, does not mean that they</w:t>
      </w:r>
      <w:r w:rsidR="00F513A5">
        <w:rPr>
          <w:lang w:eastAsia="en-US"/>
        </w:rPr>
        <w:t xml:space="preserve"> will be unable to consent to the Subcommittee </w:t>
      </w:r>
      <w:r w:rsidR="006072CE">
        <w:rPr>
          <w:lang w:eastAsia="en-US"/>
        </w:rPr>
        <w:t>retaining their identifying information.</w:t>
      </w:r>
      <w:r w:rsidR="006D5EEA">
        <w:rPr>
          <w:lang w:eastAsia="en-US"/>
        </w:rPr>
        <w:t xml:space="preserve"> Acknowledging th</w:t>
      </w:r>
      <w:r w:rsidR="00E4253E">
        <w:rPr>
          <w:lang w:eastAsia="en-US"/>
        </w:rPr>
        <w:t xml:space="preserve">e nuances of capacity, the </w:t>
      </w:r>
      <w:r w:rsidR="00E4253E">
        <w:rPr>
          <w:i/>
          <w:iCs/>
          <w:lang w:eastAsia="en-US"/>
        </w:rPr>
        <w:t xml:space="preserve">Guardianship and Administration Act 2000 </w:t>
      </w:r>
      <w:r w:rsidR="00E4253E">
        <w:rPr>
          <w:lang w:eastAsia="en-US"/>
        </w:rPr>
        <w:t xml:space="preserve">(Qld) </w:t>
      </w:r>
      <w:r w:rsidR="001034E3">
        <w:rPr>
          <w:lang w:eastAsia="en-US"/>
        </w:rPr>
        <w:t xml:space="preserve">allows for the appointment of </w:t>
      </w:r>
      <w:r w:rsidR="00231BD3">
        <w:rPr>
          <w:lang w:eastAsia="en-US"/>
        </w:rPr>
        <w:t>a guardian for</w:t>
      </w:r>
      <w:r w:rsidR="0021692F">
        <w:rPr>
          <w:lang w:eastAsia="en-US"/>
        </w:rPr>
        <w:t xml:space="preserve"> </w:t>
      </w:r>
      <w:r w:rsidR="007F709D">
        <w:rPr>
          <w:lang w:eastAsia="en-US"/>
        </w:rPr>
        <w:t>“</w:t>
      </w:r>
      <w:r w:rsidR="007531EE">
        <w:rPr>
          <w:lang w:eastAsia="en-US"/>
        </w:rPr>
        <w:t xml:space="preserve">a </w:t>
      </w:r>
      <w:r w:rsidR="007F709D">
        <w:rPr>
          <w:lang w:eastAsia="en-US"/>
        </w:rPr>
        <w:t>personal matter</w:t>
      </w:r>
      <w:r w:rsidR="00170D0C">
        <w:rPr>
          <w:lang w:eastAsia="en-US"/>
        </w:rPr>
        <w:t>”</w:t>
      </w:r>
      <w:r w:rsidR="00F735D1">
        <w:rPr>
          <w:lang w:eastAsia="en-US"/>
        </w:rPr>
        <w:t>,</w:t>
      </w:r>
      <w:r w:rsidR="00734329">
        <w:rPr>
          <w:rStyle w:val="FootnoteReference"/>
          <w:lang w:eastAsia="en-US"/>
        </w:rPr>
        <w:footnoteReference w:id="14"/>
      </w:r>
      <w:r w:rsidR="00F735D1">
        <w:rPr>
          <w:lang w:eastAsia="en-US"/>
        </w:rPr>
        <w:t xml:space="preserve"> which </w:t>
      </w:r>
      <w:r w:rsidR="00091888">
        <w:rPr>
          <w:lang w:eastAsia="en-US"/>
        </w:rPr>
        <w:t>is</w:t>
      </w:r>
      <w:r w:rsidR="00A4192A">
        <w:rPr>
          <w:lang w:eastAsia="en-US"/>
        </w:rPr>
        <w:t xml:space="preserve"> defined by </w:t>
      </w:r>
      <w:r w:rsidR="00513E4A">
        <w:rPr>
          <w:lang w:eastAsia="en-US"/>
        </w:rPr>
        <w:t>the Act</w:t>
      </w:r>
      <w:r w:rsidR="00091888">
        <w:rPr>
          <w:lang w:eastAsia="en-US"/>
        </w:rPr>
        <w:t xml:space="preserve"> to include individual </w:t>
      </w:r>
      <w:r w:rsidR="003F7F37">
        <w:rPr>
          <w:lang w:eastAsia="en-US"/>
        </w:rPr>
        <w:t>“matters”</w:t>
      </w:r>
      <w:r w:rsidR="00513E4A">
        <w:rPr>
          <w:lang w:eastAsia="en-US"/>
        </w:rPr>
        <w:t>.</w:t>
      </w:r>
      <w:r w:rsidR="00F415CD">
        <w:rPr>
          <w:rStyle w:val="FootnoteReference"/>
          <w:lang w:eastAsia="en-US"/>
        </w:rPr>
        <w:footnoteReference w:id="15"/>
      </w:r>
      <w:r w:rsidR="00513E4A">
        <w:rPr>
          <w:lang w:eastAsia="en-US"/>
        </w:rPr>
        <w:t xml:space="preserve"> </w:t>
      </w:r>
      <w:r w:rsidR="00BE4A18">
        <w:rPr>
          <w:lang w:eastAsia="en-US"/>
        </w:rPr>
        <w:t xml:space="preserve">For example, the Act </w:t>
      </w:r>
      <w:r w:rsidR="00112B61">
        <w:rPr>
          <w:lang w:eastAsia="en-US"/>
        </w:rPr>
        <w:t xml:space="preserve">provides that </w:t>
      </w:r>
      <w:r w:rsidR="007A7EEB">
        <w:rPr>
          <w:lang w:eastAsia="en-US"/>
        </w:rPr>
        <w:t>a “personal matter” includes “day-to-day issues</w:t>
      </w:r>
      <w:r w:rsidR="00E34A81">
        <w:rPr>
          <w:lang w:eastAsia="en-US"/>
        </w:rPr>
        <w:t>”</w:t>
      </w:r>
      <w:r w:rsidR="00EB4DF3">
        <w:rPr>
          <w:lang w:eastAsia="en-US"/>
        </w:rPr>
        <w:t>, “who may have access visits, or other contact with, the adult”, and “</w:t>
      </w:r>
      <w:r w:rsidR="008F6AA8">
        <w:rPr>
          <w:lang w:eastAsia="en-US"/>
        </w:rPr>
        <w:t>a legal matter</w:t>
      </w:r>
      <w:r w:rsidR="00413775">
        <w:rPr>
          <w:lang w:eastAsia="en-US"/>
        </w:rPr>
        <w:t xml:space="preserve"> not relating to the adult’s financial or property matter”.</w:t>
      </w:r>
      <w:r w:rsidR="00267BE9">
        <w:rPr>
          <w:rStyle w:val="FootnoteReference"/>
          <w:lang w:eastAsia="en-US"/>
        </w:rPr>
        <w:footnoteReference w:id="16"/>
      </w:r>
      <w:r w:rsidR="00413775">
        <w:rPr>
          <w:lang w:eastAsia="en-US"/>
        </w:rPr>
        <w:t xml:space="preserve"> </w:t>
      </w:r>
      <w:r w:rsidR="00E34A81">
        <w:rPr>
          <w:lang w:eastAsia="en-US"/>
        </w:rPr>
        <w:t xml:space="preserve"> </w:t>
      </w:r>
      <w:r w:rsidR="008C36B5">
        <w:rPr>
          <w:lang w:eastAsia="en-US"/>
        </w:rPr>
        <w:t xml:space="preserve">It is difficult to </w:t>
      </w:r>
      <w:r w:rsidR="003406EF">
        <w:rPr>
          <w:lang w:eastAsia="en-US"/>
        </w:rPr>
        <w:t xml:space="preserve">envision </w:t>
      </w:r>
      <w:r w:rsidR="00B903D8">
        <w:rPr>
          <w:lang w:eastAsia="en-US"/>
        </w:rPr>
        <w:t xml:space="preserve">the </w:t>
      </w:r>
      <w:r w:rsidR="000E7CA2">
        <w:rPr>
          <w:lang w:eastAsia="en-US"/>
        </w:rPr>
        <w:t xml:space="preserve">type of </w:t>
      </w:r>
      <w:r w:rsidR="00B903D8">
        <w:rPr>
          <w:lang w:eastAsia="en-US"/>
        </w:rPr>
        <w:t xml:space="preserve">“personal matter” </w:t>
      </w:r>
      <w:r w:rsidR="00033D7E">
        <w:rPr>
          <w:lang w:eastAsia="en-US"/>
        </w:rPr>
        <w:t>th</w:t>
      </w:r>
      <w:r w:rsidR="00617040">
        <w:rPr>
          <w:lang w:eastAsia="en-US"/>
        </w:rPr>
        <w:t xml:space="preserve">is </w:t>
      </w:r>
      <w:r w:rsidR="005D1DF4">
        <w:rPr>
          <w:lang w:eastAsia="en-US"/>
        </w:rPr>
        <w:t xml:space="preserve">type of consent would </w:t>
      </w:r>
      <w:r w:rsidR="0026287A">
        <w:rPr>
          <w:lang w:eastAsia="en-US"/>
        </w:rPr>
        <w:t>be classified as</w:t>
      </w:r>
      <w:r w:rsidR="001562CF">
        <w:rPr>
          <w:lang w:eastAsia="en-US"/>
        </w:rPr>
        <w:t xml:space="preserve"> and</w:t>
      </w:r>
      <w:r w:rsidR="0026287A">
        <w:rPr>
          <w:lang w:eastAsia="en-US"/>
        </w:rPr>
        <w:t xml:space="preserve"> </w:t>
      </w:r>
      <w:r w:rsidR="00336BF1">
        <w:rPr>
          <w:lang w:eastAsia="en-US"/>
        </w:rPr>
        <w:t>the Clause</w:t>
      </w:r>
      <w:r w:rsidR="00617040">
        <w:rPr>
          <w:lang w:eastAsia="en-US"/>
        </w:rPr>
        <w:t xml:space="preserve"> seemingly</w:t>
      </w:r>
      <w:r w:rsidR="00336BF1">
        <w:rPr>
          <w:lang w:eastAsia="en-US"/>
        </w:rPr>
        <w:t xml:space="preserve"> require</w:t>
      </w:r>
      <w:r w:rsidR="00617040">
        <w:rPr>
          <w:lang w:eastAsia="en-US"/>
        </w:rPr>
        <w:t>s</w:t>
      </w:r>
      <w:r w:rsidR="00336BF1">
        <w:rPr>
          <w:lang w:eastAsia="en-US"/>
        </w:rPr>
        <w:t xml:space="preserve"> the </w:t>
      </w:r>
      <w:r w:rsidR="002D1B8B">
        <w:rPr>
          <w:lang w:eastAsia="en-US"/>
        </w:rPr>
        <w:t xml:space="preserve">person </w:t>
      </w:r>
      <w:r w:rsidR="00DC780B">
        <w:rPr>
          <w:lang w:eastAsia="en-US"/>
        </w:rPr>
        <w:t>to have</w:t>
      </w:r>
      <w:r w:rsidR="002D1B8B">
        <w:rPr>
          <w:lang w:eastAsia="en-US"/>
        </w:rPr>
        <w:t xml:space="preserve"> a guardian appointed for that particular </w:t>
      </w:r>
      <w:r w:rsidR="00EC5F1D">
        <w:rPr>
          <w:lang w:eastAsia="en-US"/>
        </w:rPr>
        <w:t>“</w:t>
      </w:r>
      <w:r w:rsidR="002D1B8B">
        <w:rPr>
          <w:lang w:eastAsia="en-US"/>
        </w:rPr>
        <w:t>personal matter</w:t>
      </w:r>
      <w:r w:rsidR="00EC5F1D">
        <w:rPr>
          <w:lang w:eastAsia="en-US"/>
        </w:rPr>
        <w:t>”</w:t>
      </w:r>
      <w:r w:rsidR="00B84340">
        <w:rPr>
          <w:lang w:eastAsia="en-US"/>
        </w:rPr>
        <w:t xml:space="preserve"> in place.</w:t>
      </w:r>
      <w:r w:rsidR="002D1B8B">
        <w:rPr>
          <w:lang w:eastAsia="en-US"/>
        </w:rPr>
        <w:t xml:space="preserve"> </w:t>
      </w:r>
    </w:p>
    <w:p w14:paraId="203507E7" w14:textId="77777777" w:rsidR="003A703E" w:rsidRDefault="003E51B1" w:rsidP="008B206F">
      <w:pPr>
        <w:spacing w:after="240"/>
        <w:rPr>
          <w:lang w:eastAsia="en-US"/>
        </w:rPr>
      </w:pPr>
      <w:r>
        <w:rPr>
          <w:lang w:eastAsia="en-US"/>
        </w:rPr>
        <w:t>The drafting of Clause 15</w:t>
      </w:r>
      <w:r w:rsidR="0007591C">
        <w:rPr>
          <w:lang w:eastAsia="en-US"/>
        </w:rPr>
        <w:t>,</w:t>
      </w:r>
      <w:r>
        <w:rPr>
          <w:lang w:eastAsia="en-US"/>
        </w:rPr>
        <w:t xml:space="preserve"> </w:t>
      </w:r>
      <w:r w:rsidR="00DA64AC">
        <w:rPr>
          <w:lang w:eastAsia="en-US"/>
        </w:rPr>
        <w:t>and the Bill more generally</w:t>
      </w:r>
      <w:r w:rsidR="00675915">
        <w:rPr>
          <w:lang w:eastAsia="en-US"/>
        </w:rPr>
        <w:t>,</w:t>
      </w:r>
      <w:r w:rsidR="00DA64AC">
        <w:rPr>
          <w:lang w:eastAsia="en-US"/>
        </w:rPr>
        <w:t xml:space="preserve"> </w:t>
      </w:r>
      <w:r>
        <w:rPr>
          <w:lang w:eastAsia="en-US"/>
        </w:rPr>
        <w:t>also overlooks the need to ensure people who are detained have access to the support they may require to exercise their capacity to consent on an equal basis with others.</w:t>
      </w:r>
      <w:r>
        <w:rPr>
          <w:rStyle w:val="FootnoteReference"/>
          <w:lang w:eastAsia="en-US"/>
        </w:rPr>
        <w:footnoteReference w:id="17"/>
      </w:r>
      <w:r>
        <w:rPr>
          <w:lang w:eastAsia="en-US"/>
        </w:rPr>
        <w:t xml:space="preserve"> In other words, detainees must be afforded their right to supported decision-making under Article 12 of the Convention of the Rights of Persons with Disabilities (CRPD) and Section 15 of the </w:t>
      </w:r>
      <w:r w:rsidRPr="009A4E9F">
        <w:rPr>
          <w:i/>
          <w:iCs/>
          <w:lang w:eastAsia="en-US"/>
        </w:rPr>
        <w:t>Human Right Act 2019</w:t>
      </w:r>
      <w:r>
        <w:rPr>
          <w:lang w:eastAsia="en-US"/>
        </w:rPr>
        <w:t xml:space="preserve"> (Qld) which provides for the right to equality before the law.</w:t>
      </w:r>
      <w:r>
        <w:rPr>
          <w:rStyle w:val="FootnoteReference"/>
          <w:lang w:eastAsia="en-US"/>
        </w:rPr>
        <w:footnoteReference w:id="18"/>
      </w:r>
      <w:r>
        <w:rPr>
          <w:lang w:eastAsia="en-US"/>
        </w:rPr>
        <w:t xml:space="preserve"> </w:t>
      </w:r>
      <w:r w:rsidR="00AC3970">
        <w:rPr>
          <w:lang w:eastAsia="en-US"/>
        </w:rPr>
        <w:t xml:space="preserve">Provisions for supported decision-making </w:t>
      </w:r>
      <w:r w:rsidR="00230FAE">
        <w:rPr>
          <w:lang w:eastAsia="en-US"/>
        </w:rPr>
        <w:t>would allow detainees t</w:t>
      </w:r>
      <w:r w:rsidR="00137781">
        <w:rPr>
          <w:lang w:eastAsia="en-US"/>
        </w:rPr>
        <w:t>o access the appropriate support</w:t>
      </w:r>
      <w:r>
        <w:rPr>
          <w:lang w:eastAsia="en-US"/>
        </w:rPr>
        <w:t xml:space="preserve"> necessary to facilitate their consent</w:t>
      </w:r>
      <w:r w:rsidR="00BD7290">
        <w:rPr>
          <w:lang w:eastAsia="en-US"/>
        </w:rPr>
        <w:t>ing</w:t>
      </w:r>
      <w:r>
        <w:rPr>
          <w:lang w:eastAsia="en-US"/>
        </w:rPr>
        <w:t xml:space="preserve"> to</w:t>
      </w:r>
      <w:r w:rsidR="00554181">
        <w:rPr>
          <w:lang w:eastAsia="en-US"/>
        </w:rPr>
        <w:t xml:space="preserve"> engagement with </w:t>
      </w:r>
      <w:r>
        <w:rPr>
          <w:lang w:eastAsia="en-US"/>
        </w:rPr>
        <w:t>the Subcommittee</w:t>
      </w:r>
      <w:r w:rsidR="00554181">
        <w:rPr>
          <w:lang w:eastAsia="en-US"/>
        </w:rPr>
        <w:t>’s visit</w:t>
      </w:r>
      <w:r w:rsidR="00473E2F">
        <w:rPr>
          <w:lang w:eastAsia="en-US"/>
        </w:rPr>
        <w:t>, including whether to participate in an interview,</w:t>
      </w:r>
      <w:r>
        <w:rPr>
          <w:lang w:eastAsia="en-US"/>
        </w:rPr>
        <w:t xml:space="preserve"> and remove </w:t>
      </w:r>
      <w:r w:rsidR="00866458">
        <w:rPr>
          <w:lang w:eastAsia="en-US"/>
        </w:rPr>
        <w:t>any</w:t>
      </w:r>
      <w:r>
        <w:rPr>
          <w:lang w:eastAsia="en-US"/>
        </w:rPr>
        <w:t xml:space="preserve"> requirement </w:t>
      </w:r>
      <w:r w:rsidR="00866458">
        <w:rPr>
          <w:lang w:eastAsia="en-US"/>
        </w:rPr>
        <w:t>of</w:t>
      </w:r>
      <w:r>
        <w:rPr>
          <w:lang w:eastAsia="en-US"/>
        </w:rPr>
        <w:t xml:space="preserve"> consent from a guardian.</w:t>
      </w:r>
      <w:r w:rsidR="003F0F27">
        <w:rPr>
          <w:lang w:eastAsia="en-US"/>
        </w:rPr>
        <w:t xml:space="preserve"> </w:t>
      </w:r>
    </w:p>
    <w:p w14:paraId="4B39A3CF" w14:textId="7E446073" w:rsidR="0080539B" w:rsidRDefault="00F43741" w:rsidP="008B206F">
      <w:pPr>
        <w:spacing w:after="240"/>
        <w:rPr>
          <w:lang w:eastAsia="en-US"/>
        </w:rPr>
      </w:pPr>
      <w:r>
        <w:rPr>
          <w:lang w:eastAsia="en-US"/>
        </w:rPr>
        <w:t>Nevertheless, t</w:t>
      </w:r>
      <w:r w:rsidR="002C11AC">
        <w:rPr>
          <w:lang w:eastAsia="en-US"/>
        </w:rPr>
        <w:t>h</w:t>
      </w:r>
      <w:r w:rsidR="003B4311">
        <w:rPr>
          <w:lang w:eastAsia="en-US"/>
        </w:rPr>
        <w:t xml:space="preserve">ere is likely to be </w:t>
      </w:r>
      <w:r w:rsidR="002265C6">
        <w:rPr>
          <w:lang w:eastAsia="en-US"/>
        </w:rPr>
        <w:t>many</w:t>
      </w:r>
      <w:r w:rsidR="003B4311">
        <w:rPr>
          <w:lang w:eastAsia="en-US"/>
        </w:rPr>
        <w:t xml:space="preserve"> </w:t>
      </w:r>
      <w:r w:rsidR="003A15C0">
        <w:rPr>
          <w:lang w:eastAsia="en-US"/>
        </w:rPr>
        <w:t>people</w:t>
      </w:r>
      <w:r w:rsidR="003B4311">
        <w:rPr>
          <w:lang w:eastAsia="en-US"/>
        </w:rPr>
        <w:t xml:space="preserve"> in places of detention in Queensland who</w:t>
      </w:r>
      <w:r w:rsidR="0056213C">
        <w:rPr>
          <w:lang w:eastAsia="en-US"/>
        </w:rPr>
        <w:t xml:space="preserve"> may</w:t>
      </w:r>
      <w:r w:rsidR="003B4311">
        <w:rPr>
          <w:lang w:eastAsia="en-US"/>
        </w:rPr>
        <w:t xml:space="preserve"> have impaired decision-making capacity</w:t>
      </w:r>
      <w:r w:rsidR="008B24F9">
        <w:rPr>
          <w:lang w:eastAsia="en-US"/>
        </w:rPr>
        <w:t>, at least</w:t>
      </w:r>
      <w:r w:rsidR="00BE40DB">
        <w:rPr>
          <w:lang w:eastAsia="en-US"/>
        </w:rPr>
        <w:t xml:space="preserve"> to some degree</w:t>
      </w:r>
      <w:r w:rsidR="00F82457">
        <w:rPr>
          <w:lang w:eastAsia="en-US"/>
        </w:rPr>
        <w:t>, that could potential</w:t>
      </w:r>
      <w:r w:rsidR="006B322D">
        <w:rPr>
          <w:lang w:eastAsia="en-US"/>
        </w:rPr>
        <w:t>ly</w:t>
      </w:r>
      <w:r w:rsidR="00F82457">
        <w:rPr>
          <w:lang w:eastAsia="en-US"/>
        </w:rPr>
        <w:t xml:space="preserve"> impact their capacity to consent for the purposes of Clause 15</w:t>
      </w:r>
      <w:r w:rsidR="00BE40DB">
        <w:rPr>
          <w:lang w:eastAsia="en-US"/>
        </w:rPr>
        <w:t>.</w:t>
      </w:r>
      <w:r w:rsidR="003663A6">
        <w:rPr>
          <w:lang w:eastAsia="en-US"/>
        </w:rPr>
        <w:t xml:space="preserve"> </w:t>
      </w:r>
      <w:r w:rsidR="006421F0">
        <w:rPr>
          <w:lang w:eastAsia="en-US"/>
        </w:rPr>
        <w:t xml:space="preserve">People’s capacity can also deteriorate as a direct result of their detention. </w:t>
      </w:r>
      <w:r w:rsidR="000C4B27">
        <w:rPr>
          <w:lang w:eastAsia="en-US"/>
        </w:rPr>
        <w:t xml:space="preserve">QAI </w:t>
      </w:r>
      <w:r w:rsidR="002D5691">
        <w:rPr>
          <w:lang w:eastAsia="en-US"/>
        </w:rPr>
        <w:t>recalls the case of a detaine</w:t>
      </w:r>
      <w:r w:rsidR="0080539B">
        <w:rPr>
          <w:lang w:eastAsia="en-US"/>
        </w:rPr>
        <w:t>e in an authorised mental health service</w:t>
      </w:r>
      <w:r w:rsidR="000532EE">
        <w:rPr>
          <w:lang w:eastAsia="en-US"/>
        </w:rPr>
        <w:t xml:space="preserve"> who was subjected to</w:t>
      </w:r>
      <w:r w:rsidR="004812D9">
        <w:rPr>
          <w:lang w:eastAsia="en-US"/>
        </w:rPr>
        <w:t xml:space="preserve"> </w:t>
      </w:r>
      <w:r w:rsidR="00CC4741">
        <w:rPr>
          <w:lang w:eastAsia="en-US"/>
        </w:rPr>
        <w:t xml:space="preserve">an eight-month regime of seclusion and </w:t>
      </w:r>
      <w:r w:rsidR="004812D9">
        <w:rPr>
          <w:lang w:eastAsia="en-US"/>
        </w:rPr>
        <w:t>twice-weekly electroconvulsive therapy (ECT)</w:t>
      </w:r>
      <w:r w:rsidR="00CC4741">
        <w:rPr>
          <w:lang w:eastAsia="en-US"/>
        </w:rPr>
        <w:t>.</w:t>
      </w:r>
      <w:r w:rsidR="00990F98">
        <w:rPr>
          <w:rStyle w:val="FootnoteReference"/>
          <w:lang w:eastAsia="en-US"/>
        </w:rPr>
        <w:footnoteReference w:id="19"/>
      </w:r>
      <w:r w:rsidR="00132767">
        <w:rPr>
          <w:lang w:eastAsia="en-US"/>
        </w:rPr>
        <w:t xml:space="preserve"> The detrimental impact of ECT on a person’s cognitive function</w:t>
      </w:r>
      <w:r w:rsidR="0012402A">
        <w:rPr>
          <w:lang w:eastAsia="en-US"/>
        </w:rPr>
        <w:t xml:space="preserve"> is well recognised, with the </w:t>
      </w:r>
      <w:r w:rsidR="00807BF0" w:rsidRPr="00E017D4">
        <w:rPr>
          <w:rFonts w:cstheme="minorHAnsi"/>
          <w:color w:val="000000"/>
        </w:rPr>
        <w:t>New South Wales ECT practice guidelines not</w:t>
      </w:r>
      <w:r w:rsidR="00807BF0">
        <w:rPr>
          <w:rFonts w:cstheme="minorHAnsi"/>
          <w:color w:val="000000"/>
        </w:rPr>
        <w:t>ing</w:t>
      </w:r>
      <w:r w:rsidR="00807BF0" w:rsidRPr="00E017D4">
        <w:rPr>
          <w:rFonts w:cstheme="minorHAnsi"/>
          <w:color w:val="000000"/>
        </w:rPr>
        <w:t xml:space="preserve"> that continu</w:t>
      </w:r>
      <w:r w:rsidR="000F6998">
        <w:rPr>
          <w:rFonts w:cstheme="minorHAnsi"/>
          <w:color w:val="000000"/>
        </w:rPr>
        <w:t>ed</w:t>
      </w:r>
      <w:r w:rsidR="00807BF0" w:rsidRPr="00E017D4">
        <w:rPr>
          <w:rFonts w:cstheme="minorHAnsi"/>
          <w:color w:val="000000"/>
        </w:rPr>
        <w:t xml:space="preserve"> ECT has been demonstrated to cause deficits in learning and frontal function</w:t>
      </w:r>
      <w:r w:rsidR="0039342F">
        <w:rPr>
          <w:rFonts w:cstheme="minorHAnsi"/>
          <w:color w:val="000000"/>
        </w:rPr>
        <w:t>.</w:t>
      </w:r>
      <w:r w:rsidR="0039342F">
        <w:rPr>
          <w:rStyle w:val="FootnoteReference"/>
          <w:rFonts w:cstheme="minorHAnsi"/>
          <w:color w:val="000000"/>
        </w:rPr>
        <w:footnoteReference w:id="20"/>
      </w:r>
      <w:r w:rsidR="0039342F">
        <w:rPr>
          <w:rFonts w:cstheme="minorHAnsi"/>
          <w:color w:val="000000"/>
        </w:rPr>
        <w:t xml:space="preserve"> </w:t>
      </w:r>
      <w:r w:rsidR="00036DC3">
        <w:rPr>
          <w:rFonts w:cstheme="minorHAnsi"/>
          <w:color w:val="000000"/>
        </w:rPr>
        <w:t xml:space="preserve">To </w:t>
      </w:r>
      <w:r w:rsidR="0039342F">
        <w:rPr>
          <w:rFonts w:cstheme="minorHAnsi"/>
          <w:color w:val="000000"/>
        </w:rPr>
        <w:t>us</w:t>
      </w:r>
      <w:r w:rsidR="00397C0E">
        <w:rPr>
          <w:rFonts w:cstheme="minorHAnsi"/>
          <w:color w:val="000000"/>
        </w:rPr>
        <w:t>e</w:t>
      </w:r>
      <w:r w:rsidR="0039342F">
        <w:rPr>
          <w:rFonts w:cstheme="minorHAnsi"/>
          <w:color w:val="000000"/>
        </w:rPr>
        <w:t xml:space="preserve"> a detainee’s impaired </w:t>
      </w:r>
      <w:r w:rsidR="004C327F">
        <w:rPr>
          <w:rFonts w:cstheme="minorHAnsi"/>
          <w:color w:val="000000"/>
        </w:rPr>
        <w:t xml:space="preserve">capacity as </w:t>
      </w:r>
      <w:r w:rsidR="00397C0E">
        <w:rPr>
          <w:rFonts w:cstheme="minorHAnsi"/>
          <w:color w:val="000000"/>
        </w:rPr>
        <w:t xml:space="preserve">a </w:t>
      </w:r>
      <w:r w:rsidR="00541995">
        <w:rPr>
          <w:rFonts w:cstheme="minorHAnsi"/>
          <w:color w:val="000000"/>
        </w:rPr>
        <w:t>reason</w:t>
      </w:r>
      <w:r w:rsidR="00397C0E">
        <w:rPr>
          <w:rFonts w:cstheme="minorHAnsi"/>
          <w:color w:val="000000"/>
        </w:rPr>
        <w:t xml:space="preserve"> t</w:t>
      </w:r>
      <w:r w:rsidR="004C327F">
        <w:rPr>
          <w:rFonts w:cstheme="minorHAnsi"/>
          <w:color w:val="000000"/>
        </w:rPr>
        <w:t xml:space="preserve">o </w:t>
      </w:r>
      <w:r w:rsidR="009F6CFC">
        <w:rPr>
          <w:rFonts w:cstheme="minorHAnsi"/>
          <w:color w:val="000000"/>
        </w:rPr>
        <w:t xml:space="preserve">potentially </w:t>
      </w:r>
      <w:r w:rsidR="00212A3B">
        <w:rPr>
          <w:rFonts w:cstheme="minorHAnsi"/>
          <w:color w:val="000000"/>
        </w:rPr>
        <w:t>prevent</w:t>
      </w:r>
      <w:r w:rsidR="00541995">
        <w:rPr>
          <w:rFonts w:cstheme="minorHAnsi"/>
          <w:color w:val="000000"/>
        </w:rPr>
        <w:t xml:space="preserve"> </w:t>
      </w:r>
      <w:r w:rsidR="004C327F">
        <w:rPr>
          <w:rFonts w:cstheme="minorHAnsi"/>
          <w:color w:val="000000"/>
        </w:rPr>
        <w:t>the Subcommittee</w:t>
      </w:r>
      <w:r w:rsidR="00397C0E">
        <w:rPr>
          <w:rFonts w:cstheme="minorHAnsi"/>
          <w:color w:val="000000"/>
        </w:rPr>
        <w:t xml:space="preserve"> retain</w:t>
      </w:r>
      <w:r w:rsidR="0027244B">
        <w:rPr>
          <w:rFonts w:cstheme="minorHAnsi"/>
          <w:color w:val="000000"/>
        </w:rPr>
        <w:t>ing</w:t>
      </w:r>
      <w:r w:rsidR="00EB2677">
        <w:rPr>
          <w:rFonts w:cstheme="minorHAnsi"/>
          <w:color w:val="000000"/>
        </w:rPr>
        <w:t xml:space="preserve"> and using</w:t>
      </w:r>
      <w:r w:rsidR="00397C0E">
        <w:rPr>
          <w:rFonts w:cstheme="minorHAnsi"/>
          <w:color w:val="000000"/>
        </w:rPr>
        <w:t xml:space="preserve"> the</w:t>
      </w:r>
      <w:r w:rsidR="000258C3">
        <w:rPr>
          <w:rFonts w:cstheme="minorHAnsi"/>
          <w:color w:val="000000"/>
        </w:rPr>
        <w:t xml:space="preserve"> detainee</w:t>
      </w:r>
      <w:r w:rsidR="00452F80">
        <w:rPr>
          <w:rFonts w:cstheme="minorHAnsi"/>
          <w:color w:val="000000"/>
        </w:rPr>
        <w:t>’</w:t>
      </w:r>
      <w:r w:rsidR="000258C3">
        <w:rPr>
          <w:rFonts w:cstheme="minorHAnsi"/>
          <w:color w:val="000000"/>
        </w:rPr>
        <w:t>s</w:t>
      </w:r>
      <w:r w:rsidR="00397C0E">
        <w:rPr>
          <w:rFonts w:cstheme="minorHAnsi"/>
          <w:color w:val="000000"/>
        </w:rPr>
        <w:t xml:space="preserve"> identifying information</w:t>
      </w:r>
      <w:r w:rsidR="00A7618A">
        <w:rPr>
          <w:rFonts w:cstheme="minorHAnsi"/>
          <w:color w:val="000000"/>
        </w:rPr>
        <w:t xml:space="preserve"> </w:t>
      </w:r>
      <w:r w:rsidR="00917B22">
        <w:rPr>
          <w:rFonts w:cstheme="minorHAnsi"/>
          <w:color w:val="000000"/>
        </w:rPr>
        <w:t xml:space="preserve">for the purpose of fulfilling </w:t>
      </w:r>
      <w:r w:rsidR="00ED74F2">
        <w:rPr>
          <w:rFonts w:cstheme="minorHAnsi"/>
          <w:color w:val="000000"/>
        </w:rPr>
        <w:t>its</w:t>
      </w:r>
      <w:r w:rsidR="00917B22">
        <w:rPr>
          <w:rFonts w:cstheme="minorHAnsi"/>
          <w:color w:val="000000"/>
        </w:rPr>
        <w:t xml:space="preserve"> mandate </w:t>
      </w:r>
      <w:r w:rsidR="007A5D51">
        <w:rPr>
          <w:rFonts w:cstheme="minorHAnsi"/>
          <w:color w:val="000000"/>
        </w:rPr>
        <w:t>is</w:t>
      </w:r>
      <w:r w:rsidR="00061596">
        <w:rPr>
          <w:rFonts w:cstheme="minorHAnsi"/>
          <w:color w:val="000000"/>
        </w:rPr>
        <w:t xml:space="preserve"> therefore</w:t>
      </w:r>
      <w:r w:rsidR="007A5D51">
        <w:rPr>
          <w:rFonts w:cstheme="minorHAnsi"/>
          <w:color w:val="000000"/>
        </w:rPr>
        <w:t xml:space="preserve"> </w:t>
      </w:r>
      <w:r w:rsidR="000258C3">
        <w:rPr>
          <w:rFonts w:cstheme="minorHAnsi"/>
          <w:color w:val="000000"/>
        </w:rPr>
        <w:t xml:space="preserve">inappropriate, </w:t>
      </w:r>
      <w:r w:rsidR="00452F80">
        <w:rPr>
          <w:rFonts w:cstheme="minorHAnsi"/>
          <w:color w:val="000000"/>
        </w:rPr>
        <w:t xml:space="preserve">particularly </w:t>
      </w:r>
      <w:r w:rsidR="00500A50">
        <w:rPr>
          <w:rFonts w:cstheme="minorHAnsi"/>
          <w:color w:val="000000"/>
        </w:rPr>
        <w:t>if</w:t>
      </w:r>
      <w:r w:rsidR="000258C3">
        <w:rPr>
          <w:rFonts w:cstheme="minorHAnsi"/>
          <w:color w:val="000000"/>
        </w:rPr>
        <w:t xml:space="preserve"> the very</w:t>
      </w:r>
      <w:r w:rsidR="00452F80">
        <w:rPr>
          <w:rFonts w:cstheme="minorHAnsi"/>
          <w:color w:val="000000"/>
        </w:rPr>
        <w:t xml:space="preserve"> treatment</w:t>
      </w:r>
      <w:r w:rsidR="000258C3">
        <w:rPr>
          <w:rFonts w:cstheme="minorHAnsi"/>
          <w:color w:val="000000"/>
        </w:rPr>
        <w:t xml:space="preserve"> </w:t>
      </w:r>
      <w:r w:rsidR="00452F80">
        <w:rPr>
          <w:rFonts w:cstheme="minorHAnsi"/>
          <w:color w:val="000000"/>
        </w:rPr>
        <w:t xml:space="preserve">which may have contributed to the detainee’s impaired capacity </w:t>
      </w:r>
      <w:r w:rsidR="001C58B2">
        <w:rPr>
          <w:rFonts w:cstheme="minorHAnsi"/>
          <w:color w:val="000000"/>
        </w:rPr>
        <w:t>falls within the purview of the Subcommittee’s mandate. In other words, is potentially a form of torture,</w:t>
      </w:r>
      <w:r w:rsidR="008C3980">
        <w:t xml:space="preserve"> and other cruel, inhuman, or degrading treatment or punishment.</w:t>
      </w:r>
      <w:r w:rsidR="00900AC4" w:rsidRPr="00900AC4">
        <w:t xml:space="preserve"> </w:t>
      </w:r>
    </w:p>
    <w:p w14:paraId="76B32096" w14:textId="6C3C92C5" w:rsidR="00982064" w:rsidRDefault="00C660B5" w:rsidP="008B206F">
      <w:pPr>
        <w:spacing w:after="240"/>
        <w:rPr>
          <w:lang w:eastAsia="en-US"/>
        </w:rPr>
      </w:pPr>
      <w:r>
        <w:rPr>
          <w:lang w:eastAsia="en-US"/>
        </w:rPr>
        <w:t>F</w:t>
      </w:r>
      <w:r w:rsidR="00C0377C">
        <w:rPr>
          <w:lang w:eastAsia="en-US"/>
        </w:rPr>
        <w:t>urther</w:t>
      </w:r>
      <w:r w:rsidR="00934A8B">
        <w:rPr>
          <w:lang w:eastAsia="en-US"/>
        </w:rPr>
        <w:t xml:space="preserve">, what will </w:t>
      </w:r>
      <w:r w:rsidR="00046902">
        <w:rPr>
          <w:lang w:eastAsia="en-US"/>
        </w:rPr>
        <w:t>happen</w:t>
      </w:r>
      <w:r w:rsidR="00934A8B">
        <w:rPr>
          <w:lang w:eastAsia="en-US"/>
        </w:rPr>
        <w:t xml:space="preserve"> </w:t>
      </w:r>
      <w:r w:rsidR="002265C6">
        <w:rPr>
          <w:lang w:eastAsia="en-US"/>
        </w:rPr>
        <w:t>if</w:t>
      </w:r>
      <w:r w:rsidR="00934A8B">
        <w:rPr>
          <w:lang w:eastAsia="en-US"/>
        </w:rPr>
        <w:t xml:space="preserve"> a detainee is</w:t>
      </w:r>
      <w:r>
        <w:rPr>
          <w:lang w:eastAsia="en-US"/>
        </w:rPr>
        <w:t xml:space="preserve"> deemed</w:t>
      </w:r>
      <w:r w:rsidR="00934A8B">
        <w:rPr>
          <w:lang w:eastAsia="en-US"/>
        </w:rPr>
        <w:t xml:space="preserve"> not to have capacity to consent to the Subcommittee retaining their information, </w:t>
      </w:r>
      <w:r w:rsidR="00993BD0">
        <w:rPr>
          <w:lang w:eastAsia="en-US"/>
        </w:rPr>
        <w:t>and</w:t>
      </w:r>
      <w:r w:rsidR="00934A8B">
        <w:rPr>
          <w:lang w:eastAsia="en-US"/>
        </w:rPr>
        <w:t xml:space="preserve"> the detainee does not have a legal guardian appointed? </w:t>
      </w:r>
      <w:r w:rsidR="00345F27" w:rsidRPr="00345F27">
        <w:rPr>
          <w:lang w:eastAsia="en-US"/>
        </w:rPr>
        <w:t>Only a small proportion of people with impaired capacity who are held in places of detention in Queensland</w:t>
      </w:r>
      <w:r w:rsidR="006858F9">
        <w:rPr>
          <w:lang w:eastAsia="en-US"/>
        </w:rPr>
        <w:t xml:space="preserve"> </w:t>
      </w:r>
      <w:r w:rsidR="00BC0E31">
        <w:rPr>
          <w:lang w:eastAsia="en-US"/>
        </w:rPr>
        <w:t>may</w:t>
      </w:r>
      <w:r w:rsidR="00BC0E31" w:rsidRPr="00345F27">
        <w:rPr>
          <w:lang w:eastAsia="en-US"/>
        </w:rPr>
        <w:t xml:space="preserve"> </w:t>
      </w:r>
      <w:r w:rsidR="00345F27" w:rsidRPr="00345F27">
        <w:rPr>
          <w:lang w:eastAsia="en-US"/>
        </w:rPr>
        <w:t xml:space="preserve">have a guardian appointed by the </w:t>
      </w:r>
      <w:r w:rsidR="00345F27" w:rsidRPr="00345F27">
        <w:rPr>
          <w:lang w:eastAsia="en-US"/>
        </w:rPr>
        <w:lastRenderedPageBreak/>
        <w:t>Queensland Civil and Administrative Tribunal</w:t>
      </w:r>
      <w:r w:rsidR="007368E3">
        <w:rPr>
          <w:lang w:eastAsia="en-US"/>
        </w:rPr>
        <w:t xml:space="preserve"> (QCAT)</w:t>
      </w:r>
      <w:r w:rsidR="00345F27" w:rsidRPr="00345F27">
        <w:rPr>
          <w:lang w:eastAsia="en-US"/>
        </w:rPr>
        <w:t xml:space="preserve"> or </w:t>
      </w:r>
      <w:r w:rsidR="00CC2296">
        <w:rPr>
          <w:lang w:eastAsia="en-US"/>
        </w:rPr>
        <w:t xml:space="preserve">a </w:t>
      </w:r>
      <w:r w:rsidR="00345F27" w:rsidRPr="00345F27">
        <w:rPr>
          <w:lang w:eastAsia="en-US"/>
        </w:rPr>
        <w:t>valid Enduring Power of Attorney</w:t>
      </w:r>
      <w:r w:rsidR="00E2773D">
        <w:rPr>
          <w:lang w:eastAsia="en-US"/>
        </w:rPr>
        <w:t>.</w:t>
      </w:r>
      <w:r w:rsidR="00D82F65">
        <w:rPr>
          <w:lang w:eastAsia="en-US"/>
        </w:rPr>
        <w:t xml:space="preserve"> </w:t>
      </w:r>
      <w:r w:rsidR="00993BD0">
        <w:rPr>
          <w:lang w:eastAsia="en-US"/>
        </w:rPr>
        <w:t xml:space="preserve">Will </w:t>
      </w:r>
      <w:r w:rsidR="00D82F65">
        <w:rPr>
          <w:lang w:eastAsia="en-US"/>
        </w:rPr>
        <w:t>the outcome of an assessment</w:t>
      </w:r>
      <w:r w:rsidR="00F51E0C">
        <w:rPr>
          <w:lang w:eastAsia="en-US"/>
        </w:rPr>
        <w:t xml:space="preserve"> that finds a detainee </w:t>
      </w:r>
      <w:r w:rsidR="002846A8">
        <w:rPr>
          <w:lang w:eastAsia="en-US"/>
        </w:rPr>
        <w:t xml:space="preserve">does </w:t>
      </w:r>
      <w:r w:rsidR="00F51E0C">
        <w:rPr>
          <w:lang w:eastAsia="en-US"/>
        </w:rPr>
        <w:t>not</w:t>
      </w:r>
      <w:r w:rsidR="00036F4E">
        <w:rPr>
          <w:lang w:eastAsia="en-US"/>
        </w:rPr>
        <w:t xml:space="preserve"> </w:t>
      </w:r>
      <w:r w:rsidR="00F51E0C">
        <w:rPr>
          <w:lang w:eastAsia="en-US"/>
        </w:rPr>
        <w:t xml:space="preserve">have the requisite capacity </w:t>
      </w:r>
      <w:r w:rsidR="002846A8">
        <w:rPr>
          <w:lang w:eastAsia="en-US"/>
        </w:rPr>
        <w:t>nor</w:t>
      </w:r>
      <w:r w:rsidR="00F51E0C">
        <w:rPr>
          <w:lang w:eastAsia="en-US"/>
        </w:rPr>
        <w:t xml:space="preserve"> a guardian</w:t>
      </w:r>
      <w:r w:rsidR="00997AD7">
        <w:rPr>
          <w:lang w:eastAsia="en-US"/>
        </w:rPr>
        <w:t xml:space="preserve"> </w:t>
      </w:r>
      <w:r w:rsidR="00D82F65">
        <w:rPr>
          <w:lang w:eastAsia="en-US"/>
        </w:rPr>
        <w:t xml:space="preserve">set in motion </w:t>
      </w:r>
      <w:r w:rsidR="00A804BA">
        <w:rPr>
          <w:lang w:eastAsia="en-US"/>
        </w:rPr>
        <w:t xml:space="preserve">an application </w:t>
      </w:r>
      <w:r w:rsidR="007368E3">
        <w:rPr>
          <w:lang w:eastAsia="en-US"/>
        </w:rPr>
        <w:t xml:space="preserve">to QCAT </w:t>
      </w:r>
      <w:r w:rsidR="00A804BA">
        <w:rPr>
          <w:lang w:eastAsia="en-US"/>
        </w:rPr>
        <w:t xml:space="preserve">for the appointment of a </w:t>
      </w:r>
      <w:r w:rsidR="004C396D">
        <w:rPr>
          <w:lang w:eastAsia="en-US"/>
        </w:rPr>
        <w:t>guardian</w:t>
      </w:r>
      <w:r w:rsidR="007368E3">
        <w:rPr>
          <w:lang w:eastAsia="en-US"/>
        </w:rPr>
        <w:t>?</w:t>
      </w:r>
      <w:r w:rsidR="001C797A">
        <w:rPr>
          <w:lang w:eastAsia="en-US"/>
        </w:rPr>
        <w:t xml:space="preserve"> </w:t>
      </w:r>
      <w:r w:rsidR="00F34E36">
        <w:rPr>
          <w:lang w:eastAsia="en-US"/>
        </w:rPr>
        <w:t>If so, t</w:t>
      </w:r>
      <w:r w:rsidR="001C797A">
        <w:rPr>
          <w:lang w:eastAsia="en-US"/>
        </w:rPr>
        <w:t>his is likely to c</w:t>
      </w:r>
      <w:r w:rsidR="00E5201F">
        <w:rPr>
          <w:lang w:eastAsia="en-US"/>
        </w:rPr>
        <w:t xml:space="preserve">reate </w:t>
      </w:r>
      <w:r w:rsidR="00367D9E">
        <w:rPr>
          <w:lang w:eastAsia="en-US"/>
        </w:rPr>
        <w:t>practical</w:t>
      </w:r>
      <w:r w:rsidR="00E5201F">
        <w:rPr>
          <w:lang w:eastAsia="en-US"/>
        </w:rPr>
        <w:t xml:space="preserve"> barrier</w:t>
      </w:r>
      <w:r w:rsidR="00367D9E">
        <w:rPr>
          <w:lang w:eastAsia="en-US"/>
        </w:rPr>
        <w:t>s</w:t>
      </w:r>
      <w:r w:rsidR="00E5201F">
        <w:rPr>
          <w:lang w:eastAsia="en-US"/>
        </w:rPr>
        <w:t xml:space="preserve"> to the Subcommittee being able to perform its function</w:t>
      </w:r>
      <w:r w:rsidR="00C22744">
        <w:rPr>
          <w:lang w:eastAsia="en-US"/>
        </w:rPr>
        <w:t xml:space="preserve"> </w:t>
      </w:r>
      <w:r w:rsidR="003761BF">
        <w:rPr>
          <w:lang w:eastAsia="en-US"/>
        </w:rPr>
        <w:t>while also significantly</w:t>
      </w:r>
      <w:r w:rsidR="00C22744">
        <w:rPr>
          <w:lang w:eastAsia="en-US"/>
        </w:rPr>
        <w:t xml:space="preserve"> </w:t>
      </w:r>
      <w:r w:rsidR="00514086">
        <w:rPr>
          <w:lang w:eastAsia="en-US"/>
        </w:rPr>
        <w:t>impact</w:t>
      </w:r>
      <w:r w:rsidR="003761BF">
        <w:rPr>
          <w:lang w:eastAsia="en-US"/>
        </w:rPr>
        <w:t>ing</w:t>
      </w:r>
      <w:r w:rsidR="00514086">
        <w:rPr>
          <w:lang w:eastAsia="en-US"/>
        </w:rPr>
        <w:t xml:space="preserve"> the person’s </w:t>
      </w:r>
      <w:r w:rsidR="00DB740A">
        <w:rPr>
          <w:lang w:eastAsia="en-US"/>
        </w:rPr>
        <w:t xml:space="preserve">decision-making </w:t>
      </w:r>
      <w:r w:rsidR="003761BF">
        <w:rPr>
          <w:lang w:eastAsia="en-US"/>
        </w:rPr>
        <w:t>autonomy</w:t>
      </w:r>
      <w:r w:rsidR="005F3A25">
        <w:rPr>
          <w:lang w:eastAsia="en-US"/>
        </w:rPr>
        <w:t xml:space="preserve"> and human rights</w:t>
      </w:r>
      <w:r w:rsidR="00E5201F">
        <w:rPr>
          <w:lang w:eastAsia="en-US"/>
        </w:rPr>
        <w:t>.</w:t>
      </w:r>
      <w:r w:rsidR="00D1470D">
        <w:rPr>
          <w:lang w:eastAsia="en-US"/>
        </w:rPr>
        <w:t xml:space="preserve"> If not, the Subcommittee will </w:t>
      </w:r>
      <w:r w:rsidR="00097EE2">
        <w:rPr>
          <w:lang w:eastAsia="en-US"/>
        </w:rPr>
        <w:t xml:space="preserve">potentially </w:t>
      </w:r>
      <w:r w:rsidR="00D1470D">
        <w:rPr>
          <w:lang w:eastAsia="en-US"/>
        </w:rPr>
        <w:t xml:space="preserve">be </w:t>
      </w:r>
      <w:r w:rsidR="00D36320">
        <w:rPr>
          <w:lang w:eastAsia="en-US"/>
        </w:rPr>
        <w:t>denied the opportunity to</w:t>
      </w:r>
      <w:r w:rsidR="00982064">
        <w:rPr>
          <w:lang w:eastAsia="en-US"/>
        </w:rPr>
        <w:t xml:space="preserve"> us</w:t>
      </w:r>
      <w:r w:rsidR="00D36320">
        <w:rPr>
          <w:lang w:eastAsia="en-US"/>
        </w:rPr>
        <w:t>e relevant</w:t>
      </w:r>
      <w:r w:rsidR="00982064">
        <w:rPr>
          <w:lang w:eastAsia="en-US"/>
        </w:rPr>
        <w:t xml:space="preserve"> identifying </w:t>
      </w:r>
      <w:r w:rsidR="00D1470D">
        <w:rPr>
          <w:lang w:eastAsia="en-US"/>
        </w:rPr>
        <w:t>information</w:t>
      </w:r>
      <w:r w:rsidR="00982064">
        <w:rPr>
          <w:lang w:eastAsia="en-US"/>
        </w:rPr>
        <w:t xml:space="preserve"> in a way that</w:t>
      </w:r>
      <w:r w:rsidR="00D61814">
        <w:rPr>
          <w:lang w:eastAsia="en-US"/>
        </w:rPr>
        <w:t xml:space="preserve"> </w:t>
      </w:r>
      <w:r w:rsidR="00D36320">
        <w:rPr>
          <w:lang w:eastAsia="en-US"/>
        </w:rPr>
        <w:t>best supports the fulfilment of their mandate.</w:t>
      </w:r>
    </w:p>
    <w:p w14:paraId="6B5C40D5" w14:textId="34E566D0" w:rsidR="00E52DE8" w:rsidRPr="00BA4886" w:rsidRDefault="00A83387" w:rsidP="008B206F">
      <w:pPr>
        <w:spacing w:after="240"/>
        <w:rPr>
          <w:rFonts w:cstheme="minorHAnsi"/>
          <w:color w:val="000000"/>
        </w:rPr>
      </w:pPr>
      <w:r>
        <w:t>Accessing personal information is</w:t>
      </w:r>
      <w:r w:rsidR="003A3F58">
        <w:t xml:space="preserve"> </w:t>
      </w:r>
      <w:r w:rsidR="00160F38">
        <w:t xml:space="preserve">an </w:t>
      </w:r>
      <w:r w:rsidR="003A3F58">
        <w:t xml:space="preserve">important </w:t>
      </w:r>
      <w:r w:rsidR="00160F38">
        <w:t>aspect of</w:t>
      </w:r>
      <w:r>
        <w:t xml:space="preserve"> the Subcommittee’s </w:t>
      </w:r>
      <w:r w:rsidR="003A3F58">
        <w:t>role</w:t>
      </w:r>
      <w:r>
        <w:t xml:space="preserve"> and it would frustrate the Subcommittee’s function if it could not access</w:t>
      </w:r>
      <w:r w:rsidR="00A9229D">
        <w:t xml:space="preserve"> or fully utilise</w:t>
      </w:r>
      <w:r>
        <w:t xml:space="preserve"> information about some detainees</w:t>
      </w:r>
      <w:r w:rsidR="0021178F">
        <w:t xml:space="preserve"> owing to their impaired capacity and vulnerability</w:t>
      </w:r>
      <w:r>
        <w:t xml:space="preserve">. People who are detained are some of the most vulnerable people in Queensland and their treatment behind closed doors must be subject to the upmost scrutiny. </w:t>
      </w:r>
      <w:r w:rsidR="0080386B">
        <w:t>It is also not unusual for monitoring and investigative bodies to a</w:t>
      </w:r>
      <w:r w:rsidR="00E94A39">
        <w:t>ccess</w:t>
      </w:r>
      <w:r w:rsidR="001E3CDB">
        <w:rPr>
          <w:rFonts w:cstheme="minorHAnsi"/>
          <w:color w:val="000000"/>
        </w:rPr>
        <w:t xml:space="preserve"> identifying information</w:t>
      </w:r>
      <w:r w:rsidR="007D502B">
        <w:rPr>
          <w:rFonts w:cstheme="minorHAnsi"/>
          <w:color w:val="000000"/>
        </w:rPr>
        <w:t xml:space="preserve"> </w:t>
      </w:r>
      <w:r w:rsidR="00E71B8E">
        <w:rPr>
          <w:rFonts w:cstheme="minorHAnsi"/>
          <w:color w:val="000000"/>
        </w:rPr>
        <w:t>in this way</w:t>
      </w:r>
      <w:r w:rsidR="004A57C2">
        <w:rPr>
          <w:rFonts w:cstheme="minorHAnsi"/>
          <w:color w:val="000000"/>
        </w:rPr>
        <w:t>. For example,</w:t>
      </w:r>
      <w:r w:rsidR="003C0B50">
        <w:rPr>
          <w:rFonts w:cstheme="minorHAnsi"/>
          <w:color w:val="000000"/>
        </w:rPr>
        <w:t xml:space="preserve"> the case of the detainee</w:t>
      </w:r>
      <w:r w:rsidR="004F0BC5">
        <w:rPr>
          <w:rFonts w:cstheme="minorHAnsi"/>
          <w:color w:val="000000"/>
        </w:rPr>
        <w:t xml:space="preserve"> who was subject to eight months of seclusion and twice-weekly ECT was reported by the Public Advocate</w:t>
      </w:r>
      <w:r w:rsidR="000417D0">
        <w:rPr>
          <w:rFonts w:cstheme="minorHAnsi"/>
          <w:color w:val="000000"/>
        </w:rPr>
        <w:t xml:space="preserve"> who access</w:t>
      </w:r>
      <w:r w:rsidR="00D10D7F">
        <w:rPr>
          <w:rFonts w:cstheme="minorHAnsi"/>
          <w:color w:val="000000"/>
        </w:rPr>
        <w:t>ed</w:t>
      </w:r>
      <w:r w:rsidR="000417D0">
        <w:rPr>
          <w:rFonts w:cstheme="minorHAnsi"/>
          <w:color w:val="000000"/>
        </w:rPr>
        <w:t xml:space="preserve"> </w:t>
      </w:r>
      <w:r w:rsidR="00376E05">
        <w:rPr>
          <w:rFonts w:cstheme="minorHAnsi"/>
          <w:color w:val="000000"/>
        </w:rPr>
        <w:t xml:space="preserve">the individual’s </w:t>
      </w:r>
      <w:r w:rsidR="000417D0">
        <w:rPr>
          <w:rFonts w:cstheme="minorHAnsi"/>
          <w:color w:val="000000"/>
        </w:rPr>
        <w:t xml:space="preserve">information </w:t>
      </w:r>
      <w:r w:rsidR="00900D90">
        <w:rPr>
          <w:rFonts w:cstheme="minorHAnsi"/>
          <w:color w:val="000000"/>
        </w:rPr>
        <w:t xml:space="preserve">under </w:t>
      </w:r>
      <w:r w:rsidR="00AD59BC">
        <w:rPr>
          <w:rFonts w:cstheme="minorHAnsi"/>
          <w:color w:val="000000"/>
        </w:rPr>
        <w:t xml:space="preserve">a </w:t>
      </w:r>
      <w:r w:rsidR="00900D90">
        <w:rPr>
          <w:rFonts w:cstheme="minorHAnsi"/>
          <w:color w:val="000000"/>
        </w:rPr>
        <w:t>similar</w:t>
      </w:r>
      <w:r w:rsidR="00EC60DE">
        <w:rPr>
          <w:rFonts w:cstheme="minorHAnsi"/>
          <w:color w:val="000000"/>
        </w:rPr>
        <w:t xml:space="preserve"> </w:t>
      </w:r>
      <w:r w:rsidR="00AD59BC">
        <w:rPr>
          <w:rFonts w:cstheme="minorHAnsi"/>
          <w:color w:val="000000"/>
        </w:rPr>
        <w:t>mandate</w:t>
      </w:r>
      <w:r w:rsidR="000417D0">
        <w:rPr>
          <w:rFonts w:cstheme="minorHAnsi"/>
          <w:color w:val="000000"/>
        </w:rPr>
        <w:t xml:space="preserve">. </w:t>
      </w:r>
      <w:r w:rsidR="00B278E5" w:rsidRPr="00B278E5">
        <w:rPr>
          <w:rFonts w:cstheme="minorHAnsi"/>
          <w:color w:val="000000"/>
        </w:rPr>
        <w:t xml:space="preserve">Without </w:t>
      </w:r>
      <w:r w:rsidR="008B10ED">
        <w:rPr>
          <w:rFonts w:cstheme="minorHAnsi"/>
          <w:color w:val="000000"/>
        </w:rPr>
        <w:t>such</w:t>
      </w:r>
      <w:r w:rsidR="00B278E5" w:rsidRPr="00B278E5">
        <w:rPr>
          <w:rFonts w:cstheme="minorHAnsi"/>
          <w:color w:val="000000"/>
        </w:rPr>
        <w:t xml:space="preserve"> unfettered access, the disturbing treatment of th</w:t>
      </w:r>
      <w:r w:rsidR="00B278E5">
        <w:rPr>
          <w:rFonts w:cstheme="minorHAnsi"/>
          <w:color w:val="000000"/>
        </w:rPr>
        <w:t>e detainee</w:t>
      </w:r>
      <w:r w:rsidR="00B278E5" w:rsidRPr="00B278E5">
        <w:rPr>
          <w:rFonts w:cstheme="minorHAnsi"/>
          <w:color w:val="000000"/>
        </w:rPr>
        <w:t xml:space="preserve"> would not have been made public</w:t>
      </w:r>
      <w:r w:rsidR="00227922">
        <w:rPr>
          <w:rFonts w:cstheme="minorHAnsi"/>
          <w:color w:val="000000"/>
        </w:rPr>
        <w:t>.</w:t>
      </w:r>
    </w:p>
    <w:p w14:paraId="6DAA016A" w14:textId="0B4A9DD4" w:rsidR="00DB45E7" w:rsidRDefault="000D7516" w:rsidP="008B206F">
      <w:pPr>
        <w:spacing w:after="240"/>
        <w:rPr>
          <w:lang w:eastAsia="en-US"/>
        </w:rPr>
      </w:pPr>
      <w:r>
        <w:rPr>
          <w:lang w:eastAsia="en-US"/>
        </w:rPr>
        <w:t>Accordingly</w:t>
      </w:r>
      <w:r w:rsidR="00006691">
        <w:rPr>
          <w:lang w:eastAsia="en-US"/>
        </w:rPr>
        <w:t>, QAI</w:t>
      </w:r>
      <w:r w:rsidR="00006691" w:rsidRPr="007E27A3">
        <w:rPr>
          <w:lang w:eastAsia="en-US"/>
        </w:rPr>
        <w:t xml:space="preserve"> respectfully requests the </w:t>
      </w:r>
      <w:r w:rsidR="00006691">
        <w:rPr>
          <w:lang w:eastAsia="en-US"/>
        </w:rPr>
        <w:t>C</w:t>
      </w:r>
      <w:r w:rsidR="00006691" w:rsidRPr="007E27A3">
        <w:rPr>
          <w:lang w:eastAsia="en-US"/>
        </w:rPr>
        <w:t>ommittee recommend removal of this provision</w:t>
      </w:r>
      <w:r w:rsidR="00006691">
        <w:rPr>
          <w:lang w:eastAsia="en-US"/>
        </w:rPr>
        <w:t xml:space="preserve"> and instead, consider a provision</w:t>
      </w:r>
      <w:r w:rsidR="00CF3C28">
        <w:rPr>
          <w:lang w:eastAsia="en-US"/>
        </w:rPr>
        <w:t xml:space="preserve"> that requires the Subcommittee treat all identifying information confidentially</w:t>
      </w:r>
      <w:r w:rsidR="005F343B">
        <w:rPr>
          <w:lang w:eastAsia="en-US"/>
        </w:rPr>
        <w:t xml:space="preserve"> and protect it from further disclosure, with a requirement to return or destroy the material within a specified period after the completion of its report.</w:t>
      </w:r>
      <w:r w:rsidR="00A0166C">
        <w:rPr>
          <w:lang w:eastAsia="en-US"/>
        </w:rPr>
        <w:t xml:space="preserve"> </w:t>
      </w:r>
      <w:r w:rsidR="00A33399">
        <w:rPr>
          <w:lang w:eastAsia="en-US"/>
        </w:rPr>
        <w:t xml:space="preserve">Questions of consent </w:t>
      </w:r>
      <w:r w:rsidR="006D65EB">
        <w:rPr>
          <w:lang w:eastAsia="en-US"/>
        </w:rPr>
        <w:t>sh</w:t>
      </w:r>
      <w:r w:rsidR="00A33399">
        <w:rPr>
          <w:lang w:eastAsia="en-US"/>
        </w:rPr>
        <w:t>ould</w:t>
      </w:r>
      <w:r w:rsidR="006D65EB">
        <w:rPr>
          <w:lang w:eastAsia="en-US"/>
        </w:rPr>
        <w:t xml:space="preserve"> instead</w:t>
      </w:r>
      <w:r w:rsidR="00A33399">
        <w:rPr>
          <w:lang w:eastAsia="en-US"/>
        </w:rPr>
        <w:t xml:space="preserve"> be </w:t>
      </w:r>
      <w:r w:rsidR="005D6478">
        <w:rPr>
          <w:lang w:eastAsia="en-US"/>
        </w:rPr>
        <w:t>raised in relation to</w:t>
      </w:r>
      <w:r w:rsidR="00A33399">
        <w:rPr>
          <w:lang w:eastAsia="en-US"/>
        </w:rPr>
        <w:t xml:space="preserve"> </w:t>
      </w:r>
      <w:r w:rsidR="005D6478">
        <w:rPr>
          <w:lang w:eastAsia="en-US"/>
        </w:rPr>
        <w:t>t</w:t>
      </w:r>
      <w:r w:rsidR="00A33399">
        <w:rPr>
          <w:lang w:eastAsia="en-US"/>
        </w:rPr>
        <w:t xml:space="preserve">he Subcommittee’s </w:t>
      </w:r>
      <w:r w:rsidR="00A33399" w:rsidRPr="007B6CAC">
        <w:rPr>
          <w:i/>
          <w:iCs/>
          <w:lang w:eastAsia="en-US"/>
        </w:rPr>
        <w:t>publ</w:t>
      </w:r>
      <w:r w:rsidR="00FE05B8">
        <w:rPr>
          <w:i/>
          <w:iCs/>
          <w:lang w:eastAsia="en-US"/>
        </w:rPr>
        <w:t>ication</w:t>
      </w:r>
      <w:r w:rsidR="00A33399">
        <w:rPr>
          <w:lang w:eastAsia="en-US"/>
        </w:rPr>
        <w:t xml:space="preserve"> </w:t>
      </w:r>
      <w:r w:rsidR="00FE05B8">
        <w:rPr>
          <w:lang w:eastAsia="en-US"/>
        </w:rPr>
        <w:t xml:space="preserve">of </w:t>
      </w:r>
      <w:r w:rsidR="00A33399">
        <w:rPr>
          <w:lang w:eastAsia="en-US"/>
        </w:rPr>
        <w:t>identifying information</w:t>
      </w:r>
      <w:r w:rsidR="007B6CAC">
        <w:rPr>
          <w:lang w:eastAsia="en-US"/>
        </w:rPr>
        <w:t>, rather than their confidential access to, and recording of, such information.</w:t>
      </w:r>
      <w:r w:rsidR="00136BB9">
        <w:rPr>
          <w:lang w:eastAsia="en-US"/>
        </w:rPr>
        <w:t xml:space="preserve"> </w:t>
      </w:r>
      <w:r w:rsidR="00581BE3">
        <w:rPr>
          <w:lang w:eastAsia="en-US"/>
        </w:rPr>
        <w:t>This would be in keeping with the contents of OPCAT</w:t>
      </w:r>
      <w:r w:rsidR="00976AD7">
        <w:rPr>
          <w:lang w:eastAsia="en-US"/>
        </w:rPr>
        <w:t xml:space="preserve"> which contains reference only to the publication of identifying information.</w:t>
      </w:r>
      <w:r w:rsidR="00EC1B8F">
        <w:rPr>
          <w:rStyle w:val="FootnoteReference"/>
          <w:lang w:eastAsia="en-US"/>
        </w:rPr>
        <w:footnoteReference w:id="21"/>
      </w:r>
    </w:p>
    <w:p w14:paraId="16DDA3BC" w14:textId="6F767229" w:rsidR="00DB45E7" w:rsidRDefault="00DB45E7" w:rsidP="006858F9">
      <w:pPr>
        <w:pStyle w:val="Heading1"/>
        <w:spacing w:before="240" w:after="240"/>
      </w:pPr>
      <w:r>
        <w:t xml:space="preserve">Clause 16 </w:t>
      </w:r>
      <w:r w:rsidR="0022621E">
        <w:t>–</w:t>
      </w:r>
      <w:r>
        <w:t xml:space="preserve"> </w:t>
      </w:r>
      <w:r w:rsidR="0022621E">
        <w:t>Subcommittee may interview any person</w:t>
      </w:r>
    </w:p>
    <w:p w14:paraId="6B6ABE87" w14:textId="213EED97" w:rsidR="00D6397E" w:rsidRDefault="006526C2" w:rsidP="008B206F">
      <w:pPr>
        <w:spacing w:after="240"/>
        <w:rPr>
          <w:lang w:eastAsia="en-US"/>
        </w:rPr>
      </w:pPr>
      <w:r>
        <w:rPr>
          <w:lang w:eastAsia="en-US"/>
        </w:rPr>
        <w:t>QAI has similar concerns with the operation of Clause 1</w:t>
      </w:r>
      <w:r w:rsidR="00D6727B">
        <w:rPr>
          <w:lang w:eastAsia="en-US"/>
        </w:rPr>
        <w:t xml:space="preserve">6 which </w:t>
      </w:r>
      <w:r w:rsidR="00747320">
        <w:rPr>
          <w:lang w:eastAsia="en-US"/>
        </w:rPr>
        <w:t>provides that the Subcommittee cannot interview a person unless the person consents to the interview, or if the person is unable to consent,</w:t>
      </w:r>
      <w:r w:rsidR="005C424A">
        <w:rPr>
          <w:lang w:eastAsia="en-US"/>
        </w:rPr>
        <w:t xml:space="preserve"> the person’s guardian consents to the interview.</w:t>
      </w:r>
    </w:p>
    <w:p w14:paraId="5D28AD96" w14:textId="3B30E429" w:rsidR="00EA4BD4" w:rsidRDefault="00BE2061" w:rsidP="002E74F7">
      <w:pPr>
        <w:spacing w:after="240"/>
        <w:rPr>
          <w:lang w:eastAsia="en-US"/>
        </w:rPr>
      </w:pPr>
      <w:r>
        <w:rPr>
          <w:lang w:eastAsia="en-US"/>
        </w:rPr>
        <w:t xml:space="preserve">This Clause is </w:t>
      </w:r>
      <w:r w:rsidR="00AA5EAE">
        <w:rPr>
          <w:lang w:eastAsia="en-US"/>
        </w:rPr>
        <w:t xml:space="preserve">arguably redundant, as the Subcommittee is extremely unlikely to </w:t>
      </w:r>
      <w:r w:rsidR="00EE4E91">
        <w:rPr>
          <w:lang w:eastAsia="en-US"/>
        </w:rPr>
        <w:t>carry out an interview with</w:t>
      </w:r>
      <w:r w:rsidR="00910D4E">
        <w:rPr>
          <w:lang w:eastAsia="en-US"/>
        </w:rPr>
        <w:t xml:space="preserve"> a </w:t>
      </w:r>
      <w:r w:rsidR="005D4A8D">
        <w:rPr>
          <w:lang w:eastAsia="en-US"/>
        </w:rPr>
        <w:t>detainee</w:t>
      </w:r>
      <w:r w:rsidR="00910D4E">
        <w:rPr>
          <w:lang w:eastAsia="en-US"/>
        </w:rPr>
        <w:t xml:space="preserve"> who does not</w:t>
      </w:r>
      <w:r w:rsidR="00EE4E91">
        <w:rPr>
          <w:lang w:eastAsia="en-US"/>
        </w:rPr>
        <w:t xml:space="preserve"> consent </w:t>
      </w:r>
      <w:r w:rsidR="005D4A8D">
        <w:rPr>
          <w:lang w:eastAsia="en-US"/>
        </w:rPr>
        <w:t>to the interview,</w:t>
      </w:r>
      <w:r w:rsidR="00016E61">
        <w:rPr>
          <w:lang w:eastAsia="en-US"/>
        </w:rPr>
        <w:t xml:space="preserve"> o</w:t>
      </w:r>
      <w:r w:rsidR="00EE4E91">
        <w:rPr>
          <w:lang w:eastAsia="en-US"/>
        </w:rPr>
        <w:t xml:space="preserve">r rather, </w:t>
      </w:r>
      <w:r w:rsidR="00016E61">
        <w:rPr>
          <w:lang w:eastAsia="en-US"/>
        </w:rPr>
        <w:t>is unwilling to participate</w:t>
      </w:r>
      <w:r w:rsidR="005E7017">
        <w:rPr>
          <w:lang w:eastAsia="en-US"/>
        </w:rPr>
        <w:t xml:space="preserve"> in the interview</w:t>
      </w:r>
      <w:r w:rsidR="00016E61">
        <w:rPr>
          <w:lang w:eastAsia="en-US"/>
        </w:rPr>
        <w:t>.</w:t>
      </w:r>
      <w:r w:rsidR="00AA5EAE">
        <w:rPr>
          <w:lang w:eastAsia="en-US"/>
        </w:rPr>
        <w:t xml:space="preserve"> </w:t>
      </w:r>
      <w:r w:rsidR="00467081">
        <w:rPr>
          <w:lang w:eastAsia="en-US"/>
        </w:rPr>
        <w:t xml:space="preserve">The reference to a guardian consenting </w:t>
      </w:r>
      <w:r w:rsidR="00354CAF">
        <w:rPr>
          <w:lang w:eastAsia="en-US"/>
        </w:rPr>
        <w:t xml:space="preserve">“if the person is unable to consent” </w:t>
      </w:r>
      <w:r w:rsidR="00F505E4">
        <w:rPr>
          <w:lang w:eastAsia="en-US"/>
        </w:rPr>
        <w:t xml:space="preserve">also raises questions about decision-making capacity. </w:t>
      </w:r>
      <w:r w:rsidR="005655ED">
        <w:rPr>
          <w:lang w:eastAsia="en-US"/>
        </w:rPr>
        <w:t>Regardless of w</w:t>
      </w:r>
      <w:r w:rsidR="00397E5E">
        <w:rPr>
          <w:lang w:eastAsia="en-US"/>
        </w:rPr>
        <w:t>hether the detainee has impaired decision-making capacity, no</w:t>
      </w:r>
      <w:r w:rsidR="00E618AE">
        <w:rPr>
          <w:lang w:eastAsia="en-US"/>
        </w:rPr>
        <w:t xml:space="preserve"> interview should occur without the</w:t>
      </w:r>
      <w:r w:rsidR="00354CAF">
        <w:rPr>
          <w:lang w:eastAsia="en-US"/>
        </w:rPr>
        <w:t xml:space="preserve"> individual’s</w:t>
      </w:r>
      <w:r w:rsidR="00E618AE">
        <w:rPr>
          <w:lang w:eastAsia="en-US"/>
        </w:rPr>
        <w:t xml:space="preserve"> express consent</w:t>
      </w:r>
      <w:r w:rsidR="000B516D">
        <w:rPr>
          <w:lang w:eastAsia="en-US"/>
        </w:rPr>
        <w:t>.</w:t>
      </w:r>
      <w:r w:rsidR="00B2185C">
        <w:rPr>
          <w:lang w:eastAsia="en-US"/>
        </w:rPr>
        <w:t xml:space="preserve"> </w:t>
      </w:r>
      <w:r w:rsidR="000B516D">
        <w:rPr>
          <w:lang w:eastAsia="en-US"/>
        </w:rPr>
        <w:t>Similarly,</w:t>
      </w:r>
      <w:r w:rsidR="00E9694A">
        <w:rPr>
          <w:lang w:eastAsia="en-US"/>
        </w:rPr>
        <w:t xml:space="preserve"> assessments about decision-making capacity should not</w:t>
      </w:r>
      <w:r w:rsidR="00A850DA">
        <w:rPr>
          <w:lang w:eastAsia="en-US"/>
        </w:rPr>
        <w:t xml:space="preserve"> deny a detainee the opportunity </w:t>
      </w:r>
      <w:r w:rsidR="00EE702C">
        <w:rPr>
          <w:lang w:eastAsia="en-US"/>
        </w:rPr>
        <w:t xml:space="preserve">and fundamental right </w:t>
      </w:r>
      <w:r w:rsidR="00A850DA">
        <w:rPr>
          <w:lang w:eastAsia="en-US"/>
        </w:rPr>
        <w:t>to be interviewed by the Subcommittee</w:t>
      </w:r>
      <w:r w:rsidR="00DE5BFF">
        <w:rPr>
          <w:lang w:eastAsia="en-US"/>
        </w:rPr>
        <w:t xml:space="preserve">. </w:t>
      </w:r>
      <w:r w:rsidR="00B43D64">
        <w:rPr>
          <w:lang w:eastAsia="en-US"/>
        </w:rPr>
        <w:t xml:space="preserve">A person who </w:t>
      </w:r>
      <w:r w:rsidR="00606B04">
        <w:rPr>
          <w:lang w:eastAsia="en-US"/>
        </w:rPr>
        <w:t xml:space="preserve">may be considered </w:t>
      </w:r>
      <w:r w:rsidR="00782918">
        <w:rPr>
          <w:lang w:eastAsia="en-US"/>
        </w:rPr>
        <w:t>to</w:t>
      </w:r>
      <w:r w:rsidR="00B43D64">
        <w:rPr>
          <w:lang w:eastAsia="en-US"/>
        </w:rPr>
        <w:t xml:space="preserve"> not have capacity to consent may still be willing to participate in an interview, even if their guardian declines to consent for this to occur.</w:t>
      </w:r>
      <w:r w:rsidR="008853E0">
        <w:rPr>
          <w:lang w:eastAsia="en-US"/>
        </w:rPr>
        <w:t xml:space="preserve"> </w:t>
      </w:r>
      <w:r w:rsidR="00EC67C5">
        <w:rPr>
          <w:lang w:eastAsia="en-US"/>
        </w:rPr>
        <w:t>Further</w:t>
      </w:r>
      <w:r w:rsidR="008853E0">
        <w:rPr>
          <w:lang w:eastAsia="en-US"/>
        </w:rPr>
        <w:t>, a person whose guardian consents to them being interviewed, may not wish to participate.</w:t>
      </w:r>
      <w:r w:rsidR="00B43D64">
        <w:rPr>
          <w:lang w:eastAsia="en-US"/>
        </w:rPr>
        <w:t xml:space="preserve"> </w:t>
      </w:r>
      <w:r w:rsidR="00DE5BFF">
        <w:rPr>
          <w:lang w:eastAsia="en-US"/>
        </w:rPr>
        <w:t>I</w:t>
      </w:r>
      <w:r w:rsidR="0068073B">
        <w:rPr>
          <w:lang w:eastAsia="en-US"/>
        </w:rPr>
        <w:t>t is concerning that this provisio</w:t>
      </w:r>
      <w:r w:rsidR="00467450">
        <w:rPr>
          <w:lang w:eastAsia="en-US"/>
        </w:rPr>
        <w:t>n has been drafted in such a way that detainees who are deemed unable to provide consent must seek permission from a guardian</w:t>
      </w:r>
      <w:r w:rsidR="00F634B0">
        <w:rPr>
          <w:lang w:eastAsia="en-US"/>
        </w:rPr>
        <w:t xml:space="preserve"> in order to participate in an interview with the Subcommittee</w:t>
      </w:r>
      <w:r w:rsidR="00F14A19">
        <w:rPr>
          <w:lang w:eastAsia="en-US"/>
        </w:rPr>
        <w:t>, particularly in light of the fact that th</w:t>
      </w:r>
      <w:r w:rsidR="009554A2">
        <w:rPr>
          <w:lang w:eastAsia="en-US"/>
        </w:rPr>
        <w:t>e interview</w:t>
      </w:r>
      <w:r w:rsidR="00F14A19">
        <w:rPr>
          <w:lang w:eastAsia="en-US"/>
        </w:rPr>
        <w:t xml:space="preserve"> relates to a fundamental human rights issue and only the </w:t>
      </w:r>
      <w:r w:rsidR="009554A2">
        <w:rPr>
          <w:lang w:eastAsia="en-US"/>
        </w:rPr>
        <w:t>individual</w:t>
      </w:r>
      <w:r w:rsidR="00F14A19">
        <w:rPr>
          <w:lang w:eastAsia="en-US"/>
        </w:rPr>
        <w:t xml:space="preserve"> concerned </w:t>
      </w:r>
      <w:r w:rsidR="007921A9">
        <w:rPr>
          <w:lang w:eastAsia="en-US"/>
        </w:rPr>
        <w:t>should be able to decide whether they are willing to share their experience</w:t>
      </w:r>
      <w:r w:rsidR="009554A2">
        <w:rPr>
          <w:lang w:eastAsia="en-US"/>
        </w:rPr>
        <w:t>s</w:t>
      </w:r>
      <w:r w:rsidR="00271F5B">
        <w:rPr>
          <w:lang w:eastAsia="en-US"/>
        </w:rPr>
        <w:t xml:space="preserve">. </w:t>
      </w:r>
    </w:p>
    <w:p w14:paraId="14677CC4" w14:textId="30274A25" w:rsidR="00AA63B1" w:rsidRDefault="00512820" w:rsidP="002E74F7">
      <w:pPr>
        <w:spacing w:after="240"/>
        <w:rPr>
          <w:rFonts w:cstheme="minorHAnsi"/>
        </w:rPr>
      </w:pPr>
      <w:r>
        <w:rPr>
          <w:lang w:eastAsia="en-US"/>
        </w:rPr>
        <w:t>I</w:t>
      </w:r>
      <w:r w:rsidR="00026587">
        <w:rPr>
          <w:lang w:eastAsia="en-US"/>
        </w:rPr>
        <w:t>t also raises the</w:t>
      </w:r>
      <w:r w:rsidR="00540177">
        <w:rPr>
          <w:lang w:eastAsia="en-US"/>
        </w:rPr>
        <w:t xml:space="preserve"> possibility that</w:t>
      </w:r>
      <w:r w:rsidR="00202769">
        <w:rPr>
          <w:lang w:eastAsia="en-US"/>
        </w:rPr>
        <w:t xml:space="preserve"> a detainee’s </w:t>
      </w:r>
      <w:r w:rsidR="009D124D">
        <w:rPr>
          <w:lang w:eastAsia="en-US"/>
        </w:rPr>
        <w:t xml:space="preserve">legal </w:t>
      </w:r>
      <w:r w:rsidR="00202769">
        <w:rPr>
          <w:lang w:eastAsia="en-US"/>
        </w:rPr>
        <w:t xml:space="preserve">capacity to consent will be inappropriately examined. </w:t>
      </w:r>
      <w:r w:rsidR="00984834">
        <w:rPr>
          <w:lang w:eastAsia="en-US"/>
        </w:rPr>
        <w:t xml:space="preserve">If this </w:t>
      </w:r>
      <w:r w:rsidR="00CE3723">
        <w:rPr>
          <w:lang w:eastAsia="en-US"/>
        </w:rPr>
        <w:t xml:space="preserve">occurs, </w:t>
      </w:r>
      <w:r w:rsidR="002D22A6">
        <w:rPr>
          <w:lang w:eastAsia="en-US"/>
        </w:rPr>
        <w:t xml:space="preserve">as with Clause 15, </w:t>
      </w:r>
      <w:r w:rsidR="00CE3723">
        <w:rPr>
          <w:lang w:eastAsia="en-US"/>
        </w:rPr>
        <w:t>whose</w:t>
      </w:r>
      <w:r w:rsidR="00622FBF">
        <w:rPr>
          <w:lang w:eastAsia="en-US"/>
        </w:rPr>
        <w:t xml:space="preserve"> assessment of the detainee’s capacity will be used</w:t>
      </w:r>
      <w:r w:rsidR="00D6397E">
        <w:rPr>
          <w:lang w:eastAsia="en-US"/>
        </w:rPr>
        <w:t xml:space="preserve"> and what </w:t>
      </w:r>
      <w:r w:rsidR="00622FBF">
        <w:rPr>
          <w:lang w:eastAsia="en-US"/>
        </w:rPr>
        <w:t xml:space="preserve">will </w:t>
      </w:r>
      <w:r w:rsidR="00D6397E">
        <w:rPr>
          <w:lang w:eastAsia="en-US"/>
        </w:rPr>
        <w:t>happen i</w:t>
      </w:r>
      <w:r w:rsidR="00627CC2">
        <w:rPr>
          <w:lang w:eastAsia="en-US"/>
        </w:rPr>
        <w:t xml:space="preserve">f the detainee </w:t>
      </w:r>
      <w:r w:rsidR="00693617">
        <w:rPr>
          <w:lang w:eastAsia="en-US"/>
        </w:rPr>
        <w:t>does not</w:t>
      </w:r>
      <w:r w:rsidR="00627CC2">
        <w:rPr>
          <w:lang w:eastAsia="en-US"/>
        </w:rPr>
        <w:t xml:space="preserve"> have a</w:t>
      </w:r>
      <w:r w:rsidR="00D6397E">
        <w:rPr>
          <w:lang w:eastAsia="en-US"/>
        </w:rPr>
        <w:t xml:space="preserve"> guardian</w:t>
      </w:r>
      <w:r w:rsidR="00970AB7">
        <w:rPr>
          <w:lang w:eastAsia="en-US"/>
        </w:rPr>
        <w:t xml:space="preserve"> appointed</w:t>
      </w:r>
      <w:r w:rsidR="00627CC2">
        <w:rPr>
          <w:lang w:eastAsia="en-US"/>
        </w:rPr>
        <w:t>?</w:t>
      </w:r>
      <w:r w:rsidR="00D6397E">
        <w:rPr>
          <w:lang w:eastAsia="en-US"/>
        </w:rPr>
        <w:t xml:space="preserve"> </w:t>
      </w:r>
      <w:r w:rsidR="001E3261">
        <w:rPr>
          <w:lang w:eastAsia="en-US"/>
        </w:rPr>
        <w:t xml:space="preserve">While a person may </w:t>
      </w:r>
      <w:r w:rsidR="00DC5D33">
        <w:rPr>
          <w:lang w:eastAsia="en-US"/>
        </w:rPr>
        <w:t>lack capacity to</w:t>
      </w:r>
      <w:r w:rsidR="00DF1F1D">
        <w:rPr>
          <w:lang w:eastAsia="en-US"/>
        </w:rPr>
        <w:t xml:space="preserve"> consent to </w:t>
      </w:r>
      <w:r w:rsidR="00491D96">
        <w:rPr>
          <w:lang w:eastAsia="en-US"/>
        </w:rPr>
        <w:t xml:space="preserve">some </w:t>
      </w:r>
      <w:r w:rsidR="00DF1F1D">
        <w:rPr>
          <w:lang w:eastAsia="en-US"/>
        </w:rPr>
        <w:t xml:space="preserve">decisions, they may still have </w:t>
      </w:r>
      <w:r w:rsidR="002D22A6">
        <w:rPr>
          <w:lang w:eastAsia="en-US"/>
        </w:rPr>
        <w:t xml:space="preserve">the </w:t>
      </w:r>
      <w:r w:rsidR="00DF1F1D">
        <w:rPr>
          <w:lang w:eastAsia="en-US"/>
        </w:rPr>
        <w:t xml:space="preserve">capacity to speak about their treatment to the Subcommittee and should be supported to </w:t>
      </w:r>
      <w:r w:rsidR="00197AA0">
        <w:rPr>
          <w:lang w:eastAsia="en-US"/>
        </w:rPr>
        <w:t xml:space="preserve">do so to </w:t>
      </w:r>
      <w:r w:rsidR="00DF1F1D">
        <w:rPr>
          <w:lang w:eastAsia="en-US"/>
        </w:rPr>
        <w:t xml:space="preserve">the greatest extent possible. </w:t>
      </w:r>
    </w:p>
    <w:p w14:paraId="0D152879" w14:textId="2FB213AD" w:rsidR="00E42229" w:rsidRDefault="00852449" w:rsidP="008B206F">
      <w:pPr>
        <w:autoSpaceDE w:val="0"/>
        <w:autoSpaceDN w:val="0"/>
        <w:adjustRightInd w:val="0"/>
        <w:spacing w:after="240"/>
        <w:rPr>
          <w:rFonts w:cstheme="minorHAnsi"/>
        </w:rPr>
      </w:pPr>
      <w:r>
        <w:rPr>
          <w:rFonts w:cstheme="minorHAnsi"/>
        </w:rPr>
        <w:t xml:space="preserve">QAI respectfully </w:t>
      </w:r>
      <w:r w:rsidR="0083349E">
        <w:rPr>
          <w:rFonts w:cstheme="minorHAnsi"/>
        </w:rPr>
        <w:t>suggests</w:t>
      </w:r>
      <w:r>
        <w:rPr>
          <w:rFonts w:cstheme="minorHAnsi"/>
        </w:rPr>
        <w:t xml:space="preserve"> the removal o</w:t>
      </w:r>
      <w:r w:rsidR="0083349E">
        <w:rPr>
          <w:rFonts w:cstheme="minorHAnsi"/>
        </w:rPr>
        <w:t>f, o</w:t>
      </w:r>
      <w:r>
        <w:rPr>
          <w:rFonts w:cstheme="minorHAnsi"/>
        </w:rPr>
        <w:t>r significant amendment to</w:t>
      </w:r>
      <w:r w:rsidR="0083349E">
        <w:rPr>
          <w:rFonts w:cstheme="minorHAnsi"/>
        </w:rPr>
        <w:t>, C</w:t>
      </w:r>
      <w:r>
        <w:rPr>
          <w:rFonts w:cstheme="minorHAnsi"/>
        </w:rPr>
        <w:t xml:space="preserve">lause 16 </w:t>
      </w:r>
      <w:proofErr w:type="gramStart"/>
      <w:r w:rsidR="0083349E">
        <w:rPr>
          <w:rFonts w:cstheme="minorHAnsi"/>
        </w:rPr>
        <w:t xml:space="preserve">in order </w:t>
      </w:r>
      <w:r>
        <w:rPr>
          <w:rFonts w:cstheme="minorHAnsi"/>
        </w:rPr>
        <w:t>to</w:t>
      </w:r>
      <w:proofErr w:type="gramEnd"/>
      <w:r>
        <w:rPr>
          <w:rFonts w:cstheme="minorHAnsi"/>
        </w:rPr>
        <w:t xml:space="preserve"> address the</w:t>
      </w:r>
      <w:r w:rsidR="0083349E">
        <w:rPr>
          <w:rFonts w:cstheme="minorHAnsi"/>
        </w:rPr>
        <w:t>se issues</w:t>
      </w:r>
      <w:r>
        <w:rPr>
          <w:rFonts w:cstheme="minorHAnsi"/>
        </w:rPr>
        <w:t xml:space="preserve">. </w:t>
      </w:r>
      <w:r w:rsidR="00B868D2">
        <w:rPr>
          <w:rFonts w:cstheme="minorHAnsi"/>
        </w:rPr>
        <w:t xml:space="preserve">There should </w:t>
      </w:r>
      <w:r w:rsidR="00237524">
        <w:rPr>
          <w:rFonts w:cstheme="minorHAnsi"/>
        </w:rPr>
        <w:t xml:space="preserve">also </w:t>
      </w:r>
      <w:r w:rsidR="00B868D2">
        <w:rPr>
          <w:rFonts w:cstheme="minorHAnsi"/>
        </w:rPr>
        <w:t xml:space="preserve">be provision </w:t>
      </w:r>
      <w:r w:rsidR="00237524">
        <w:rPr>
          <w:rFonts w:cstheme="minorHAnsi"/>
        </w:rPr>
        <w:t xml:space="preserve">in the Bill </w:t>
      </w:r>
      <w:r w:rsidR="00B868D2">
        <w:rPr>
          <w:rFonts w:cstheme="minorHAnsi"/>
        </w:rPr>
        <w:t>for detainee</w:t>
      </w:r>
      <w:r w:rsidR="00E42229">
        <w:rPr>
          <w:rFonts w:cstheme="minorHAnsi"/>
        </w:rPr>
        <w:t>s</w:t>
      </w:r>
      <w:r w:rsidR="00B25AC0">
        <w:rPr>
          <w:rFonts w:cstheme="minorHAnsi"/>
        </w:rPr>
        <w:t xml:space="preserve"> to access the support and information they require in order to exercise their legal capacity and </w:t>
      </w:r>
      <w:r w:rsidR="00237524">
        <w:rPr>
          <w:rFonts w:cstheme="minorHAnsi"/>
        </w:rPr>
        <w:t xml:space="preserve">to </w:t>
      </w:r>
      <w:r w:rsidR="00B25AC0">
        <w:rPr>
          <w:rFonts w:cstheme="minorHAnsi"/>
        </w:rPr>
        <w:t>make or participate in decision-making regarding their engagement with the Subcommittee on an equal basis with others.</w:t>
      </w:r>
      <w:r w:rsidR="007852F5">
        <w:rPr>
          <w:rFonts w:cstheme="minorHAnsi"/>
        </w:rPr>
        <w:t xml:space="preserve"> </w:t>
      </w:r>
      <w:r w:rsidR="007852F5">
        <w:rPr>
          <w:lang w:eastAsia="en-US"/>
        </w:rPr>
        <w:t xml:space="preserve">Furthermore, QAI endorses Prisoners’ Legal Service’s position that the right contained </w:t>
      </w:r>
      <w:r w:rsidR="007852F5">
        <w:rPr>
          <w:lang w:eastAsia="en-US"/>
        </w:rPr>
        <w:lastRenderedPageBreak/>
        <w:t>within Clause 17 for a person being interviewed to request a support person is insufficient and inappropriately places the onus on a detainee who may have limited capacity to seek support.</w:t>
      </w:r>
    </w:p>
    <w:p w14:paraId="391E82B9" w14:textId="77777777" w:rsidR="008C19D8" w:rsidRPr="00E5774A" w:rsidRDefault="008C19D8" w:rsidP="008B206F">
      <w:pPr>
        <w:pStyle w:val="Heading1"/>
        <w:spacing w:after="240"/>
      </w:pPr>
      <w:r w:rsidRPr="00E5774A">
        <w:t>Conclusion</w:t>
      </w:r>
    </w:p>
    <w:p w14:paraId="0E7ABA58" w14:textId="25E971E8" w:rsidR="00165C7B" w:rsidRDefault="008C19D8" w:rsidP="008B206F">
      <w:pPr>
        <w:spacing w:after="240"/>
      </w:pPr>
      <w:r w:rsidRPr="00EB03E4">
        <w:t xml:space="preserve">QAI thanks </w:t>
      </w:r>
      <w:r w:rsidR="00A736D1">
        <w:t>the Legal Affairs and Safety Committee</w:t>
      </w:r>
      <w:r w:rsidR="00EA5290">
        <w:t xml:space="preserve"> </w:t>
      </w:r>
      <w:r w:rsidRPr="00EB03E4">
        <w:t>for the opportunity to contribute to this inquiry. We are happy to provide further information or clarification of any of the matters raised in this submission upon request.</w:t>
      </w:r>
    </w:p>
    <w:p w14:paraId="00B15694" w14:textId="03DD6A35" w:rsidR="00C67DFF" w:rsidRPr="00EB03E4" w:rsidRDefault="00371E41" w:rsidP="00C67DFF">
      <w:pPr>
        <w:spacing w:after="240"/>
      </w:pPr>
      <w:r>
        <w:t>QAI would also like to reiterate the</w:t>
      </w:r>
      <w:r w:rsidR="00A54925">
        <w:t xml:space="preserve"> six</w:t>
      </w:r>
      <w:r>
        <w:t xml:space="preserve"> </w:t>
      </w:r>
      <w:r w:rsidR="00B01A54">
        <w:t xml:space="preserve">recommendations </w:t>
      </w:r>
      <w:r w:rsidR="00A54925">
        <w:t>for effective implementation of OPCAT in Queensland</w:t>
      </w:r>
      <w:r w:rsidR="00C67DFF">
        <w:t xml:space="preserve"> that were </w:t>
      </w:r>
      <w:r w:rsidR="00B01A54">
        <w:t xml:space="preserve">presented to the Attorney-General </w:t>
      </w:r>
      <w:r w:rsidR="00C67DFF">
        <w:t>in a letter from</w:t>
      </w:r>
      <w:r w:rsidR="00B01A54">
        <w:t xml:space="preserve"> civil society in </w:t>
      </w:r>
      <w:r w:rsidR="00C67DFF">
        <w:t>December 2022. A copy of that letter is included with this submission.</w:t>
      </w:r>
    </w:p>
    <w:p w14:paraId="63F8E205" w14:textId="57D38884" w:rsidR="00A54925" w:rsidRPr="00EB03E4" w:rsidRDefault="00A54925" w:rsidP="008B206F">
      <w:pPr>
        <w:spacing w:after="240"/>
      </w:pPr>
    </w:p>
    <w:sectPr w:rsidR="00A54925" w:rsidRPr="00EB03E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85DE" w14:textId="77777777" w:rsidR="00E9014A" w:rsidRDefault="00E9014A" w:rsidP="007A3268">
      <w:r>
        <w:separator/>
      </w:r>
    </w:p>
  </w:endnote>
  <w:endnote w:type="continuationSeparator" w:id="0">
    <w:p w14:paraId="08D5E027" w14:textId="77777777" w:rsidR="00E9014A" w:rsidRDefault="00E9014A" w:rsidP="007A3268">
      <w:r>
        <w:continuationSeparator/>
      </w:r>
    </w:p>
  </w:endnote>
  <w:endnote w:type="continuationNotice" w:id="1">
    <w:p w14:paraId="26BCF708" w14:textId="77777777" w:rsidR="00E9014A" w:rsidRDefault="00E90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9F7112" w:rsidRDefault="007A326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DE">
      <w:rPr>
        <w:rStyle w:val="PageNumber"/>
        <w:noProof/>
      </w:rPr>
      <w:t>3</w:t>
    </w:r>
    <w:r>
      <w:rPr>
        <w:rStyle w:val="PageNumber"/>
      </w:rPr>
      <w:fldChar w:fldCharType="end"/>
    </w:r>
  </w:p>
  <w:p w14:paraId="30822E4A" w14:textId="77777777" w:rsidR="009F7112" w:rsidRDefault="009F7112"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9F7112" w:rsidRPr="005079CE" w:rsidRDefault="009F7112"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9F7112" w:rsidRPr="00475C02" w:rsidRDefault="007A3268" w:rsidP="002E37E5">
        <w:pPr>
          <w:pStyle w:val="Footer"/>
          <w:framePr w:w="266"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9F7112" w:rsidRPr="00BC44D8" w:rsidRDefault="007A326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1545DE" w:rsidRPr="009F7112" w:rsidRDefault="00E8197C"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3FB55"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002F2614" w:rsidRPr="009F7112">
      <w:rPr>
        <w:b/>
        <w:bCs/>
      </w:rPr>
      <w:t>A</w:t>
    </w:r>
    <w:r w:rsidR="002F2614" w:rsidRPr="009F7112">
      <w:t xml:space="preserve"> </w:t>
    </w:r>
    <w:r w:rsidR="00BB7502" w:rsidRPr="009F7112">
      <w:t>Level 2, 43 Peel St (PO Box 3384), South Brisbane</w:t>
    </w:r>
    <w:r w:rsidR="002F2614" w:rsidRPr="009F7112">
      <w:t xml:space="preserve"> QLD </w:t>
    </w:r>
    <w:proofErr w:type="gramStart"/>
    <w:r w:rsidR="002F2614" w:rsidRPr="009F7112">
      <w:t>4101</w:t>
    </w:r>
    <w:r w:rsidR="00A318AD" w:rsidRPr="009F7112">
      <w:t xml:space="preserve"> </w:t>
    </w:r>
    <w:r w:rsidR="002F2614" w:rsidRPr="009F7112">
      <w:t xml:space="preserve"> </w:t>
    </w:r>
    <w:r w:rsidR="002F2614" w:rsidRPr="009F7112">
      <w:rPr>
        <w:b/>
        <w:bCs/>
      </w:rPr>
      <w:t>P</w:t>
    </w:r>
    <w:proofErr w:type="gramEnd"/>
    <w:r w:rsidR="002F2614" w:rsidRPr="009F7112">
      <w:t xml:space="preserve"> 07 3844 4200 </w:t>
    </w:r>
    <w:r w:rsidR="00A318AD" w:rsidRPr="009F7112">
      <w:t xml:space="preserve"> </w:t>
    </w:r>
    <w:r w:rsidR="002F2614" w:rsidRPr="009F7112">
      <w:rPr>
        <w:b/>
        <w:bCs/>
      </w:rPr>
      <w:t>W</w:t>
    </w:r>
    <w:r w:rsidR="002F2614" w:rsidRPr="009F7112">
      <w:t xml:space="preserve"> </w:t>
    </w:r>
    <w:hyperlink r:id="rId1" w:history="1">
      <w:r w:rsidR="004F0FB6" w:rsidRPr="009F7112">
        <w:rPr>
          <w:rStyle w:val="Hyperlink"/>
          <w:color w:val="auto"/>
        </w:rPr>
        <w:t>qai@qai.org.au</w:t>
      </w:r>
    </w:hyperlink>
    <w:r w:rsidR="004F0FB6" w:rsidRPr="009F7112">
      <w:t xml:space="preserve">                  </w:t>
    </w:r>
    <w:r w:rsidR="001545DE" w:rsidRPr="009F7112">
      <w:fldChar w:fldCharType="begin"/>
    </w:r>
    <w:r w:rsidR="001545DE" w:rsidRPr="009F7112">
      <w:instrText xml:space="preserve"> PAGE   \* MERGEFORMAT </w:instrText>
    </w:r>
    <w:r w:rsidR="001545DE" w:rsidRPr="009F7112">
      <w:fldChar w:fldCharType="separate"/>
    </w:r>
    <w:r w:rsidR="001545DE" w:rsidRPr="009F7112">
      <w:rPr>
        <w:noProof/>
      </w:rPr>
      <w:t>2</w:t>
    </w:r>
    <w:r w:rsidR="001545DE" w:rsidRPr="009F7112">
      <w:rPr>
        <w:noProof/>
      </w:rPr>
      <w:fldChar w:fldCharType="end"/>
    </w:r>
  </w:p>
  <w:p w14:paraId="30C90ADD" w14:textId="36CF1B4D" w:rsidR="009F7112" w:rsidRPr="001545DE" w:rsidRDefault="009F7112"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494734" w:rsidRDefault="00494734"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494734" w:rsidRPr="001545DE" w:rsidRDefault="00494734"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E1AA" w14:textId="77777777" w:rsidR="00E9014A" w:rsidRDefault="00E9014A" w:rsidP="007A3268">
      <w:r>
        <w:separator/>
      </w:r>
    </w:p>
  </w:footnote>
  <w:footnote w:type="continuationSeparator" w:id="0">
    <w:p w14:paraId="2707AB50" w14:textId="77777777" w:rsidR="00E9014A" w:rsidRDefault="00E9014A" w:rsidP="007A3268">
      <w:r>
        <w:continuationSeparator/>
      </w:r>
    </w:p>
  </w:footnote>
  <w:footnote w:type="continuationNotice" w:id="1">
    <w:p w14:paraId="012FEACA" w14:textId="77777777" w:rsidR="00E9014A" w:rsidRDefault="00E9014A"/>
  </w:footnote>
  <w:footnote w:id="2">
    <w:p w14:paraId="33958394" w14:textId="77777777" w:rsidR="00467301" w:rsidRDefault="00467301" w:rsidP="00467301">
      <w:pPr>
        <w:pStyle w:val="FootnoteText"/>
      </w:pPr>
      <w:r w:rsidRPr="00D66C68">
        <w:rPr>
          <w:rStyle w:val="FootnoteReference"/>
          <w:sz w:val="22"/>
          <w:szCs w:val="22"/>
        </w:rPr>
        <w:footnoteRef/>
      </w:r>
      <w:r w:rsidRPr="00D66C68">
        <w:rPr>
          <w:sz w:val="22"/>
          <w:szCs w:val="22"/>
        </w:rPr>
        <w:t xml:space="preserve"> O</w:t>
      </w:r>
      <w:r w:rsidRPr="00D66C68">
        <w:t xml:space="preserve">ffice of the United Nations High Commissioner for Human Rights, “UN torture prevention body suspends visit to Australia citing lack of co-operation”, 23 October 2022. </w:t>
      </w:r>
      <w:r w:rsidRPr="00D66C68">
        <w:rPr>
          <w:sz w:val="22"/>
          <w:szCs w:val="22"/>
        </w:rPr>
        <w:t xml:space="preserve"> </w:t>
      </w:r>
    </w:p>
  </w:footnote>
  <w:footnote w:id="3">
    <w:p w14:paraId="3D4456F8" w14:textId="3469ECA3" w:rsidR="00FD5C2C" w:rsidRDefault="00FD5C2C">
      <w:pPr>
        <w:pStyle w:val="FootnoteText"/>
      </w:pPr>
      <w:r>
        <w:rPr>
          <w:rStyle w:val="FootnoteReference"/>
        </w:rPr>
        <w:footnoteRef/>
      </w:r>
      <w:r>
        <w:t xml:space="preserve"> </w:t>
      </w:r>
      <w:r w:rsidR="00175D5A">
        <w:t>Optional Protocol to the Convention Against Torture, Article</w:t>
      </w:r>
      <w:r w:rsidR="00257BD9">
        <w:t>s 2</w:t>
      </w:r>
      <w:r w:rsidR="0098393C">
        <w:t>, 3</w:t>
      </w:r>
      <w:r w:rsidR="00257BD9">
        <w:t xml:space="preserve"> and 4</w:t>
      </w:r>
    </w:p>
  </w:footnote>
  <w:footnote w:id="4">
    <w:p w14:paraId="145A917D" w14:textId="6CA57C54" w:rsidR="5F9F4F74" w:rsidRDefault="5F9F4F74" w:rsidP="5F9F4F74">
      <w:pPr>
        <w:pStyle w:val="FootnoteText"/>
      </w:pPr>
      <w:r w:rsidRPr="5F9F4F74">
        <w:rPr>
          <w:rStyle w:val="FootnoteReference"/>
        </w:rPr>
        <w:footnoteRef/>
      </w:r>
      <w:r>
        <w:t xml:space="preserve"> The Central Queensland Hospital Health Service (CQHHS) Rockhampton Mental Health Inpatient Unit (MHIPU);</w:t>
      </w:r>
    </w:p>
    <w:p w14:paraId="48114B6B" w14:textId="1E8A94B2" w:rsidR="5F9F4F74" w:rsidRDefault="5F9F4F74" w:rsidP="5F9F4F74">
      <w:pPr>
        <w:pStyle w:val="FootnoteText"/>
      </w:pPr>
      <w:r>
        <w:t>Queensland’s Forensic Disability Service (FDS); and West Moreton High Security Inpatient Service (HSIS) at The Park. QAI's concerns regarding these facilities are documented in our submission ‘Places of Detention’ to the Disability Royal Commission (</w:t>
      </w:r>
      <w:hyperlink r:id="rId1">
        <w:r w:rsidRPr="5F9F4F74">
          <w:rPr>
            <w:rStyle w:val="Hyperlink"/>
          </w:rPr>
          <w:t>https://qai.org.au/2022/09/02/places-of-detention-in-queensland/</w:t>
        </w:r>
      </w:hyperlink>
      <w:r>
        <w:t xml:space="preserve">) </w:t>
      </w:r>
    </w:p>
  </w:footnote>
  <w:footnote w:id="5">
    <w:p w14:paraId="07E40F63" w14:textId="630974DE" w:rsidR="5F9F4F74" w:rsidRDefault="5F9F4F74" w:rsidP="5F9F4F74">
      <w:pPr>
        <w:pStyle w:val="FootnoteText"/>
      </w:pPr>
      <w:r w:rsidRPr="5F9F4F74">
        <w:rPr>
          <w:rStyle w:val="FootnoteReference"/>
        </w:rPr>
        <w:footnoteRef/>
      </w:r>
      <w:r>
        <w:t xml:space="preserve"> Monitoring of Places of Detention (Optional Protocol to the Convention Against Torture) Bill 2022 Explanatory Notes, page 2</w:t>
      </w:r>
    </w:p>
  </w:footnote>
  <w:footnote w:id="6">
    <w:p w14:paraId="4D800196" w14:textId="5318D18C" w:rsidR="5F9F4F74" w:rsidRDefault="5F9F4F74" w:rsidP="5F9F4F74">
      <w:pPr>
        <w:pStyle w:val="FootnoteText"/>
      </w:pPr>
      <w:r w:rsidRPr="5F9F4F74">
        <w:rPr>
          <w:rStyle w:val="FootnoteReference"/>
        </w:rPr>
        <w:footnoteRef/>
      </w:r>
      <w:r>
        <w:t xml:space="preserve"> Ibid, page 1</w:t>
      </w:r>
    </w:p>
  </w:footnote>
  <w:footnote w:id="7">
    <w:p w14:paraId="7D384FA5" w14:textId="0C8E1731" w:rsidR="5F9F4F74" w:rsidRDefault="5F9F4F74" w:rsidP="5F9F4F74">
      <w:pPr>
        <w:pStyle w:val="FootnoteText"/>
      </w:pPr>
      <w:r w:rsidRPr="5F9F4F74">
        <w:rPr>
          <w:rStyle w:val="FootnoteReference"/>
        </w:rPr>
        <w:footnoteRef/>
      </w:r>
      <w:r>
        <w:t xml:space="preserve"> </w:t>
      </w:r>
      <w:r w:rsidRPr="5F9F4F74">
        <w:rPr>
          <w:i/>
          <w:iCs/>
        </w:rPr>
        <w:t>Monitoring of Places of Detention (Optional Protocol to the Convention Against Torture) Act 2018</w:t>
      </w:r>
      <w:r>
        <w:t xml:space="preserve"> (ACT), section 7</w:t>
      </w:r>
    </w:p>
  </w:footnote>
  <w:footnote w:id="8">
    <w:p w14:paraId="2CB941A3" w14:textId="1A314FA4" w:rsidR="5F9F4F74" w:rsidRDefault="5F9F4F74" w:rsidP="5F9F4F74">
      <w:pPr>
        <w:pStyle w:val="FootnoteText"/>
      </w:pPr>
      <w:r w:rsidRPr="5F9F4F74">
        <w:rPr>
          <w:rStyle w:val="FootnoteReference"/>
        </w:rPr>
        <w:footnoteRef/>
      </w:r>
      <w:r>
        <w:t xml:space="preserve"> Optional Protocol to the Convention Against Torture, Article 14(2)</w:t>
      </w:r>
    </w:p>
  </w:footnote>
  <w:footnote w:id="9">
    <w:p w14:paraId="09217551" w14:textId="34648F78" w:rsidR="5F9F4F74" w:rsidRDefault="5F9F4F74" w:rsidP="5F9F4F74">
      <w:pPr>
        <w:pStyle w:val="FootnoteText"/>
      </w:pPr>
      <w:r w:rsidRPr="5F9F4F74">
        <w:rPr>
          <w:rStyle w:val="FootnoteReference"/>
        </w:rPr>
        <w:footnoteRef/>
      </w:r>
      <w:r>
        <w:t xml:space="preserve"> Monitoring of Places of Detention (Optional Protocol to the Convention Against Torture) Bill</w:t>
      </w:r>
    </w:p>
    <w:p w14:paraId="3202A287" w14:textId="235233EF" w:rsidR="5F9F4F74" w:rsidRDefault="5F9F4F74" w:rsidP="5F9F4F74">
      <w:pPr>
        <w:pStyle w:val="FootnoteText"/>
      </w:pPr>
      <w:r>
        <w:t>2022, section 10(2)(a)(i)</w:t>
      </w:r>
    </w:p>
  </w:footnote>
  <w:footnote w:id="10">
    <w:p w14:paraId="11D919D0" w14:textId="44722B9D" w:rsidR="5F9F4F74" w:rsidRDefault="5F9F4F74" w:rsidP="5F9F4F74">
      <w:pPr>
        <w:pStyle w:val="FootnoteText"/>
      </w:pPr>
      <w:r w:rsidRPr="5F9F4F74">
        <w:rPr>
          <w:rStyle w:val="FootnoteReference"/>
        </w:rPr>
        <w:footnoteRef/>
      </w:r>
      <w:r>
        <w:t xml:space="preserve"> Monitoring of Places of Detention (Optional Protocol to the Convention Against Torture) Bill 2022 Explanatory Notes, page 3</w:t>
      </w:r>
    </w:p>
  </w:footnote>
  <w:footnote w:id="11">
    <w:p w14:paraId="419141D3" w14:textId="361164A8" w:rsidR="5F9F4F74" w:rsidRDefault="5F9F4F74" w:rsidP="5F9F4F74">
      <w:pPr>
        <w:pStyle w:val="FootnoteText"/>
      </w:pPr>
      <w:r w:rsidRPr="5F9F4F74">
        <w:rPr>
          <w:rStyle w:val="FootnoteReference"/>
        </w:rPr>
        <w:footnoteRef/>
      </w:r>
      <w:r>
        <w:t xml:space="preserve"> Monitoring of Places of Detention (Optional Protocol to the Convention Against Torture) Bill</w:t>
      </w:r>
    </w:p>
    <w:p w14:paraId="167843A6" w14:textId="421D02EA" w:rsidR="5F9F4F74" w:rsidRDefault="5F9F4F74" w:rsidP="5F9F4F74">
      <w:pPr>
        <w:pStyle w:val="FootnoteText"/>
      </w:pPr>
      <w:r>
        <w:t>2022, section 11(1)</w:t>
      </w:r>
    </w:p>
  </w:footnote>
  <w:footnote w:id="12">
    <w:p w14:paraId="0BA6D66E" w14:textId="77777777" w:rsidR="00FF62CE" w:rsidRDefault="00FF62CE" w:rsidP="00FF62CE">
      <w:pPr>
        <w:pStyle w:val="FootnoteText"/>
      </w:pPr>
      <w:r>
        <w:rPr>
          <w:rStyle w:val="FootnoteReference"/>
        </w:rPr>
        <w:footnoteRef/>
      </w:r>
      <w:r>
        <w:t xml:space="preserve"> Monitoring of Places of Detention (Optional Protocol to the Convention Against Torture) Bill</w:t>
      </w:r>
    </w:p>
    <w:p w14:paraId="2B9E9668" w14:textId="5E3BB521" w:rsidR="00FF62CE" w:rsidRPr="00FF62CE" w:rsidRDefault="00FF62CE" w:rsidP="00FF62CE">
      <w:pPr>
        <w:pStyle w:val="FootnoteText"/>
        <w:rPr>
          <w:lang w:val="en-US"/>
        </w:rPr>
      </w:pPr>
      <w:r>
        <w:t>2022, section 14</w:t>
      </w:r>
    </w:p>
  </w:footnote>
  <w:footnote w:id="13">
    <w:p w14:paraId="5B25E57D" w14:textId="755C1F3B" w:rsidR="00270800" w:rsidRDefault="00270800">
      <w:pPr>
        <w:pStyle w:val="FootnoteText"/>
      </w:pPr>
      <w:r>
        <w:rPr>
          <w:rStyle w:val="FootnoteReference"/>
        </w:rPr>
        <w:footnoteRef/>
      </w:r>
      <w:r>
        <w:t xml:space="preserve"> Optional Protocol to the Convention Against Torture, Article 16</w:t>
      </w:r>
    </w:p>
  </w:footnote>
  <w:footnote w:id="14">
    <w:p w14:paraId="5BCD7EB7" w14:textId="7D5FE3AE" w:rsidR="00734329" w:rsidRDefault="00734329">
      <w:pPr>
        <w:pStyle w:val="FootnoteText"/>
      </w:pPr>
      <w:r>
        <w:rPr>
          <w:rStyle w:val="FootnoteReference"/>
        </w:rPr>
        <w:footnoteRef/>
      </w:r>
      <w:r>
        <w:t xml:space="preserve"> </w:t>
      </w:r>
      <w:r>
        <w:rPr>
          <w:i/>
          <w:iCs/>
        </w:rPr>
        <w:t xml:space="preserve">Guardianship and Administration Act 2000 </w:t>
      </w:r>
      <w:r>
        <w:t xml:space="preserve">(Qld), s </w:t>
      </w:r>
      <w:r w:rsidR="00267BE9">
        <w:t>12</w:t>
      </w:r>
      <w:r w:rsidR="003D09D1">
        <w:t>(1)</w:t>
      </w:r>
    </w:p>
  </w:footnote>
  <w:footnote w:id="15">
    <w:p w14:paraId="70515C6E" w14:textId="5125DCE8" w:rsidR="00F415CD" w:rsidRPr="009A17B3" w:rsidRDefault="00F415CD">
      <w:pPr>
        <w:pStyle w:val="FootnoteText"/>
      </w:pPr>
      <w:r>
        <w:rPr>
          <w:rStyle w:val="FootnoteReference"/>
        </w:rPr>
        <w:footnoteRef/>
      </w:r>
      <w:r>
        <w:t xml:space="preserve"> </w:t>
      </w:r>
      <w:r w:rsidR="009A17B3">
        <w:rPr>
          <w:i/>
          <w:iCs/>
        </w:rPr>
        <w:t xml:space="preserve">Guardianship and Administration Act 2000 </w:t>
      </w:r>
      <w:r w:rsidR="009A17B3">
        <w:t xml:space="preserve">(Qld), Schedule </w:t>
      </w:r>
      <w:r w:rsidR="006B020D">
        <w:t xml:space="preserve">2, Part </w:t>
      </w:r>
      <w:r w:rsidR="000F7AE5">
        <w:t>2</w:t>
      </w:r>
    </w:p>
  </w:footnote>
  <w:footnote w:id="16">
    <w:p w14:paraId="36C75D74" w14:textId="4505D3BD" w:rsidR="00267BE9" w:rsidRDefault="00267BE9">
      <w:pPr>
        <w:pStyle w:val="FootnoteText"/>
      </w:pPr>
      <w:r>
        <w:rPr>
          <w:rStyle w:val="FootnoteReference"/>
        </w:rPr>
        <w:footnoteRef/>
      </w:r>
      <w:r>
        <w:t xml:space="preserve"> </w:t>
      </w:r>
      <w:r>
        <w:rPr>
          <w:i/>
          <w:iCs/>
        </w:rPr>
        <w:t xml:space="preserve">Guardianship and Administration Act 2000 </w:t>
      </w:r>
      <w:r>
        <w:t>(Qld), Schedule 2, Part 2</w:t>
      </w:r>
    </w:p>
  </w:footnote>
  <w:footnote w:id="17">
    <w:p w14:paraId="3AB93FB8" w14:textId="77777777" w:rsidR="003E51B1" w:rsidRPr="00EF3865" w:rsidRDefault="003E51B1" w:rsidP="003E51B1">
      <w:pPr>
        <w:pStyle w:val="FootnoteText"/>
        <w:rPr>
          <w:lang w:val="en-US"/>
        </w:rPr>
      </w:pPr>
      <w:r>
        <w:rPr>
          <w:rStyle w:val="FootnoteReference"/>
        </w:rPr>
        <w:footnoteRef/>
      </w:r>
      <w:r>
        <w:t xml:space="preserve"> </w:t>
      </w:r>
      <w:r>
        <w:rPr>
          <w:lang w:val="en-US"/>
        </w:rPr>
        <w:t>Convention on the Rights of Persons with Disabilities, Article 12</w:t>
      </w:r>
    </w:p>
  </w:footnote>
  <w:footnote w:id="18">
    <w:p w14:paraId="6FCE5719" w14:textId="77777777" w:rsidR="003E51B1" w:rsidRPr="0086693D" w:rsidRDefault="003E51B1" w:rsidP="003E51B1">
      <w:pPr>
        <w:pStyle w:val="FootnoteText"/>
        <w:rPr>
          <w:lang w:val="en-US"/>
        </w:rPr>
      </w:pPr>
      <w:r>
        <w:rPr>
          <w:rStyle w:val="FootnoteReference"/>
        </w:rPr>
        <w:footnoteRef/>
      </w:r>
      <w:r>
        <w:t xml:space="preserve"> </w:t>
      </w:r>
      <w:r w:rsidRPr="009A4E9F">
        <w:rPr>
          <w:i/>
          <w:iCs/>
          <w:lang w:val="en-US"/>
        </w:rPr>
        <w:t>Human Rights Act 2019</w:t>
      </w:r>
      <w:r>
        <w:rPr>
          <w:lang w:val="en-US"/>
        </w:rPr>
        <w:t xml:space="preserve"> (Qld), section 15</w:t>
      </w:r>
    </w:p>
  </w:footnote>
  <w:footnote w:id="19">
    <w:p w14:paraId="5CB2AD59" w14:textId="63B60CF2" w:rsidR="00990F98" w:rsidRPr="00990F98" w:rsidRDefault="00990F98">
      <w:pPr>
        <w:pStyle w:val="FootnoteText"/>
        <w:rPr>
          <w:lang w:val="en-US"/>
        </w:rPr>
      </w:pPr>
      <w:r>
        <w:rPr>
          <w:rStyle w:val="FootnoteReference"/>
        </w:rPr>
        <w:footnoteRef/>
      </w:r>
      <w:r>
        <w:t xml:space="preserve"> </w:t>
      </w:r>
      <w:r w:rsidR="00842107" w:rsidRPr="00842107">
        <w:t>Public Advocate (Queensland), 2018, Annual Report 2017-18, pp i-ii.</w:t>
      </w:r>
    </w:p>
  </w:footnote>
  <w:footnote w:id="20">
    <w:p w14:paraId="57E7DED4" w14:textId="72607E2B" w:rsidR="0039342F" w:rsidRPr="0039342F" w:rsidRDefault="0039342F">
      <w:pPr>
        <w:pStyle w:val="FootnoteText"/>
        <w:rPr>
          <w:lang w:val="en-US"/>
        </w:rPr>
      </w:pPr>
      <w:r>
        <w:rPr>
          <w:rStyle w:val="FootnoteReference"/>
        </w:rPr>
        <w:footnoteRef/>
      </w:r>
      <w:r>
        <w:t xml:space="preserve"> </w:t>
      </w:r>
      <w:r>
        <w:rPr>
          <w:lang w:val="en-US"/>
        </w:rPr>
        <w:t>Ibid</w:t>
      </w:r>
    </w:p>
  </w:footnote>
  <w:footnote w:id="21">
    <w:p w14:paraId="4396FB12" w14:textId="4ACDA122" w:rsidR="00EC1B8F" w:rsidRDefault="00EC1B8F">
      <w:pPr>
        <w:pStyle w:val="FootnoteText"/>
      </w:pPr>
      <w:r>
        <w:rPr>
          <w:rStyle w:val="FootnoteReference"/>
        </w:rPr>
        <w:footnoteRef/>
      </w:r>
      <w:r>
        <w:t xml:space="preserve"> Optional Protocol to the Convention Against Torture, Article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9F7112" w:rsidRDefault="00D42CE4"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006127CF"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0469E"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D47DF5" w:rsidRPr="004073CD" w:rsidRDefault="00D47DF5"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1545DE" w:rsidRPr="001545DE" w:rsidRDefault="001545DE" w:rsidP="001545D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4nilUc8" int2:invalidationBookmarkName="" int2:hashCode="F1g1bbIXWffFoN" int2:id="0f20DovJ">
      <int2:state int2:value="Rejected" int2:type="LegacyProofing"/>
    </int2:bookmark>
    <int2:bookmark int2:bookmarkName="_Int_AMzFU8j1" int2:invalidationBookmarkName="" int2:hashCode="ncZBcOllrhgDnw" int2:id="AV4LuFOs">
      <int2:state int2:value="Rejected" int2:type="WordDesignerDefaultAnnotation"/>
    </int2:bookmark>
    <int2:bookmark int2:bookmarkName="_Int_tN51S2vj" int2:invalidationBookmarkName="" int2:hashCode="JGqSOI90XjmLi0" int2:id="WRvYJc1O">
      <int2:state int2:value="Rejected" int2:type="LegacyProofing"/>
    </int2:bookmark>
    <int2:bookmark int2:bookmarkName="_Int_WnKSaqNn" int2:invalidationBookmarkName="" int2:hashCode="qkpfgSXyNBguLe" int2:id="mXrZZNV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5B9"/>
    <w:multiLevelType w:val="hybridMultilevel"/>
    <w:tmpl w:val="21A04EF2"/>
    <w:lvl w:ilvl="0" w:tplc="BC9E9166">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2E4738F"/>
    <w:multiLevelType w:val="hybridMultilevel"/>
    <w:tmpl w:val="FC32CFC6"/>
    <w:lvl w:ilvl="0" w:tplc="BC9E9166">
      <w:numFmt w:val="bullet"/>
      <w:lvlText w:val="•"/>
      <w:lvlJc w:val="left"/>
      <w:pPr>
        <w:ind w:left="1247" w:hanging="720"/>
      </w:pPr>
      <w:rPr>
        <w:rFonts w:ascii="Calibri" w:eastAsiaTheme="minorHAnsi" w:hAnsi="Calibri" w:cs="Calibri"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3" w15:restartNumberingAfterBreak="0">
    <w:nsid w:val="4A711A3A"/>
    <w:multiLevelType w:val="hybridMultilevel"/>
    <w:tmpl w:val="10F60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0255B86"/>
    <w:multiLevelType w:val="hybridMultilevel"/>
    <w:tmpl w:val="B66E4E4E"/>
    <w:lvl w:ilvl="0" w:tplc="9286C728">
      <w:numFmt w:val="bullet"/>
      <w:lvlText w:val="-"/>
      <w:lvlJc w:val="left"/>
      <w:pPr>
        <w:ind w:left="694" w:hanging="360"/>
      </w:pPr>
      <w:rPr>
        <w:rFonts w:ascii="Calibri" w:eastAsiaTheme="minorHAnsi" w:hAnsi="Calibri" w:cs="Calibri"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5" w15:restartNumberingAfterBreak="0">
    <w:nsid w:val="5BFC2BEC"/>
    <w:multiLevelType w:val="hybridMultilevel"/>
    <w:tmpl w:val="723E22D6"/>
    <w:lvl w:ilvl="0" w:tplc="BC9E916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6697E"/>
    <w:multiLevelType w:val="hybridMultilevel"/>
    <w:tmpl w:val="8F62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285720"/>
    <w:multiLevelType w:val="hybridMultilevel"/>
    <w:tmpl w:val="743CC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F42B8D"/>
    <w:multiLevelType w:val="hybridMultilevel"/>
    <w:tmpl w:val="76ECD078"/>
    <w:lvl w:ilvl="0" w:tplc="BC9E916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A940A9"/>
    <w:multiLevelType w:val="hybridMultilevel"/>
    <w:tmpl w:val="CBA288C8"/>
    <w:lvl w:ilvl="0" w:tplc="9286C728">
      <w:numFmt w:val="bullet"/>
      <w:lvlText w:val="-"/>
      <w:lvlJc w:val="left"/>
      <w:pPr>
        <w:ind w:left="527" w:hanging="360"/>
      </w:pPr>
      <w:rPr>
        <w:rFonts w:ascii="Calibri" w:eastAsiaTheme="minorHAnsi" w:hAnsi="Calibri" w:cs="Calibri"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11"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4161966">
    <w:abstractNumId w:val="1"/>
  </w:num>
  <w:num w:numId="2" w16cid:durableId="1310745365">
    <w:abstractNumId w:val="11"/>
  </w:num>
  <w:num w:numId="3" w16cid:durableId="338043484">
    <w:abstractNumId w:val="6"/>
  </w:num>
  <w:num w:numId="4" w16cid:durableId="105272464">
    <w:abstractNumId w:val="7"/>
  </w:num>
  <w:num w:numId="5" w16cid:durableId="1940066819">
    <w:abstractNumId w:val="3"/>
  </w:num>
  <w:num w:numId="6" w16cid:durableId="666707185">
    <w:abstractNumId w:val="8"/>
  </w:num>
  <w:num w:numId="7" w16cid:durableId="1285886975">
    <w:abstractNumId w:val="9"/>
  </w:num>
  <w:num w:numId="8" w16cid:durableId="750277583">
    <w:abstractNumId w:val="0"/>
  </w:num>
  <w:num w:numId="9" w16cid:durableId="19094332">
    <w:abstractNumId w:val="5"/>
  </w:num>
  <w:num w:numId="10" w16cid:durableId="253899880">
    <w:abstractNumId w:val="2"/>
  </w:num>
  <w:num w:numId="11" w16cid:durableId="695009631">
    <w:abstractNumId w:val="10"/>
  </w:num>
  <w:num w:numId="12" w16cid:durableId="1129124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22B8"/>
    <w:rsid w:val="00002DAD"/>
    <w:rsid w:val="00003CD5"/>
    <w:rsid w:val="00004D58"/>
    <w:rsid w:val="0000583B"/>
    <w:rsid w:val="00006691"/>
    <w:rsid w:val="000066E4"/>
    <w:rsid w:val="000101EB"/>
    <w:rsid w:val="0001140F"/>
    <w:rsid w:val="00014AAD"/>
    <w:rsid w:val="00014D8A"/>
    <w:rsid w:val="0001532F"/>
    <w:rsid w:val="00016E61"/>
    <w:rsid w:val="00020A4B"/>
    <w:rsid w:val="000225EC"/>
    <w:rsid w:val="0002439E"/>
    <w:rsid w:val="000246A7"/>
    <w:rsid w:val="000255E9"/>
    <w:rsid w:val="000258C3"/>
    <w:rsid w:val="000264CD"/>
    <w:rsid w:val="00026587"/>
    <w:rsid w:val="000269B6"/>
    <w:rsid w:val="0003081C"/>
    <w:rsid w:val="00033D7E"/>
    <w:rsid w:val="00033FF3"/>
    <w:rsid w:val="00034266"/>
    <w:rsid w:val="00036DC3"/>
    <w:rsid w:val="00036F4E"/>
    <w:rsid w:val="000417D0"/>
    <w:rsid w:val="00041857"/>
    <w:rsid w:val="00043ED5"/>
    <w:rsid w:val="00044225"/>
    <w:rsid w:val="00046902"/>
    <w:rsid w:val="00050E38"/>
    <w:rsid w:val="00052567"/>
    <w:rsid w:val="0005290D"/>
    <w:rsid w:val="000532EE"/>
    <w:rsid w:val="00054418"/>
    <w:rsid w:val="0005461A"/>
    <w:rsid w:val="00054CD7"/>
    <w:rsid w:val="00055364"/>
    <w:rsid w:val="00056C44"/>
    <w:rsid w:val="00061596"/>
    <w:rsid w:val="00061D7E"/>
    <w:rsid w:val="0006345C"/>
    <w:rsid w:val="00063E13"/>
    <w:rsid w:val="00064D2F"/>
    <w:rsid w:val="0006773F"/>
    <w:rsid w:val="00067B0A"/>
    <w:rsid w:val="0007591C"/>
    <w:rsid w:val="0007793B"/>
    <w:rsid w:val="00081E55"/>
    <w:rsid w:val="00082018"/>
    <w:rsid w:val="00082437"/>
    <w:rsid w:val="00082AE5"/>
    <w:rsid w:val="00082BEE"/>
    <w:rsid w:val="000832AE"/>
    <w:rsid w:val="0008412B"/>
    <w:rsid w:val="000849F0"/>
    <w:rsid w:val="000856C9"/>
    <w:rsid w:val="00086CFE"/>
    <w:rsid w:val="00087060"/>
    <w:rsid w:val="00090581"/>
    <w:rsid w:val="00091888"/>
    <w:rsid w:val="00092348"/>
    <w:rsid w:val="000938D6"/>
    <w:rsid w:val="00097D37"/>
    <w:rsid w:val="00097E2A"/>
    <w:rsid w:val="00097EE2"/>
    <w:rsid w:val="000A1ABB"/>
    <w:rsid w:val="000A4E20"/>
    <w:rsid w:val="000A6985"/>
    <w:rsid w:val="000A7EEF"/>
    <w:rsid w:val="000B0155"/>
    <w:rsid w:val="000B0434"/>
    <w:rsid w:val="000B16BF"/>
    <w:rsid w:val="000B4113"/>
    <w:rsid w:val="000B516D"/>
    <w:rsid w:val="000B58F5"/>
    <w:rsid w:val="000B5A7E"/>
    <w:rsid w:val="000B6729"/>
    <w:rsid w:val="000C1EF4"/>
    <w:rsid w:val="000C2848"/>
    <w:rsid w:val="000C36E2"/>
    <w:rsid w:val="000C4B27"/>
    <w:rsid w:val="000C7E94"/>
    <w:rsid w:val="000D099D"/>
    <w:rsid w:val="000D11FF"/>
    <w:rsid w:val="000D2205"/>
    <w:rsid w:val="000D7516"/>
    <w:rsid w:val="000E3C42"/>
    <w:rsid w:val="000E718F"/>
    <w:rsid w:val="000E748A"/>
    <w:rsid w:val="000E7CA2"/>
    <w:rsid w:val="000F0E90"/>
    <w:rsid w:val="000F4761"/>
    <w:rsid w:val="000F6998"/>
    <w:rsid w:val="000F7AE5"/>
    <w:rsid w:val="00100A5F"/>
    <w:rsid w:val="001021DB"/>
    <w:rsid w:val="00102475"/>
    <w:rsid w:val="001034E3"/>
    <w:rsid w:val="00110013"/>
    <w:rsid w:val="00110D31"/>
    <w:rsid w:val="00111DDD"/>
    <w:rsid w:val="00112192"/>
    <w:rsid w:val="00112B61"/>
    <w:rsid w:val="00115DBE"/>
    <w:rsid w:val="001235AF"/>
    <w:rsid w:val="0012402A"/>
    <w:rsid w:val="001260DE"/>
    <w:rsid w:val="00130292"/>
    <w:rsid w:val="00130DEB"/>
    <w:rsid w:val="00130F53"/>
    <w:rsid w:val="00132767"/>
    <w:rsid w:val="00136BB9"/>
    <w:rsid w:val="00137781"/>
    <w:rsid w:val="00142767"/>
    <w:rsid w:val="0014401B"/>
    <w:rsid w:val="00144306"/>
    <w:rsid w:val="00151290"/>
    <w:rsid w:val="00151EB8"/>
    <w:rsid w:val="00153311"/>
    <w:rsid w:val="001545DE"/>
    <w:rsid w:val="00154D49"/>
    <w:rsid w:val="00155880"/>
    <w:rsid w:val="001562CF"/>
    <w:rsid w:val="00157668"/>
    <w:rsid w:val="00160F38"/>
    <w:rsid w:val="00161671"/>
    <w:rsid w:val="00163A7B"/>
    <w:rsid w:val="00163D4D"/>
    <w:rsid w:val="001645DB"/>
    <w:rsid w:val="00165C7B"/>
    <w:rsid w:val="00170AEB"/>
    <w:rsid w:val="00170D0C"/>
    <w:rsid w:val="0017194E"/>
    <w:rsid w:val="00171E4B"/>
    <w:rsid w:val="00172E91"/>
    <w:rsid w:val="00172F4F"/>
    <w:rsid w:val="0017499D"/>
    <w:rsid w:val="00175D5A"/>
    <w:rsid w:val="00175E03"/>
    <w:rsid w:val="00176CF1"/>
    <w:rsid w:val="001775F7"/>
    <w:rsid w:val="00177919"/>
    <w:rsid w:val="00183544"/>
    <w:rsid w:val="00184102"/>
    <w:rsid w:val="00184A98"/>
    <w:rsid w:val="001902DE"/>
    <w:rsid w:val="001912D0"/>
    <w:rsid w:val="00191483"/>
    <w:rsid w:val="0019207A"/>
    <w:rsid w:val="00194A06"/>
    <w:rsid w:val="00196D17"/>
    <w:rsid w:val="00197364"/>
    <w:rsid w:val="00197AA0"/>
    <w:rsid w:val="001A0F46"/>
    <w:rsid w:val="001A3D14"/>
    <w:rsid w:val="001A6949"/>
    <w:rsid w:val="001A7D39"/>
    <w:rsid w:val="001B13C6"/>
    <w:rsid w:val="001B1988"/>
    <w:rsid w:val="001B3183"/>
    <w:rsid w:val="001B34C7"/>
    <w:rsid w:val="001B39D0"/>
    <w:rsid w:val="001B5E01"/>
    <w:rsid w:val="001C2CEE"/>
    <w:rsid w:val="001C47DE"/>
    <w:rsid w:val="001C58B2"/>
    <w:rsid w:val="001C67F6"/>
    <w:rsid w:val="001C6A45"/>
    <w:rsid w:val="001C73B3"/>
    <w:rsid w:val="001C797A"/>
    <w:rsid w:val="001D06FF"/>
    <w:rsid w:val="001D1102"/>
    <w:rsid w:val="001D313B"/>
    <w:rsid w:val="001D4F1B"/>
    <w:rsid w:val="001E3261"/>
    <w:rsid w:val="001E3CDB"/>
    <w:rsid w:val="001F12C0"/>
    <w:rsid w:val="001F1AD7"/>
    <w:rsid w:val="001F1C8D"/>
    <w:rsid w:val="001F204D"/>
    <w:rsid w:val="001F27A1"/>
    <w:rsid w:val="001F5B7A"/>
    <w:rsid w:val="001F5D0C"/>
    <w:rsid w:val="001F5E60"/>
    <w:rsid w:val="001F76D7"/>
    <w:rsid w:val="001F7D71"/>
    <w:rsid w:val="002006C3"/>
    <w:rsid w:val="002014E9"/>
    <w:rsid w:val="0020208A"/>
    <w:rsid w:val="002020CC"/>
    <w:rsid w:val="00202769"/>
    <w:rsid w:val="00203B9C"/>
    <w:rsid w:val="002041D7"/>
    <w:rsid w:val="00205E09"/>
    <w:rsid w:val="0021178F"/>
    <w:rsid w:val="00212A3B"/>
    <w:rsid w:val="00215BDF"/>
    <w:rsid w:val="002161DA"/>
    <w:rsid w:val="0021667A"/>
    <w:rsid w:val="0021692F"/>
    <w:rsid w:val="00222F6C"/>
    <w:rsid w:val="002233DC"/>
    <w:rsid w:val="00223A05"/>
    <w:rsid w:val="0022481B"/>
    <w:rsid w:val="002249DD"/>
    <w:rsid w:val="00224FC0"/>
    <w:rsid w:val="0022621E"/>
    <w:rsid w:val="002265C6"/>
    <w:rsid w:val="00226A78"/>
    <w:rsid w:val="00227922"/>
    <w:rsid w:val="00230FAE"/>
    <w:rsid w:val="00231BD3"/>
    <w:rsid w:val="00233C58"/>
    <w:rsid w:val="002352D5"/>
    <w:rsid w:val="00236F8A"/>
    <w:rsid w:val="00237524"/>
    <w:rsid w:val="00241F13"/>
    <w:rsid w:val="00242B12"/>
    <w:rsid w:val="00244579"/>
    <w:rsid w:val="00245591"/>
    <w:rsid w:val="00251202"/>
    <w:rsid w:val="00256449"/>
    <w:rsid w:val="00257BD9"/>
    <w:rsid w:val="0026287A"/>
    <w:rsid w:val="00262AA8"/>
    <w:rsid w:val="00263930"/>
    <w:rsid w:val="00265E2D"/>
    <w:rsid w:val="00267BE9"/>
    <w:rsid w:val="0027061A"/>
    <w:rsid w:val="00270800"/>
    <w:rsid w:val="00271F5B"/>
    <w:rsid w:val="0027238F"/>
    <w:rsid w:val="0027244B"/>
    <w:rsid w:val="002820D5"/>
    <w:rsid w:val="002833C2"/>
    <w:rsid w:val="0028456E"/>
    <w:rsid w:val="002846A8"/>
    <w:rsid w:val="00284F90"/>
    <w:rsid w:val="00292708"/>
    <w:rsid w:val="002941EF"/>
    <w:rsid w:val="002A2D7F"/>
    <w:rsid w:val="002A390B"/>
    <w:rsid w:val="002A4005"/>
    <w:rsid w:val="002A4379"/>
    <w:rsid w:val="002B008A"/>
    <w:rsid w:val="002B4A14"/>
    <w:rsid w:val="002B576E"/>
    <w:rsid w:val="002C06D9"/>
    <w:rsid w:val="002C11AC"/>
    <w:rsid w:val="002C6E8B"/>
    <w:rsid w:val="002D020E"/>
    <w:rsid w:val="002D1B8B"/>
    <w:rsid w:val="002D22A6"/>
    <w:rsid w:val="002D2A45"/>
    <w:rsid w:val="002D5691"/>
    <w:rsid w:val="002D73DE"/>
    <w:rsid w:val="002E128A"/>
    <w:rsid w:val="002E1DBD"/>
    <w:rsid w:val="002E2465"/>
    <w:rsid w:val="002E37E5"/>
    <w:rsid w:val="002E5450"/>
    <w:rsid w:val="002E7237"/>
    <w:rsid w:val="002E74F7"/>
    <w:rsid w:val="002F09C1"/>
    <w:rsid w:val="002F2614"/>
    <w:rsid w:val="002F2F01"/>
    <w:rsid w:val="00300659"/>
    <w:rsid w:val="0030336C"/>
    <w:rsid w:val="003033D5"/>
    <w:rsid w:val="00304144"/>
    <w:rsid w:val="003079B5"/>
    <w:rsid w:val="00310C02"/>
    <w:rsid w:val="0031446D"/>
    <w:rsid w:val="00314D67"/>
    <w:rsid w:val="003153E7"/>
    <w:rsid w:val="00315987"/>
    <w:rsid w:val="003163F9"/>
    <w:rsid w:val="0031775F"/>
    <w:rsid w:val="003179EB"/>
    <w:rsid w:val="0032168B"/>
    <w:rsid w:val="00325813"/>
    <w:rsid w:val="003276C9"/>
    <w:rsid w:val="003302ED"/>
    <w:rsid w:val="00332227"/>
    <w:rsid w:val="00333EE9"/>
    <w:rsid w:val="0033635A"/>
    <w:rsid w:val="00336BF1"/>
    <w:rsid w:val="00337B79"/>
    <w:rsid w:val="003406EF"/>
    <w:rsid w:val="00341962"/>
    <w:rsid w:val="00345F27"/>
    <w:rsid w:val="00347D0A"/>
    <w:rsid w:val="003504A8"/>
    <w:rsid w:val="00351744"/>
    <w:rsid w:val="00354CAF"/>
    <w:rsid w:val="00355626"/>
    <w:rsid w:val="00357CEC"/>
    <w:rsid w:val="00364995"/>
    <w:rsid w:val="00365121"/>
    <w:rsid w:val="003663A6"/>
    <w:rsid w:val="00367D9E"/>
    <w:rsid w:val="00370409"/>
    <w:rsid w:val="00371A39"/>
    <w:rsid w:val="00371E41"/>
    <w:rsid w:val="0037362C"/>
    <w:rsid w:val="00373A03"/>
    <w:rsid w:val="003761BF"/>
    <w:rsid w:val="00376E05"/>
    <w:rsid w:val="00380EB8"/>
    <w:rsid w:val="00382392"/>
    <w:rsid w:val="00383062"/>
    <w:rsid w:val="00383F97"/>
    <w:rsid w:val="00384A70"/>
    <w:rsid w:val="003852E8"/>
    <w:rsid w:val="00386BCE"/>
    <w:rsid w:val="003873E2"/>
    <w:rsid w:val="0039281B"/>
    <w:rsid w:val="00392A7F"/>
    <w:rsid w:val="00392F1B"/>
    <w:rsid w:val="0039342F"/>
    <w:rsid w:val="00396E93"/>
    <w:rsid w:val="00397C0E"/>
    <w:rsid w:val="00397E5E"/>
    <w:rsid w:val="003A0816"/>
    <w:rsid w:val="003A109D"/>
    <w:rsid w:val="003A15C0"/>
    <w:rsid w:val="003A3C97"/>
    <w:rsid w:val="003A3F58"/>
    <w:rsid w:val="003A408E"/>
    <w:rsid w:val="003A4EE2"/>
    <w:rsid w:val="003A51D7"/>
    <w:rsid w:val="003A6849"/>
    <w:rsid w:val="003A703E"/>
    <w:rsid w:val="003B0296"/>
    <w:rsid w:val="003B28C9"/>
    <w:rsid w:val="003B4311"/>
    <w:rsid w:val="003B4749"/>
    <w:rsid w:val="003B69AF"/>
    <w:rsid w:val="003B7BF8"/>
    <w:rsid w:val="003C0507"/>
    <w:rsid w:val="003C0B50"/>
    <w:rsid w:val="003C1E64"/>
    <w:rsid w:val="003C29E6"/>
    <w:rsid w:val="003C5D8C"/>
    <w:rsid w:val="003D09D1"/>
    <w:rsid w:val="003D0E6D"/>
    <w:rsid w:val="003D2307"/>
    <w:rsid w:val="003D257D"/>
    <w:rsid w:val="003D4D37"/>
    <w:rsid w:val="003D50B3"/>
    <w:rsid w:val="003D55E5"/>
    <w:rsid w:val="003D607F"/>
    <w:rsid w:val="003D7FF3"/>
    <w:rsid w:val="003E085F"/>
    <w:rsid w:val="003E12C9"/>
    <w:rsid w:val="003E1C85"/>
    <w:rsid w:val="003E3064"/>
    <w:rsid w:val="003E3DD5"/>
    <w:rsid w:val="003E51B1"/>
    <w:rsid w:val="003E5F67"/>
    <w:rsid w:val="003E7998"/>
    <w:rsid w:val="003F0F27"/>
    <w:rsid w:val="003F2383"/>
    <w:rsid w:val="003F3938"/>
    <w:rsid w:val="003F466D"/>
    <w:rsid w:val="003F5965"/>
    <w:rsid w:val="003F7909"/>
    <w:rsid w:val="003F7F37"/>
    <w:rsid w:val="00400996"/>
    <w:rsid w:val="004039E6"/>
    <w:rsid w:val="00404AFA"/>
    <w:rsid w:val="004073CD"/>
    <w:rsid w:val="00407C2D"/>
    <w:rsid w:val="004107EE"/>
    <w:rsid w:val="00410876"/>
    <w:rsid w:val="00413775"/>
    <w:rsid w:val="00415785"/>
    <w:rsid w:val="00415812"/>
    <w:rsid w:val="00417048"/>
    <w:rsid w:val="00417951"/>
    <w:rsid w:val="0043014C"/>
    <w:rsid w:val="0043085C"/>
    <w:rsid w:val="00431F45"/>
    <w:rsid w:val="0043548F"/>
    <w:rsid w:val="00440525"/>
    <w:rsid w:val="0044279A"/>
    <w:rsid w:val="00442A51"/>
    <w:rsid w:val="0044380F"/>
    <w:rsid w:val="00443F1E"/>
    <w:rsid w:val="00443FFD"/>
    <w:rsid w:val="00444263"/>
    <w:rsid w:val="00451286"/>
    <w:rsid w:val="00451A53"/>
    <w:rsid w:val="00452E5B"/>
    <w:rsid w:val="00452F80"/>
    <w:rsid w:val="004531CC"/>
    <w:rsid w:val="00453306"/>
    <w:rsid w:val="004533D8"/>
    <w:rsid w:val="004558FE"/>
    <w:rsid w:val="00460B81"/>
    <w:rsid w:val="00462EA3"/>
    <w:rsid w:val="004631DB"/>
    <w:rsid w:val="004636A0"/>
    <w:rsid w:val="00466437"/>
    <w:rsid w:val="00467081"/>
    <w:rsid w:val="00467301"/>
    <w:rsid w:val="00467450"/>
    <w:rsid w:val="00470A06"/>
    <w:rsid w:val="00473E2F"/>
    <w:rsid w:val="00475ADC"/>
    <w:rsid w:val="00480152"/>
    <w:rsid w:val="00480EF6"/>
    <w:rsid w:val="004812D9"/>
    <w:rsid w:val="00485A91"/>
    <w:rsid w:val="00486766"/>
    <w:rsid w:val="00491D96"/>
    <w:rsid w:val="00493CFB"/>
    <w:rsid w:val="00494734"/>
    <w:rsid w:val="00494E14"/>
    <w:rsid w:val="00495085"/>
    <w:rsid w:val="00495409"/>
    <w:rsid w:val="004957E6"/>
    <w:rsid w:val="004A27B6"/>
    <w:rsid w:val="004A50E4"/>
    <w:rsid w:val="004A57C2"/>
    <w:rsid w:val="004A601C"/>
    <w:rsid w:val="004A74DF"/>
    <w:rsid w:val="004B4EFB"/>
    <w:rsid w:val="004B75A4"/>
    <w:rsid w:val="004B7CD7"/>
    <w:rsid w:val="004C10BE"/>
    <w:rsid w:val="004C2F19"/>
    <w:rsid w:val="004C327F"/>
    <w:rsid w:val="004C396D"/>
    <w:rsid w:val="004C3DE6"/>
    <w:rsid w:val="004C4CED"/>
    <w:rsid w:val="004C54DF"/>
    <w:rsid w:val="004D0010"/>
    <w:rsid w:val="004D042A"/>
    <w:rsid w:val="004D2FF1"/>
    <w:rsid w:val="004D351D"/>
    <w:rsid w:val="004D3532"/>
    <w:rsid w:val="004D46A0"/>
    <w:rsid w:val="004D6591"/>
    <w:rsid w:val="004E2804"/>
    <w:rsid w:val="004E4260"/>
    <w:rsid w:val="004E4BC8"/>
    <w:rsid w:val="004E5B25"/>
    <w:rsid w:val="004E72E7"/>
    <w:rsid w:val="004F010C"/>
    <w:rsid w:val="004F027D"/>
    <w:rsid w:val="004F0BC5"/>
    <w:rsid w:val="004F0FB6"/>
    <w:rsid w:val="004F4291"/>
    <w:rsid w:val="004F4812"/>
    <w:rsid w:val="004F4B54"/>
    <w:rsid w:val="004F7403"/>
    <w:rsid w:val="005000A2"/>
    <w:rsid w:val="00500A50"/>
    <w:rsid w:val="00502A18"/>
    <w:rsid w:val="005052A0"/>
    <w:rsid w:val="005102ED"/>
    <w:rsid w:val="005108C7"/>
    <w:rsid w:val="00512820"/>
    <w:rsid w:val="005131D5"/>
    <w:rsid w:val="005132C3"/>
    <w:rsid w:val="00513E4A"/>
    <w:rsid w:val="00514086"/>
    <w:rsid w:val="00517BC4"/>
    <w:rsid w:val="00517CA7"/>
    <w:rsid w:val="00522452"/>
    <w:rsid w:val="00525A80"/>
    <w:rsid w:val="005266E0"/>
    <w:rsid w:val="0053397A"/>
    <w:rsid w:val="00534743"/>
    <w:rsid w:val="00540177"/>
    <w:rsid w:val="00541995"/>
    <w:rsid w:val="00542044"/>
    <w:rsid w:val="00543A29"/>
    <w:rsid w:val="00543EBC"/>
    <w:rsid w:val="00543F0D"/>
    <w:rsid w:val="00543F65"/>
    <w:rsid w:val="00545BA5"/>
    <w:rsid w:val="00546238"/>
    <w:rsid w:val="0055141E"/>
    <w:rsid w:val="0055217F"/>
    <w:rsid w:val="00553B2A"/>
    <w:rsid w:val="00554181"/>
    <w:rsid w:val="005552A7"/>
    <w:rsid w:val="0055694E"/>
    <w:rsid w:val="00561A03"/>
    <w:rsid w:val="0056213C"/>
    <w:rsid w:val="005629BA"/>
    <w:rsid w:val="00563B1C"/>
    <w:rsid w:val="005655ED"/>
    <w:rsid w:val="00565BDD"/>
    <w:rsid w:val="00576FD5"/>
    <w:rsid w:val="005779EA"/>
    <w:rsid w:val="00581BE3"/>
    <w:rsid w:val="00582115"/>
    <w:rsid w:val="00582716"/>
    <w:rsid w:val="00584DF3"/>
    <w:rsid w:val="0058663E"/>
    <w:rsid w:val="00586AB5"/>
    <w:rsid w:val="00586F53"/>
    <w:rsid w:val="00590C63"/>
    <w:rsid w:val="005912B8"/>
    <w:rsid w:val="00593B95"/>
    <w:rsid w:val="00595082"/>
    <w:rsid w:val="00595913"/>
    <w:rsid w:val="00596E09"/>
    <w:rsid w:val="00597BBF"/>
    <w:rsid w:val="005A076B"/>
    <w:rsid w:val="005A1263"/>
    <w:rsid w:val="005A3097"/>
    <w:rsid w:val="005A3FC7"/>
    <w:rsid w:val="005A42E9"/>
    <w:rsid w:val="005A5AB7"/>
    <w:rsid w:val="005A6C2F"/>
    <w:rsid w:val="005B4881"/>
    <w:rsid w:val="005B5310"/>
    <w:rsid w:val="005B56A2"/>
    <w:rsid w:val="005B56BB"/>
    <w:rsid w:val="005B6350"/>
    <w:rsid w:val="005C27E7"/>
    <w:rsid w:val="005C2DB6"/>
    <w:rsid w:val="005C424A"/>
    <w:rsid w:val="005D1DF4"/>
    <w:rsid w:val="005D21CD"/>
    <w:rsid w:val="005D315E"/>
    <w:rsid w:val="005D33E0"/>
    <w:rsid w:val="005D4A8D"/>
    <w:rsid w:val="005D6478"/>
    <w:rsid w:val="005D78E0"/>
    <w:rsid w:val="005E1397"/>
    <w:rsid w:val="005E52E3"/>
    <w:rsid w:val="005E62F0"/>
    <w:rsid w:val="005E6C8D"/>
    <w:rsid w:val="005E7017"/>
    <w:rsid w:val="005F1C37"/>
    <w:rsid w:val="005F26AD"/>
    <w:rsid w:val="005F2FC3"/>
    <w:rsid w:val="005F343B"/>
    <w:rsid w:val="005F3A25"/>
    <w:rsid w:val="005F3BA8"/>
    <w:rsid w:val="005F4760"/>
    <w:rsid w:val="0060014C"/>
    <w:rsid w:val="0060099A"/>
    <w:rsid w:val="00600B82"/>
    <w:rsid w:val="00600D5C"/>
    <w:rsid w:val="0060109E"/>
    <w:rsid w:val="006027E6"/>
    <w:rsid w:val="00606B04"/>
    <w:rsid w:val="006072CE"/>
    <w:rsid w:val="00610A81"/>
    <w:rsid w:val="00610F31"/>
    <w:rsid w:val="006127CF"/>
    <w:rsid w:val="00613039"/>
    <w:rsid w:val="0061407C"/>
    <w:rsid w:val="0061589F"/>
    <w:rsid w:val="00617040"/>
    <w:rsid w:val="00620179"/>
    <w:rsid w:val="006208D0"/>
    <w:rsid w:val="00621219"/>
    <w:rsid w:val="006216F5"/>
    <w:rsid w:val="00622FBF"/>
    <w:rsid w:val="006236E4"/>
    <w:rsid w:val="006271CD"/>
    <w:rsid w:val="00627CC2"/>
    <w:rsid w:val="00631379"/>
    <w:rsid w:val="006327E6"/>
    <w:rsid w:val="006337D0"/>
    <w:rsid w:val="006341E0"/>
    <w:rsid w:val="006375EF"/>
    <w:rsid w:val="00637E15"/>
    <w:rsid w:val="006419B2"/>
    <w:rsid w:val="006421F0"/>
    <w:rsid w:val="006449E7"/>
    <w:rsid w:val="00645E5A"/>
    <w:rsid w:val="006470B4"/>
    <w:rsid w:val="006504F0"/>
    <w:rsid w:val="006507BE"/>
    <w:rsid w:val="006509AE"/>
    <w:rsid w:val="0065186F"/>
    <w:rsid w:val="006526C2"/>
    <w:rsid w:val="00654DE5"/>
    <w:rsid w:val="00655DC0"/>
    <w:rsid w:val="00656435"/>
    <w:rsid w:val="00656BCF"/>
    <w:rsid w:val="00664E6C"/>
    <w:rsid w:val="0066500F"/>
    <w:rsid w:val="006652D5"/>
    <w:rsid w:val="00665844"/>
    <w:rsid w:val="00670934"/>
    <w:rsid w:val="00670D6D"/>
    <w:rsid w:val="006715DE"/>
    <w:rsid w:val="006722A1"/>
    <w:rsid w:val="00673B1B"/>
    <w:rsid w:val="00675915"/>
    <w:rsid w:val="00677EA8"/>
    <w:rsid w:val="0068073B"/>
    <w:rsid w:val="00682DC9"/>
    <w:rsid w:val="006842E4"/>
    <w:rsid w:val="006858F9"/>
    <w:rsid w:val="0068775A"/>
    <w:rsid w:val="00691EEC"/>
    <w:rsid w:val="00692589"/>
    <w:rsid w:val="00693617"/>
    <w:rsid w:val="006945E3"/>
    <w:rsid w:val="00695936"/>
    <w:rsid w:val="00695A1F"/>
    <w:rsid w:val="006965DE"/>
    <w:rsid w:val="006A2547"/>
    <w:rsid w:val="006A2641"/>
    <w:rsid w:val="006A2E36"/>
    <w:rsid w:val="006A433D"/>
    <w:rsid w:val="006A56B1"/>
    <w:rsid w:val="006B020D"/>
    <w:rsid w:val="006B03B7"/>
    <w:rsid w:val="006B322D"/>
    <w:rsid w:val="006B47ED"/>
    <w:rsid w:val="006B80FE"/>
    <w:rsid w:val="006C1246"/>
    <w:rsid w:val="006C27FA"/>
    <w:rsid w:val="006C3AF7"/>
    <w:rsid w:val="006C6119"/>
    <w:rsid w:val="006C6A00"/>
    <w:rsid w:val="006C6EAA"/>
    <w:rsid w:val="006C73B6"/>
    <w:rsid w:val="006C7B61"/>
    <w:rsid w:val="006C7E45"/>
    <w:rsid w:val="006D0901"/>
    <w:rsid w:val="006D1B20"/>
    <w:rsid w:val="006D453A"/>
    <w:rsid w:val="006D5EEA"/>
    <w:rsid w:val="006D65EB"/>
    <w:rsid w:val="006D6683"/>
    <w:rsid w:val="006D7922"/>
    <w:rsid w:val="006E0589"/>
    <w:rsid w:val="006E7C2D"/>
    <w:rsid w:val="006F0862"/>
    <w:rsid w:val="006F0DFE"/>
    <w:rsid w:val="006F0E46"/>
    <w:rsid w:val="006F1A21"/>
    <w:rsid w:val="006F1EC7"/>
    <w:rsid w:val="006F245A"/>
    <w:rsid w:val="006F4DE8"/>
    <w:rsid w:val="006F4E9A"/>
    <w:rsid w:val="006F6012"/>
    <w:rsid w:val="006F6137"/>
    <w:rsid w:val="006F669D"/>
    <w:rsid w:val="0070163A"/>
    <w:rsid w:val="00702BFE"/>
    <w:rsid w:val="007037CA"/>
    <w:rsid w:val="00704E1E"/>
    <w:rsid w:val="00705286"/>
    <w:rsid w:val="007052FB"/>
    <w:rsid w:val="00705D27"/>
    <w:rsid w:val="00706441"/>
    <w:rsid w:val="0070681B"/>
    <w:rsid w:val="00706AC7"/>
    <w:rsid w:val="00707576"/>
    <w:rsid w:val="00712952"/>
    <w:rsid w:val="00713DB9"/>
    <w:rsid w:val="00715184"/>
    <w:rsid w:val="00715CC8"/>
    <w:rsid w:val="007169AD"/>
    <w:rsid w:val="00717D75"/>
    <w:rsid w:val="00717FB1"/>
    <w:rsid w:val="007221C4"/>
    <w:rsid w:val="007255A4"/>
    <w:rsid w:val="00726FBD"/>
    <w:rsid w:val="007274D4"/>
    <w:rsid w:val="0072795B"/>
    <w:rsid w:val="007303C8"/>
    <w:rsid w:val="007307E1"/>
    <w:rsid w:val="00731A81"/>
    <w:rsid w:val="00731BFC"/>
    <w:rsid w:val="007333DC"/>
    <w:rsid w:val="00734123"/>
    <w:rsid w:val="0073422C"/>
    <w:rsid w:val="00734329"/>
    <w:rsid w:val="007345E8"/>
    <w:rsid w:val="00735296"/>
    <w:rsid w:val="00735BFB"/>
    <w:rsid w:val="007368E3"/>
    <w:rsid w:val="0074027B"/>
    <w:rsid w:val="00744787"/>
    <w:rsid w:val="00746C10"/>
    <w:rsid w:val="00746DBF"/>
    <w:rsid w:val="0074719C"/>
    <w:rsid w:val="00747320"/>
    <w:rsid w:val="00750CCE"/>
    <w:rsid w:val="0075263D"/>
    <w:rsid w:val="007531EE"/>
    <w:rsid w:val="00753503"/>
    <w:rsid w:val="007537B8"/>
    <w:rsid w:val="0075415B"/>
    <w:rsid w:val="007568B6"/>
    <w:rsid w:val="007606B7"/>
    <w:rsid w:val="0076140C"/>
    <w:rsid w:val="0076213A"/>
    <w:rsid w:val="007623EC"/>
    <w:rsid w:val="0076248E"/>
    <w:rsid w:val="007630CD"/>
    <w:rsid w:val="007642C1"/>
    <w:rsid w:val="00764A03"/>
    <w:rsid w:val="00765202"/>
    <w:rsid w:val="007667E1"/>
    <w:rsid w:val="0076693E"/>
    <w:rsid w:val="0077232D"/>
    <w:rsid w:val="00772F15"/>
    <w:rsid w:val="00773D43"/>
    <w:rsid w:val="0077524C"/>
    <w:rsid w:val="0077680F"/>
    <w:rsid w:val="007803F4"/>
    <w:rsid w:val="00780453"/>
    <w:rsid w:val="00782918"/>
    <w:rsid w:val="007852F5"/>
    <w:rsid w:val="007871F8"/>
    <w:rsid w:val="007921A9"/>
    <w:rsid w:val="00795845"/>
    <w:rsid w:val="007A153E"/>
    <w:rsid w:val="007A2746"/>
    <w:rsid w:val="007A3268"/>
    <w:rsid w:val="007A5777"/>
    <w:rsid w:val="007A5961"/>
    <w:rsid w:val="007A5D51"/>
    <w:rsid w:val="007A7EEB"/>
    <w:rsid w:val="007B08B1"/>
    <w:rsid w:val="007B2039"/>
    <w:rsid w:val="007B4423"/>
    <w:rsid w:val="007B6CAC"/>
    <w:rsid w:val="007B7741"/>
    <w:rsid w:val="007C024E"/>
    <w:rsid w:val="007C04E7"/>
    <w:rsid w:val="007C124A"/>
    <w:rsid w:val="007C3A53"/>
    <w:rsid w:val="007C3EA6"/>
    <w:rsid w:val="007C44B4"/>
    <w:rsid w:val="007D0237"/>
    <w:rsid w:val="007D250E"/>
    <w:rsid w:val="007D4866"/>
    <w:rsid w:val="007D502B"/>
    <w:rsid w:val="007D7657"/>
    <w:rsid w:val="007E27A3"/>
    <w:rsid w:val="007E4948"/>
    <w:rsid w:val="007E4C31"/>
    <w:rsid w:val="007E5776"/>
    <w:rsid w:val="007F138B"/>
    <w:rsid w:val="007F30B3"/>
    <w:rsid w:val="007F336E"/>
    <w:rsid w:val="007F456E"/>
    <w:rsid w:val="007F709D"/>
    <w:rsid w:val="007F77D6"/>
    <w:rsid w:val="007F79C3"/>
    <w:rsid w:val="007F7D76"/>
    <w:rsid w:val="0080386B"/>
    <w:rsid w:val="0080539B"/>
    <w:rsid w:val="0080755A"/>
    <w:rsid w:val="00807BF0"/>
    <w:rsid w:val="00807C63"/>
    <w:rsid w:val="00807D70"/>
    <w:rsid w:val="00810261"/>
    <w:rsid w:val="008111A6"/>
    <w:rsid w:val="00811887"/>
    <w:rsid w:val="00811FDE"/>
    <w:rsid w:val="008121A3"/>
    <w:rsid w:val="0081414A"/>
    <w:rsid w:val="00814398"/>
    <w:rsid w:val="00817FDA"/>
    <w:rsid w:val="0082058C"/>
    <w:rsid w:val="00821FB8"/>
    <w:rsid w:val="00822C88"/>
    <w:rsid w:val="00822DBA"/>
    <w:rsid w:val="00823B1D"/>
    <w:rsid w:val="00823FFF"/>
    <w:rsid w:val="008271A2"/>
    <w:rsid w:val="008322B9"/>
    <w:rsid w:val="008326C9"/>
    <w:rsid w:val="0083349E"/>
    <w:rsid w:val="008347E4"/>
    <w:rsid w:val="008369D5"/>
    <w:rsid w:val="00842107"/>
    <w:rsid w:val="008427A1"/>
    <w:rsid w:val="00845FDC"/>
    <w:rsid w:val="00846060"/>
    <w:rsid w:val="0085019C"/>
    <w:rsid w:val="00850D9B"/>
    <w:rsid w:val="00852449"/>
    <w:rsid w:val="00852BC2"/>
    <w:rsid w:val="008557D2"/>
    <w:rsid w:val="00856704"/>
    <w:rsid w:val="0085763D"/>
    <w:rsid w:val="00857CFD"/>
    <w:rsid w:val="00857DC0"/>
    <w:rsid w:val="0085E301"/>
    <w:rsid w:val="00860FF0"/>
    <w:rsid w:val="00861C62"/>
    <w:rsid w:val="00861FDF"/>
    <w:rsid w:val="008632E6"/>
    <w:rsid w:val="00864664"/>
    <w:rsid w:val="008649DE"/>
    <w:rsid w:val="00864A51"/>
    <w:rsid w:val="0086574D"/>
    <w:rsid w:val="00865EB4"/>
    <w:rsid w:val="00866458"/>
    <w:rsid w:val="0086693D"/>
    <w:rsid w:val="00872422"/>
    <w:rsid w:val="00874747"/>
    <w:rsid w:val="008778D3"/>
    <w:rsid w:val="00880E3F"/>
    <w:rsid w:val="00883465"/>
    <w:rsid w:val="008850D3"/>
    <w:rsid w:val="008853E0"/>
    <w:rsid w:val="0088561E"/>
    <w:rsid w:val="00891077"/>
    <w:rsid w:val="008914AF"/>
    <w:rsid w:val="008A0E6C"/>
    <w:rsid w:val="008A559F"/>
    <w:rsid w:val="008A5996"/>
    <w:rsid w:val="008A5BCF"/>
    <w:rsid w:val="008B10ED"/>
    <w:rsid w:val="008B206F"/>
    <w:rsid w:val="008B24F9"/>
    <w:rsid w:val="008B29CA"/>
    <w:rsid w:val="008B3E87"/>
    <w:rsid w:val="008B459A"/>
    <w:rsid w:val="008B475D"/>
    <w:rsid w:val="008B4B88"/>
    <w:rsid w:val="008B5371"/>
    <w:rsid w:val="008B5DB4"/>
    <w:rsid w:val="008B5FB6"/>
    <w:rsid w:val="008C19D8"/>
    <w:rsid w:val="008C2856"/>
    <w:rsid w:val="008C36B5"/>
    <w:rsid w:val="008C3980"/>
    <w:rsid w:val="008C4510"/>
    <w:rsid w:val="008C75EC"/>
    <w:rsid w:val="008D3FB2"/>
    <w:rsid w:val="008D618A"/>
    <w:rsid w:val="008D72DA"/>
    <w:rsid w:val="008E3495"/>
    <w:rsid w:val="008E7D65"/>
    <w:rsid w:val="008F3A38"/>
    <w:rsid w:val="008F428B"/>
    <w:rsid w:val="008F67E7"/>
    <w:rsid w:val="008F6AA8"/>
    <w:rsid w:val="00900AC4"/>
    <w:rsid w:val="00900D90"/>
    <w:rsid w:val="00903034"/>
    <w:rsid w:val="00904397"/>
    <w:rsid w:val="00910D4E"/>
    <w:rsid w:val="0091242D"/>
    <w:rsid w:val="009125CC"/>
    <w:rsid w:val="009134DD"/>
    <w:rsid w:val="0091368F"/>
    <w:rsid w:val="0091441B"/>
    <w:rsid w:val="0091781A"/>
    <w:rsid w:val="00917B22"/>
    <w:rsid w:val="009232C9"/>
    <w:rsid w:val="00924E2B"/>
    <w:rsid w:val="00927EF5"/>
    <w:rsid w:val="0093170B"/>
    <w:rsid w:val="00934A8B"/>
    <w:rsid w:val="00934E7C"/>
    <w:rsid w:val="00937172"/>
    <w:rsid w:val="0094018E"/>
    <w:rsid w:val="00943862"/>
    <w:rsid w:val="00943888"/>
    <w:rsid w:val="0094455A"/>
    <w:rsid w:val="00953BB7"/>
    <w:rsid w:val="00954801"/>
    <w:rsid w:val="009554A2"/>
    <w:rsid w:val="00955D62"/>
    <w:rsid w:val="009568E5"/>
    <w:rsid w:val="00957402"/>
    <w:rsid w:val="00957B95"/>
    <w:rsid w:val="00957EC3"/>
    <w:rsid w:val="009602A4"/>
    <w:rsid w:val="0096150D"/>
    <w:rsid w:val="00966D45"/>
    <w:rsid w:val="00970AB7"/>
    <w:rsid w:val="009734FD"/>
    <w:rsid w:val="00974FE2"/>
    <w:rsid w:val="00976AD7"/>
    <w:rsid w:val="00977E2F"/>
    <w:rsid w:val="00980B4D"/>
    <w:rsid w:val="00980C56"/>
    <w:rsid w:val="00982064"/>
    <w:rsid w:val="0098393C"/>
    <w:rsid w:val="00984019"/>
    <w:rsid w:val="00984834"/>
    <w:rsid w:val="00986F50"/>
    <w:rsid w:val="009906FC"/>
    <w:rsid w:val="00990CCA"/>
    <w:rsid w:val="00990F98"/>
    <w:rsid w:val="00993BD0"/>
    <w:rsid w:val="0099469D"/>
    <w:rsid w:val="00996A2B"/>
    <w:rsid w:val="00997AD7"/>
    <w:rsid w:val="009A03FD"/>
    <w:rsid w:val="009A17B3"/>
    <w:rsid w:val="009A33B7"/>
    <w:rsid w:val="009A4E9F"/>
    <w:rsid w:val="009A76A1"/>
    <w:rsid w:val="009B56C0"/>
    <w:rsid w:val="009B5C62"/>
    <w:rsid w:val="009B6F0F"/>
    <w:rsid w:val="009C0D29"/>
    <w:rsid w:val="009C10F2"/>
    <w:rsid w:val="009C11BD"/>
    <w:rsid w:val="009C4C26"/>
    <w:rsid w:val="009C6AD5"/>
    <w:rsid w:val="009D0259"/>
    <w:rsid w:val="009D124D"/>
    <w:rsid w:val="009D2A9B"/>
    <w:rsid w:val="009D49F6"/>
    <w:rsid w:val="009D71E6"/>
    <w:rsid w:val="009D7F11"/>
    <w:rsid w:val="009E16C1"/>
    <w:rsid w:val="009E29D1"/>
    <w:rsid w:val="009E355C"/>
    <w:rsid w:val="009E6681"/>
    <w:rsid w:val="009F0400"/>
    <w:rsid w:val="009F0C4D"/>
    <w:rsid w:val="009F15E5"/>
    <w:rsid w:val="009F381A"/>
    <w:rsid w:val="009F4968"/>
    <w:rsid w:val="009F6CFC"/>
    <w:rsid w:val="009F7112"/>
    <w:rsid w:val="009F73D3"/>
    <w:rsid w:val="00A00390"/>
    <w:rsid w:val="00A0166C"/>
    <w:rsid w:val="00A03020"/>
    <w:rsid w:val="00A0509A"/>
    <w:rsid w:val="00A079DC"/>
    <w:rsid w:val="00A1025E"/>
    <w:rsid w:val="00A118BF"/>
    <w:rsid w:val="00A12DEF"/>
    <w:rsid w:val="00A14748"/>
    <w:rsid w:val="00A16FC4"/>
    <w:rsid w:val="00A172DD"/>
    <w:rsid w:val="00A20B4A"/>
    <w:rsid w:val="00A2259C"/>
    <w:rsid w:val="00A23C10"/>
    <w:rsid w:val="00A24508"/>
    <w:rsid w:val="00A24827"/>
    <w:rsid w:val="00A27CB9"/>
    <w:rsid w:val="00A27F79"/>
    <w:rsid w:val="00A31044"/>
    <w:rsid w:val="00A318AD"/>
    <w:rsid w:val="00A31FAF"/>
    <w:rsid w:val="00A33399"/>
    <w:rsid w:val="00A34DF8"/>
    <w:rsid w:val="00A35C02"/>
    <w:rsid w:val="00A36322"/>
    <w:rsid w:val="00A37BD8"/>
    <w:rsid w:val="00A41624"/>
    <w:rsid w:val="00A4192A"/>
    <w:rsid w:val="00A41A43"/>
    <w:rsid w:val="00A41AF1"/>
    <w:rsid w:val="00A461C3"/>
    <w:rsid w:val="00A46B85"/>
    <w:rsid w:val="00A472A8"/>
    <w:rsid w:val="00A50513"/>
    <w:rsid w:val="00A539F2"/>
    <w:rsid w:val="00A5442B"/>
    <w:rsid w:val="00A54925"/>
    <w:rsid w:val="00A63647"/>
    <w:rsid w:val="00A64822"/>
    <w:rsid w:val="00A649EC"/>
    <w:rsid w:val="00A6694C"/>
    <w:rsid w:val="00A66FBD"/>
    <w:rsid w:val="00A67CB9"/>
    <w:rsid w:val="00A72762"/>
    <w:rsid w:val="00A736D1"/>
    <w:rsid w:val="00A7433F"/>
    <w:rsid w:val="00A74E63"/>
    <w:rsid w:val="00A75B9E"/>
    <w:rsid w:val="00A7618A"/>
    <w:rsid w:val="00A76A1B"/>
    <w:rsid w:val="00A804BA"/>
    <w:rsid w:val="00A80852"/>
    <w:rsid w:val="00A82A47"/>
    <w:rsid w:val="00A83387"/>
    <w:rsid w:val="00A850DA"/>
    <w:rsid w:val="00A9229D"/>
    <w:rsid w:val="00A92398"/>
    <w:rsid w:val="00A927BF"/>
    <w:rsid w:val="00A9361C"/>
    <w:rsid w:val="00A966C7"/>
    <w:rsid w:val="00AA0443"/>
    <w:rsid w:val="00AA3740"/>
    <w:rsid w:val="00AA5EAE"/>
    <w:rsid w:val="00AA63B1"/>
    <w:rsid w:val="00AB1856"/>
    <w:rsid w:val="00AB1B14"/>
    <w:rsid w:val="00AB37D3"/>
    <w:rsid w:val="00AB49C8"/>
    <w:rsid w:val="00AB4AF7"/>
    <w:rsid w:val="00AC0D57"/>
    <w:rsid w:val="00AC25E5"/>
    <w:rsid w:val="00AC267A"/>
    <w:rsid w:val="00AC357C"/>
    <w:rsid w:val="00AC3970"/>
    <w:rsid w:val="00AC77D0"/>
    <w:rsid w:val="00AD1070"/>
    <w:rsid w:val="00AD3483"/>
    <w:rsid w:val="00AD5854"/>
    <w:rsid w:val="00AD59BC"/>
    <w:rsid w:val="00AE0EFE"/>
    <w:rsid w:val="00AE1B4F"/>
    <w:rsid w:val="00AE700C"/>
    <w:rsid w:val="00AF12F1"/>
    <w:rsid w:val="00AF23CE"/>
    <w:rsid w:val="00AF76CE"/>
    <w:rsid w:val="00B00311"/>
    <w:rsid w:val="00B01A54"/>
    <w:rsid w:val="00B01B0D"/>
    <w:rsid w:val="00B01E81"/>
    <w:rsid w:val="00B0260E"/>
    <w:rsid w:val="00B03675"/>
    <w:rsid w:val="00B112DF"/>
    <w:rsid w:val="00B1157C"/>
    <w:rsid w:val="00B13E85"/>
    <w:rsid w:val="00B14855"/>
    <w:rsid w:val="00B2185C"/>
    <w:rsid w:val="00B21BE2"/>
    <w:rsid w:val="00B24308"/>
    <w:rsid w:val="00B25AC0"/>
    <w:rsid w:val="00B25BA2"/>
    <w:rsid w:val="00B27193"/>
    <w:rsid w:val="00B278E5"/>
    <w:rsid w:val="00B304EC"/>
    <w:rsid w:val="00B307F7"/>
    <w:rsid w:val="00B32DDD"/>
    <w:rsid w:val="00B32E6E"/>
    <w:rsid w:val="00B3475B"/>
    <w:rsid w:val="00B347B6"/>
    <w:rsid w:val="00B34DE5"/>
    <w:rsid w:val="00B43D64"/>
    <w:rsid w:val="00B4691A"/>
    <w:rsid w:val="00B47F2E"/>
    <w:rsid w:val="00B514B5"/>
    <w:rsid w:val="00B516DA"/>
    <w:rsid w:val="00B520FE"/>
    <w:rsid w:val="00B521B5"/>
    <w:rsid w:val="00B5284E"/>
    <w:rsid w:val="00B539AD"/>
    <w:rsid w:val="00B5502A"/>
    <w:rsid w:val="00B56DCB"/>
    <w:rsid w:val="00B60E52"/>
    <w:rsid w:val="00B66DD1"/>
    <w:rsid w:val="00B70AA6"/>
    <w:rsid w:val="00B71ED0"/>
    <w:rsid w:val="00B71EE5"/>
    <w:rsid w:val="00B75C5B"/>
    <w:rsid w:val="00B76F65"/>
    <w:rsid w:val="00B84340"/>
    <w:rsid w:val="00B86804"/>
    <w:rsid w:val="00B868D2"/>
    <w:rsid w:val="00B87B99"/>
    <w:rsid w:val="00B903D8"/>
    <w:rsid w:val="00B910A6"/>
    <w:rsid w:val="00B91483"/>
    <w:rsid w:val="00B9288E"/>
    <w:rsid w:val="00B93BA7"/>
    <w:rsid w:val="00B94618"/>
    <w:rsid w:val="00B96F3B"/>
    <w:rsid w:val="00BA0804"/>
    <w:rsid w:val="00BA084D"/>
    <w:rsid w:val="00BA1656"/>
    <w:rsid w:val="00BA2A43"/>
    <w:rsid w:val="00BA4886"/>
    <w:rsid w:val="00BA6874"/>
    <w:rsid w:val="00BA74BC"/>
    <w:rsid w:val="00BA7BD8"/>
    <w:rsid w:val="00BB140B"/>
    <w:rsid w:val="00BB57C2"/>
    <w:rsid w:val="00BB5895"/>
    <w:rsid w:val="00BB7131"/>
    <w:rsid w:val="00BB7502"/>
    <w:rsid w:val="00BC052A"/>
    <w:rsid w:val="00BC0E31"/>
    <w:rsid w:val="00BC1001"/>
    <w:rsid w:val="00BC1C68"/>
    <w:rsid w:val="00BC2A21"/>
    <w:rsid w:val="00BC3488"/>
    <w:rsid w:val="00BC3F4D"/>
    <w:rsid w:val="00BC6705"/>
    <w:rsid w:val="00BD17D1"/>
    <w:rsid w:val="00BD288C"/>
    <w:rsid w:val="00BD33C9"/>
    <w:rsid w:val="00BD5221"/>
    <w:rsid w:val="00BD7290"/>
    <w:rsid w:val="00BD7B0A"/>
    <w:rsid w:val="00BE113C"/>
    <w:rsid w:val="00BE2061"/>
    <w:rsid w:val="00BE3380"/>
    <w:rsid w:val="00BE40DB"/>
    <w:rsid w:val="00BE4A18"/>
    <w:rsid w:val="00BE6B1F"/>
    <w:rsid w:val="00BE776E"/>
    <w:rsid w:val="00BE7AA2"/>
    <w:rsid w:val="00BF38BD"/>
    <w:rsid w:val="00BF392E"/>
    <w:rsid w:val="00BF39E8"/>
    <w:rsid w:val="00BF4C7B"/>
    <w:rsid w:val="00BF5524"/>
    <w:rsid w:val="00BF621A"/>
    <w:rsid w:val="00C01299"/>
    <w:rsid w:val="00C0377C"/>
    <w:rsid w:val="00C0460E"/>
    <w:rsid w:val="00C04E50"/>
    <w:rsid w:val="00C13CE1"/>
    <w:rsid w:val="00C13E09"/>
    <w:rsid w:val="00C17499"/>
    <w:rsid w:val="00C215C0"/>
    <w:rsid w:val="00C22744"/>
    <w:rsid w:val="00C23F01"/>
    <w:rsid w:val="00C2518E"/>
    <w:rsid w:val="00C26C8B"/>
    <w:rsid w:val="00C27B58"/>
    <w:rsid w:val="00C31715"/>
    <w:rsid w:val="00C31C41"/>
    <w:rsid w:val="00C323D1"/>
    <w:rsid w:val="00C32692"/>
    <w:rsid w:val="00C330DF"/>
    <w:rsid w:val="00C33345"/>
    <w:rsid w:val="00C36189"/>
    <w:rsid w:val="00C41BEE"/>
    <w:rsid w:val="00C42592"/>
    <w:rsid w:val="00C461C8"/>
    <w:rsid w:val="00C474DB"/>
    <w:rsid w:val="00C52453"/>
    <w:rsid w:val="00C525D3"/>
    <w:rsid w:val="00C5336F"/>
    <w:rsid w:val="00C5365E"/>
    <w:rsid w:val="00C53B54"/>
    <w:rsid w:val="00C542EC"/>
    <w:rsid w:val="00C56D8B"/>
    <w:rsid w:val="00C65057"/>
    <w:rsid w:val="00C6530C"/>
    <w:rsid w:val="00C65D16"/>
    <w:rsid w:val="00C660B5"/>
    <w:rsid w:val="00C67DFF"/>
    <w:rsid w:val="00C711FB"/>
    <w:rsid w:val="00C7123D"/>
    <w:rsid w:val="00C74B99"/>
    <w:rsid w:val="00C75130"/>
    <w:rsid w:val="00C751B4"/>
    <w:rsid w:val="00C83B0B"/>
    <w:rsid w:val="00C85903"/>
    <w:rsid w:val="00C90FF0"/>
    <w:rsid w:val="00C93056"/>
    <w:rsid w:val="00C9346F"/>
    <w:rsid w:val="00C95B0A"/>
    <w:rsid w:val="00CA213B"/>
    <w:rsid w:val="00CA3173"/>
    <w:rsid w:val="00CA4D04"/>
    <w:rsid w:val="00CA578D"/>
    <w:rsid w:val="00CA6006"/>
    <w:rsid w:val="00CA6E3C"/>
    <w:rsid w:val="00CA7024"/>
    <w:rsid w:val="00CB54E8"/>
    <w:rsid w:val="00CC0D70"/>
    <w:rsid w:val="00CC1E10"/>
    <w:rsid w:val="00CC2296"/>
    <w:rsid w:val="00CC27A6"/>
    <w:rsid w:val="00CC331B"/>
    <w:rsid w:val="00CC4741"/>
    <w:rsid w:val="00CC66A9"/>
    <w:rsid w:val="00CC6890"/>
    <w:rsid w:val="00CD6500"/>
    <w:rsid w:val="00CE1B97"/>
    <w:rsid w:val="00CE3723"/>
    <w:rsid w:val="00CE6512"/>
    <w:rsid w:val="00CF133C"/>
    <w:rsid w:val="00CF16E2"/>
    <w:rsid w:val="00CF1A02"/>
    <w:rsid w:val="00CF32DE"/>
    <w:rsid w:val="00CF3C28"/>
    <w:rsid w:val="00CF49CF"/>
    <w:rsid w:val="00D0252B"/>
    <w:rsid w:val="00D04643"/>
    <w:rsid w:val="00D04BB3"/>
    <w:rsid w:val="00D07B09"/>
    <w:rsid w:val="00D10D7F"/>
    <w:rsid w:val="00D11B0D"/>
    <w:rsid w:val="00D12406"/>
    <w:rsid w:val="00D133F3"/>
    <w:rsid w:val="00D13DB6"/>
    <w:rsid w:val="00D1470D"/>
    <w:rsid w:val="00D20873"/>
    <w:rsid w:val="00D23A0B"/>
    <w:rsid w:val="00D243EF"/>
    <w:rsid w:val="00D24D6C"/>
    <w:rsid w:val="00D36320"/>
    <w:rsid w:val="00D364B6"/>
    <w:rsid w:val="00D366D1"/>
    <w:rsid w:val="00D40118"/>
    <w:rsid w:val="00D4055D"/>
    <w:rsid w:val="00D42CE4"/>
    <w:rsid w:val="00D4468C"/>
    <w:rsid w:val="00D454A3"/>
    <w:rsid w:val="00D47DF5"/>
    <w:rsid w:val="00D51B9A"/>
    <w:rsid w:val="00D5241A"/>
    <w:rsid w:val="00D5316A"/>
    <w:rsid w:val="00D5536F"/>
    <w:rsid w:val="00D55F71"/>
    <w:rsid w:val="00D5762D"/>
    <w:rsid w:val="00D61814"/>
    <w:rsid w:val="00D6397E"/>
    <w:rsid w:val="00D64472"/>
    <w:rsid w:val="00D66C68"/>
    <w:rsid w:val="00D6727B"/>
    <w:rsid w:val="00D82F65"/>
    <w:rsid w:val="00D93876"/>
    <w:rsid w:val="00D9434E"/>
    <w:rsid w:val="00D95413"/>
    <w:rsid w:val="00D96942"/>
    <w:rsid w:val="00DA5B64"/>
    <w:rsid w:val="00DA64AC"/>
    <w:rsid w:val="00DA7185"/>
    <w:rsid w:val="00DA7550"/>
    <w:rsid w:val="00DB2D0E"/>
    <w:rsid w:val="00DB3018"/>
    <w:rsid w:val="00DB45E7"/>
    <w:rsid w:val="00DB740A"/>
    <w:rsid w:val="00DC1D27"/>
    <w:rsid w:val="00DC499F"/>
    <w:rsid w:val="00DC5D33"/>
    <w:rsid w:val="00DC780B"/>
    <w:rsid w:val="00DD11F2"/>
    <w:rsid w:val="00DD27B9"/>
    <w:rsid w:val="00DD3E9B"/>
    <w:rsid w:val="00DD54A2"/>
    <w:rsid w:val="00DD56D1"/>
    <w:rsid w:val="00DD7EB9"/>
    <w:rsid w:val="00DE00ED"/>
    <w:rsid w:val="00DE3A89"/>
    <w:rsid w:val="00DE5BFF"/>
    <w:rsid w:val="00DF0410"/>
    <w:rsid w:val="00DF1558"/>
    <w:rsid w:val="00DF1AB0"/>
    <w:rsid w:val="00DF1F1D"/>
    <w:rsid w:val="00DF4AAC"/>
    <w:rsid w:val="00DF7D2A"/>
    <w:rsid w:val="00E0072F"/>
    <w:rsid w:val="00E01BBE"/>
    <w:rsid w:val="00E0244D"/>
    <w:rsid w:val="00E0319A"/>
    <w:rsid w:val="00E03784"/>
    <w:rsid w:val="00E03E51"/>
    <w:rsid w:val="00E04A29"/>
    <w:rsid w:val="00E0520E"/>
    <w:rsid w:val="00E055B9"/>
    <w:rsid w:val="00E0628F"/>
    <w:rsid w:val="00E07845"/>
    <w:rsid w:val="00E10ACF"/>
    <w:rsid w:val="00E132AF"/>
    <w:rsid w:val="00E14D9A"/>
    <w:rsid w:val="00E16347"/>
    <w:rsid w:val="00E16424"/>
    <w:rsid w:val="00E16F69"/>
    <w:rsid w:val="00E1758D"/>
    <w:rsid w:val="00E17665"/>
    <w:rsid w:val="00E2027B"/>
    <w:rsid w:val="00E21653"/>
    <w:rsid w:val="00E24670"/>
    <w:rsid w:val="00E248DC"/>
    <w:rsid w:val="00E26C94"/>
    <w:rsid w:val="00E26E60"/>
    <w:rsid w:val="00E2773D"/>
    <w:rsid w:val="00E27A9C"/>
    <w:rsid w:val="00E322D0"/>
    <w:rsid w:val="00E34A81"/>
    <w:rsid w:val="00E35CCA"/>
    <w:rsid w:val="00E360E8"/>
    <w:rsid w:val="00E37104"/>
    <w:rsid w:val="00E40027"/>
    <w:rsid w:val="00E42229"/>
    <w:rsid w:val="00E4253E"/>
    <w:rsid w:val="00E43715"/>
    <w:rsid w:val="00E43B5B"/>
    <w:rsid w:val="00E46231"/>
    <w:rsid w:val="00E50BE9"/>
    <w:rsid w:val="00E50C37"/>
    <w:rsid w:val="00E5201F"/>
    <w:rsid w:val="00E52DE8"/>
    <w:rsid w:val="00E53FC4"/>
    <w:rsid w:val="00E56667"/>
    <w:rsid w:val="00E5774A"/>
    <w:rsid w:val="00E6050D"/>
    <w:rsid w:val="00E618AE"/>
    <w:rsid w:val="00E61AE5"/>
    <w:rsid w:val="00E655EB"/>
    <w:rsid w:val="00E66451"/>
    <w:rsid w:val="00E665BF"/>
    <w:rsid w:val="00E67351"/>
    <w:rsid w:val="00E674B1"/>
    <w:rsid w:val="00E67E1F"/>
    <w:rsid w:val="00E71B8E"/>
    <w:rsid w:val="00E71FB0"/>
    <w:rsid w:val="00E76594"/>
    <w:rsid w:val="00E8197C"/>
    <w:rsid w:val="00E832D2"/>
    <w:rsid w:val="00E87AE9"/>
    <w:rsid w:val="00E9014A"/>
    <w:rsid w:val="00E90648"/>
    <w:rsid w:val="00E914AF"/>
    <w:rsid w:val="00E92C5D"/>
    <w:rsid w:val="00E92EBD"/>
    <w:rsid w:val="00E93F3E"/>
    <w:rsid w:val="00E943DD"/>
    <w:rsid w:val="00E94A39"/>
    <w:rsid w:val="00E96615"/>
    <w:rsid w:val="00E9694A"/>
    <w:rsid w:val="00EA1C06"/>
    <w:rsid w:val="00EA4BD4"/>
    <w:rsid w:val="00EA5290"/>
    <w:rsid w:val="00EA717A"/>
    <w:rsid w:val="00EB03E4"/>
    <w:rsid w:val="00EB185D"/>
    <w:rsid w:val="00EB2677"/>
    <w:rsid w:val="00EB2710"/>
    <w:rsid w:val="00EB3BF2"/>
    <w:rsid w:val="00EB3BF9"/>
    <w:rsid w:val="00EB44E5"/>
    <w:rsid w:val="00EB4DF3"/>
    <w:rsid w:val="00EC1B8F"/>
    <w:rsid w:val="00EC2A8E"/>
    <w:rsid w:val="00EC2DE6"/>
    <w:rsid w:val="00EC5F1D"/>
    <w:rsid w:val="00EC60DE"/>
    <w:rsid w:val="00EC67C5"/>
    <w:rsid w:val="00ED0BE4"/>
    <w:rsid w:val="00ED0F1E"/>
    <w:rsid w:val="00ED1375"/>
    <w:rsid w:val="00ED15D6"/>
    <w:rsid w:val="00ED4AF9"/>
    <w:rsid w:val="00ED74F2"/>
    <w:rsid w:val="00EE1960"/>
    <w:rsid w:val="00EE20BE"/>
    <w:rsid w:val="00EE4034"/>
    <w:rsid w:val="00EE4E91"/>
    <w:rsid w:val="00EE5E38"/>
    <w:rsid w:val="00EE702C"/>
    <w:rsid w:val="00EE7038"/>
    <w:rsid w:val="00EF11FB"/>
    <w:rsid w:val="00EF1470"/>
    <w:rsid w:val="00EF2744"/>
    <w:rsid w:val="00EF37CC"/>
    <w:rsid w:val="00EF3865"/>
    <w:rsid w:val="00EF4028"/>
    <w:rsid w:val="00EF436C"/>
    <w:rsid w:val="00F02AAF"/>
    <w:rsid w:val="00F02F54"/>
    <w:rsid w:val="00F03083"/>
    <w:rsid w:val="00F03296"/>
    <w:rsid w:val="00F049B9"/>
    <w:rsid w:val="00F04B1A"/>
    <w:rsid w:val="00F10224"/>
    <w:rsid w:val="00F14A19"/>
    <w:rsid w:val="00F16E74"/>
    <w:rsid w:val="00F200BF"/>
    <w:rsid w:val="00F22132"/>
    <w:rsid w:val="00F24A0B"/>
    <w:rsid w:val="00F24AF9"/>
    <w:rsid w:val="00F275C1"/>
    <w:rsid w:val="00F27CC5"/>
    <w:rsid w:val="00F28517"/>
    <w:rsid w:val="00F31D40"/>
    <w:rsid w:val="00F325D8"/>
    <w:rsid w:val="00F34E36"/>
    <w:rsid w:val="00F34FB4"/>
    <w:rsid w:val="00F3799B"/>
    <w:rsid w:val="00F415CD"/>
    <w:rsid w:val="00F42F4B"/>
    <w:rsid w:val="00F43741"/>
    <w:rsid w:val="00F43B34"/>
    <w:rsid w:val="00F443EA"/>
    <w:rsid w:val="00F505E4"/>
    <w:rsid w:val="00F5108A"/>
    <w:rsid w:val="00F513A5"/>
    <w:rsid w:val="00F519BB"/>
    <w:rsid w:val="00F51E0C"/>
    <w:rsid w:val="00F55E7E"/>
    <w:rsid w:val="00F5780D"/>
    <w:rsid w:val="00F57813"/>
    <w:rsid w:val="00F6335A"/>
    <w:rsid w:val="00F634B0"/>
    <w:rsid w:val="00F63545"/>
    <w:rsid w:val="00F649F6"/>
    <w:rsid w:val="00F735D1"/>
    <w:rsid w:val="00F73636"/>
    <w:rsid w:val="00F76728"/>
    <w:rsid w:val="00F76BB8"/>
    <w:rsid w:val="00F804C3"/>
    <w:rsid w:val="00F82457"/>
    <w:rsid w:val="00F824F2"/>
    <w:rsid w:val="00F83CDD"/>
    <w:rsid w:val="00F85013"/>
    <w:rsid w:val="00F90E40"/>
    <w:rsid w:val="00F93302"/>
    <w:rsid w:val="00F93A48"/>
    <w:rsid w:val="00F97EAC"/>
    <w:rsid w:val="00FA1772"/>
    <w:rsid w:val="00FA27BC"/>
    <w:rsid w:val="00FA3C99"/>
    <w:rsid w:val="00FA5887"/>
    <w:rsid w:val="00FA64AD"/>
    <w:rsid w:val="00FA6E2C"/>
    <w:rsid w:val="00FB4D78"/>
    <w:rsid w:val="00FB63A6"/>
    <w:rsid w:val="00FB6D91"/>
    <w:rsid w:val="00FC25E3"/>
    <w:rsid w:val="00FC265C"/>
    <w:rsid w:val="00FC6AE2"/>
    <w:rsid w:val="00FC6C08"/>
    <w:rsid w:val="00FC6FAB"/>
    <w:rsid w:val="00FD3719"/>
    <w:rsid w:val="00FD5C2C"/>
    <w:rsid w:val="00FD5F4F"/>
    <w:rsid w:val="00FD7DB3"/>
    <w:rsid w:val="00FE0537"/>
    <w:rsid w:val="00FE05B8"/>
    <w:rsid w:val="00FF0154"/>
    <w:rsid w:val="00FF14ED"/>
    <w:rsid w:val="00FF1B7E"/>
    <w:rsid w:val="00FF26ED"/>
    <w:rsid w:val="00FF52E8"/>
    <w:rsid w:val="00FF62CE"/>
    <w:rsid w:val="01E0165A"/>
    <w:rsid w:val="0262D6C5"/>
    <w:rsid w:val="028E5578"/>
    <w:rsid w:val="02D00605"/>
    <w:rsid w:val="0346EE29"/>
    <w:rsid w:val="035B7956"/>
    <w:rsid w:val="0396CE04"/>
    <w:rsid w:val="03B67693"/>
    <w:rsid w:val="04CCD1EA"/>
    <w:rsid w:val="04DA8F39"/>
    <w:rsid w:val="057F11A5"/>
    <w:rsid w:val="05B40F60"/>
    <w:rsid w:val="063BE6BA"/>
    <w:rsid w:val="0735A892"/>
    <w:rsid w:val="0761C69B"/>
    <w:rsid w:val="07777ECE"/>
    <w:rsid w:val="0826421B"/>
    <w:rsid w:val="0863B9DD"/>
    <w:rsid w:val="0889E7B6"/>
    <w:rsid w:val="08FA1BF6"/>
    <w:rsid w:val="08FD96FC"/>
    <w:rsid w:val="09FD3176"/>
    <w:rsid w:val="0A01B16C"/>
    <w:rsid w:val="0A23072D"/>
    <w:rsid w:val="0A26A509"/>
    <w:rsid w:val="0A34779F"/>
    <w:rsid w:val="0B0EB5CD"/>
    <w:rsid w:val="0B9901D7"/>
    <w:rsid w:val="0CA4969D"/>
    <w:rsid w:val="0CAB283E"/>
    <w:rsid w:val="0CAC65CE"/>
    <w:rsid w:val="0DA4EA16"/>
    <w:rsid w:val="0DE99DEB"/>
    <w:rsid w:val="0E05D5B6"/>
    <w:rsid w:val="0E12C5D2"/>
    <w:rsid w:val="0E46F89F"/>
    <w:rsid w:val="0E5069B8"/>
    <w:rsid w:val="0E588E37"/>
    <w:rsid w:val="0E9485C2"/>
    <w:rsid w:val="0EE67A9F"/>
    <w:rsid w:val="0EFEB8E0"/>
    <w:rsid w:val="0F131E7F"/>
    <w:rsid w:val="0FB5D92E"/>
    <w:rsid w:val="0FE2C900"/>
    <w:rsid w:val="106C72FA"/>
    <w:rsid w:val="10C046E0"/>
    <w:rsid w:val="10C1C44C"/>
    <w:rsid w:val="114167BF"/>
    <w:rsid w:val="11A204E7"/>
    <w:rsid w:val="1257147B"/>
    <w:rsid w:val="13057ADD"/>
    <w:rsid w:val="131351ED"/>
    <w:rsid w:val="132B641C"/>
    <w:rsid w:val="135D40D4"/>
    <w:rsid w:val="14EA75C2"/>
    <w:rsid w:val="15B575CE"/>
    <w:rsid w:val="16137671"/>
    <w:rsid w:val="16A67252"/>
    <w:rsid w:val="16C43317"/>
    <w:rsid w:val="16C4E4E9"/>
    <w:rsid w:val="1737E705"/>
    <w:rsid w:val="1753B9E2"/>
    <w:rsid w:val="175E87AD"/>
    <w:rsid w:val="1842025F"/>
    <w:rsid w:val="1847F28F"/>
    <w:rsid w:val="1881658B"/>
    <w:rsid w:val="1890FBB8"/>
    <w:rsid w:val="18ACB4D0"/>
    <w:rsid w:val="18CF7DBB"/>
    <w:rsid w:val="194F23F8"/>
    <w:rsid w:val="1A4A9847"/>
    <w:rsid w:val="1ABE0E3A"/>
    <w:rsid w:val="1AD76398"/>
    <w:rsid w:val="1AFA847E"/>
    <w:rsid w:val="1B8A2A76"/>
    <w:rsid w:val="1BE79A48"/>
    <w:rsid w:val="1BF7CB18"/>
    <w:rsid w:val="1C00163D"/>
    <w:rsid w:val="1C0476F3"/>
    <w:rsid w:val="1C619484"/>
    <w:rsid w:val="1CF6BC7A"/>
    <w:rsid w:val="1D57BE7A"/>
    <w:rsid w:val="1DC2FB66"/>
    <w:rsid w:val="1E5AC2F2"/>
    <w:rsid w:val="1E66442D"/>
    <w:rsid w:val="1EB08BA8"/>
    <w:rsid w:val="1F9E8690"/>
    <w:rsid w:val="1FB06A06"/>
    <w:rsid w:val="1FB70381"/>
    <w:rsid w:val="20196F9E"/>
    <w:rsid w:val="2039D59C"/>
    <w:rsid w:val="20D38760"/>
    <w:rsid w:val="213486A8"/>
    <w:rsid w:val="219D5603"/>
    <w:rsid w:val="21EED4D5"/>
    <w:rsid w:val="22053EC8"/>
    <w:rsid w:val="224E30AC"/>
    <w:rsid w:val="22FB4970"/>
    <w:rsid w:val="22FB5A83"/>
    <w:rsid w:val="23676448"/>
    <w:rsid w:val="2383FCCB"/>
    <w:rsid w:val="23C24020"/>
    <w:rsid w:val="23CCA121"/>
    <w:rsid w:val="23F47B90"/>
    <w:rsid w:val="23FE442D"/>
    <w:rsid w:val="243D2734"/>
    <w:rsid w:val="248414AB"/>
    <w:rsid w:val="249064F7"/>
    <w:rsid w:val="249719D1"/>
    <w:rsid w:val="249DB02E"/>
    <w:rsid w:val="24B566B8"/>
    <w:rsid w:val="24E3A33C"/>
    <w:rsid w:val="24F1C088"/>
    <w:rsid w:val="25B4E4EE"/>
    <w:rsid w:val="261D99E5"/>
    <w:rsid w:val="261F0ECE"/>
    <w:rsid w:val="2632FB45"/>
    <w:rsid w:val="26383B74"/>
    <w:rsid w:val="26748A7B"/>
    <w:rsid w:val="267F739D"/>
    <w:rsid w:val="26BB9D8D"/>
    <w:rsid w:val="27CD688D"/>
    <w:rsid w:val="27D550F0"/>
    <w:rsid w:val="27ED87FB"/>
    <w:rsid w:val="281B43FE"/>
    <w:rsid w:val="2868C988"/>
    <w:rsid w:val="286F9470"/>
    <w:rsid w:val="289760BB"/>
    <w:rsid w:val="28C3077B"/>
    <w:rsid w:val="290C951F"/>
    <w:rsid w:val="29B92911"/>
    <w:rsid w:val="29CDFAAC"/>
    <w:rsid w:val="29E0B7E2"/>
    <w:rsid w:val="29E6C15E"/>
    <w:rsid w:val="29F33E4F"/>
    <w:rsid w:val="2A0499E9"/>
    <w:rsid w:val="2A207FBA"/>
    <w:rsid w:val="2A333785"/>
    <w:rsid w:val="2A5B1063"/>
    <w:rsid w:val="2A7A69A6"/>
    <w:rsid w:val="2B8A051F"/>
    <w:rsid w:val="2C9CF6FB"/>
    <w:rsid w:val="2CE96D22"/>
    <w:rsid w:val="2CEEB521"/>
    <w:rsid w:val="2DB9F7EE"/>
    <w:rsid w:val="2E232A00"/>
    <w:rsid w:val="2E61634C"/>
    <w:rsid w:val="2E6E856E"/>
    <w:rsid w:val="2EC6AF72"/>
    <w:rsid w:val="2ED80B0C"/>
    <w:rsid w:val="3026F7F3"/>
    <w:rsid w:val="310A53FC"/>
    <w:rsid w:val="3184B739"/>
    <w:rsid w:val="31C2C854"/>
    <w:rsid w:val="31EB5A88"/>
    <w:rsid w:val="320FABCE"/>
    <w:rsid w:val="325F15C5"/>
    <w:rsid w:val="32785281"/>
    <w:rsid w:val="328254BA"/>
    <w:rsid w:val="33AB7C2F"/>
    <w:rsid w:val="33B348F2"/>
    <w:rsid w:val="340DC543"/>
    <w:rsid w:val="341C37A3"/>
    <w:rsid w:val="346AC454"/>
    <w:rsid w:val="347B6396"/>
    <w:rsid w:val="34C49E95"/>
    <w:rsid w:val="350834BE"/>
    <w:rsid w:val="35388A57"/>
    <w:rsid w:val="36C41C45"/>
    <w:rsid w:val="374E6579"/>
    <w:rsid w:val="37C96E4B"/>
    <w:rsid w:val="37E4BDBB"/>
    <w:rsid w:val="385A9C0C"/>
    <w:rsid w:val="3862F8D1"/>
    <w:rsid w:val="3886DAD8"/>
    <w:rsid w:val="3898E0A7"/>
    <w:rsid w:val="38FCAA95"/>
    <w:rsid w:val="39482C4E"/>
    <w:rsid w:val="39653EAC"/>
    <w:rsid w:val="396AF0C0"/>
    <w:rsid w:val="39DA2875"/>
    <w:rsid w:val="39F66C6D"/>
    <w:rsid w:val="3A329179"/>
    <w:rsid w:val="3A443A1A"/>
    <w:rsid w:val="3A61DFB1"/>
    <w:rsid w:val="3AE3FCAF"/>
    <w:rsid w:val="3AF825AE"/>
    <w:rsid w:val="3B4F1644"/>
    <w:rsid w:val="3BDD02AC"/>
    <w:rsid w:val="3C22E847"/>
    <w:rsid w:val="3D1346A3"/>
    <w:rsid w:val="3D36706F"/>
    <w:rsid w:val="3DA6D364"/>
    <w:rsid w:val="3DB6F35B"/>
    <w:rsid w:val="3E054BE1"/>
    <w:rsid w:val="3E57E4C7"/>
    <w:rsid w:val="3EC6AD71"/>
    <w:rsid w:val="3EF3F9A4"/>
    <w:rsid w:val="40450943"/>
    <w:rsid w:val="404969F9"/>
    <w:rsid w:val="40809123"/>
    <w:rsid w:val="4091ECBD"/>
    <w:rsid w:val="40BAF6CA"/>
    <w:rsid w:val="412CC5EC"/>
    <w:rsid w:val="41E6B7C6"/>
    <w:rsid w:val="4287BCC1"/>
    <w:rsid w:val="428A647E"/>
    <w:rsid w:val="42A38CDB"/>
    <w:rsid w:val="4309FE7E"/>
    <w:rsid w:val="43E9033D"/>
    <w:rsid w:val="4414F1AF"/>
    <w:rsid w:val="443F5D3C"/>
    <w:rsid w:val="444FBDF8"/>
    <w:rsid w:val="449E27AF"/>
    <w:rsid w:val="44F46C04"/>
    <w:rsid w:val="453DF25E"/>
    <w:rsid w:val="45655DE0"/>
    <w:rsid w:val="456963D6"/>
    <w:rsid w:val="45716320"/>
    <w:rsid w:val="458CAE69"/>
    <w:rsid w:val="468EB885"/>
    <w:rsid w:val="46BA28E9"/>
    <w:rsid w:val="472C508E"/>
    <w:rsid w:val="477B077F"/>
    <w:rsid w:val="478655C7"/>
    <w:rsid w:val="47DE1928"/>
    <w:rsid w:val="47FB5BDA"/>
    <w:rsid w:val="4855F94A"/>
    <w:rsid w:val="4943D746"/>
    <w:rsid w:val="4944EE22"/>
    <w:rsid w:val="495ABF7C"/>
    <w:rsid w:val="498D30A8"/>
    <w:rsid w:val="4A92A653"/>
    <w:rsid w:val="4AFA2079"/>
    <w:rsid w:val="4B020DFF"/>
    <w:rsid w:val="4B1F205D"/>
    <w:rsid w:val="4BBDE0A4"/>
    <w:rsid w:val="4D36FDA9"/>
    <w:rsid w:val="4D706FC5"/>
    <w:rsid w:val="4DB791C3"/>
    <w:rsid w:val="4DBED4F8"/>
    <w:rsid w:val="4DC94894"/>
    <w:rsid w:val="4E40572C"/>
    <w:rsid w:val="4EAA1B7D"/>
    <w:rsid w:val="4EAC1271"/>
    <w:rsid w:val="4EAF7708"/>
    <w:rsid w:val="4ECE4276"/>
    <w:rsid w:val="4F789A59"/>
    <w:rsid w:val="4F995532"/>
    <w:rsid w:val="4FC2F8B5"/>
    <w:rsid w:val="504B4769"/>
    <w:rsid w:val="50C97422"/>
    <w:rsid w:val="50EB039D"/>
    <w:rsid w:val="51352593"/>
    <w:rsid w:val="51E717CA"/>
    <w:rsid w:val="5261BA23"/>
    <w:rsid w:val="5269DEA2"/>
    <w:rsid w:val="529A0A29"/>
    <w:rsid w:val="52FA9977"/>
    <w:rsid w:val="535C900F"/>
    <w:rsid w:val="5426D347"/>
    <w:rsid w:val="542D5379"/>
    <w:rsid w:val="544452FF"/>
    <w:rsid w:val="549669D8"/>
    <w:rsid w:val="54BEAE36"/>
    <w:rsid w:val="54C602A3"/>
    <w:rsid w:val="54FBAB66"/>
    <w:rsid w:val="557098DC"/>
    <w:rsid w:val="559C663A"/>
    <w:rsid w:val="55BC554C"/>
    <w:rsid w:val="55EC96A2"/>
    <w:rsid w:val="5764F43B"/>
    <w:rsid w:val="57A5C6E0"/>
    <w:rsid w:val="5856594E"/>
    <w:rsid w:val="588FB394"/>
    <w:rsid w:val="5913E5B6"/>
    <w:rsid w:val="59243764"/>
    <w:rsid w:val="59270F1B"/>
    <w:rsid w:val="59466E0E"/>
    <w:rsid w:val="5969DAFB"/>
    <w:rsid w:val="59ADF71E"/>
    <w:rsid w:val="59B0BF90"/>
    <w:rsid w:val="5A038CBF"/>
    <w:rsid w:val="5A497286"/>
    <w:rsid w:val="5AA112F8"/>
    <w:rsid w:val="5B298D63"/>
    <w:rsid w:val="5B32CCE1"/>
    <w:rsid w:val="5B4880BF"/>
    <w:rsid w:val="5BD98857"/>
    <w:rsid w:val="5C4C1D8E"/>
    <w:rsid w:val="5C787A4A"/>
    <w:rsid w:val="5C879CBB"/>
    <w:rsid w:val="5CA6768A"/>
    <w:rsid w:val="5CBE053B"/>
    <w:rsid w:val="5D0B295E"/>
    <w:rsid w:val="5D4BF9C3"/>
    <w:rsid w:val="5D5176B1"/>
    <w:rsid w:val="5D95984A"/>
    <w:rsid w:val="5DA980E3"/>
    <w:rsid w:val="5DD9C126"/>
    <w:rsid w:val="5E9C5FE5"/>
    <w:rsid w:val="5F1BBF35"/>
    <w:rsid w:val="5F477F7F"/>
    <w:rsid w:val="5F6EDA8E"/>
    <w:rsid w:val="5F9F4F74"/>
    <w:rsid w:val="5FAF78FC"/>
    <w:rsid w:val="60CCE5ED"/>
    <w:rsid w:val="60E34FE0"/>
    <w:rsid w:val="60E59795"/>
    <w:rsid w:val="60ED308C"/>
    <w:rsid w:val="61015648"/>
    <w:rsid w:val="6151DF7D"/>
    <w:rsid w:val="61690EE5"/>
    <w:rsid w:val="6187734D"/>
    <w:rsid w:val="61CBA721"/>
    <w:rsid w:val="61FB8D4A"/>
    <w:rsid w:val="626D0DD3"/>
    <w:rsid w:val="62747D44"/>
    <w:rsid w:val="628E8B36"/>
    <w:rsid w:val="631EE8CA"/>
    <w:rsid w:val="63349F48"/>
    <w:rsid w:val="63C853EC"/>
    <w:rsid w:val="641D3857"/>
    <w:rsid w:val="6423CEB4"/>
    <w:rsid w:val="6424D14E"/>
    <w:rsid w:val="649157D7"/>
    <w:rsid w:val="64D06FA9"/>
    <w:rsid w:val="651791A7"/>
    <w:rsid w:val="653BA360"/>
    <w:rsid w:val="655B4109"/>
    <w:rsid w:val="65A05710"/>
    <w:rsid w:val="65A3C33D"/>
    <w:rsid w:val="65C0A1AF"/>
    <w:rsid w:val="65C3E9A0"/>
    <w:rsid w:val="65E9920F"/>
    <w:rsid w:val="65EB7FC5"/>
    <w:rsid w:val="66063433"/>
    <w:rsid w:val="6805CBFB"/>
    <w:rsid w:val="685A5C4D"/>
    <w:rsid w:val="688BA68F"/>
    <w:rsid w:val="68F5219A"/>
    <w:rsid w:val="693D32E5"/>
    <w:rsid w:val="6964C8FA"/>
    <w:rsid w:val="69EB02CA"/>
    <w:rsid w:val="6A34305E"/>
    <w:rsid w:val="6A4E9B03"/>
    <w:rsid w:val="6A8A3226"/>
    <w:rsid w:val="6AC59EB5"/>
    <w:rsid w:val="6B2E5593"/>
    <w:rsid w:val="6B8137F2"/>
    <w:rsid w:val="6BFED866"/>
    <w:rsid w:val="6C08F029"/>
    <w:rsid w:val="6C2FE333"/>
    <w:rsid w:val="6D3C1083"/>
    <w:rsid w:val="6D6D9960"/>
    <w:rsid w:val="6DF2470F"/>
    <w:rsid w:val="6E383A1D"/>
    <w:rsid w:val="6E6C625F"/>
    <w:rsid w:val="6EA87DA0"/>
    <w:rsid w:val="6EE9D340"/>
    <w:rsid w:val="6F4090EB"/>
    <w:rsid w:val="702B2108"/>
    <w:rsid w:val="705A444E"/>
    <w:rsid w:val="70870EFF"/>
    <w:rsid w:val="70BC95BB"/>
    <w:rsid w:val="70CE1809"/>
    <w:rsid w:val="712297FC"/>
    <w:rsid w:val="7141CBF7"/>
    <w:rsid w:val="71A922A0"/>
    <w:rsid w:val="7239BA64"/>
    <w:rsid w:val="72A7FE82"/>
    <w:rsid w:val="730BAB40"/>
    <w:rsid w:val="7333E58E"/>
    <w:rsid w:val="7339883B"/>
    <w:rsid w:val="73722656"/>
    <w:rsid w:val="7414020E"/>
    <w:rsid w:val="7442E29E"/>
    <w:rsid w:val="744CE92D"/>
    <w:rsid w:val="748162F8"/>
    <w:rsid w:val="74963B36"/>
    <w:rsid w:val="74F5C1AE"/>
    <w:rsid w:val="75E1FE27"/>
    <w:rsid w:val="76D595AA"/>
    <w:rsid w:val="774BA2D0"/>
    <w:rsid w:val="774F8CD1"/>
    <w:rsid w:val="777713FE"/>
    <w:rsid w:val="77B903BA"/>
    <w:rsid w:val="77FB387A"/>
    <w:rsid w:val="7821F053"/>
    <w:rsid w:val="797AECC4"/>
    <w:rsid w:val="7A4405EC"/>
    <w:rsid w:val="7A78AAAB"/>
    <w:rsid w:val="7B16BD25"/>
    <w:rsid w:val="7B7D383B"/>
    <w:rsid w:val="7BA57AF8"/>
    <w:rsid w:val="7C1F13F3"/>
    <w:rsid w:val="7C42844D"/>
    <w:rsid w:val="7C92B8A1"/>
    <w:rsid w:val="7CAA3112"/>
    <w:rsid w:val="7D1F6457"/>
    <w:rsid w:val="7DBAE454"/>
    <w:rsid w:val="7DE9C4E4"/>
    <w:rsid w:val="7E3815D2"/>
    <w:rsid w:val="7EEA6DA7"/>
    <w:rsid w:val="7F3C66D5"/>
    <w:rsid w:val="7F56B4B5"/>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54FB7521-7A47-4575-BF35-37D9D632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C3"/>
    <w:pPr>
      <w:spacing w:after="0" w:line="240" w:lineRule="auto"/>
    </w:pPr>
    <w:rPr>
      <w:rFonts w:ascii="Calibri" w:hAnsi="Calibri" w:cs="Calibri"/>
      <w:sz w:val="20"/>
      <w:szCs w:val="20"/>
      <w:lang w:eastAsia="en-AU"/>
    </w:rPr>
  </w:style>
  <w:style w:type="paragraph" w:styleId="Heading1">
    <w:name w:val="heading 1"/>
    <w:basedOn w:val="Normal"/>
    <w:next w:val="Normal"/>
    <w:link w:val="Heading1Char"/>
    <w:uiPriority w:val="9"/>
    <w:qFormat/>
    <w:rsid w:val="001545DE"/>
    <w:pPr>
      <w:keepNext/>
      <w:keepLines/>
      <w:spacing w:after="120"/>
      <w:outlineLvl w:val="0"/>
    </w:pPr>
    <w:rPr>
      <w:rFonts w:asciiTheme="minorHAnsi" w:eastAsia="Times New Roman" w:hAnsiTheme="minorHAnsi" w:cs="Times New Roman"/>
      <w:b/>
      <w:bCs/>
      <w:sz w:val="32"/>
      <w:szCs w:val="28"/>
      <w:lang w:eastAsia="en-US"/>
    </w:rPr>
  </w:style>
  <w:style w:type="paragraph" w:styleId="Heading2">
    <w:name w:val="heading 2"/>
    <w:basedOn w:val="Normal"/>
    <w:next w:val="Normal"/>
    <w:link w:val="Heading2Char"/>
    <w:uiPriority w:val="9"/>
    <w:semiHidden/>
    <w:unhideWhenUsed/>
    <w:qFormat/>
    <w:rsid w:val="001545DE"/>
    <w:pPr>
      <w:keepNext/>
      <w:keepLines/>
      <w:tabs>
        <w:tab w:val="left" w:pos="288"/>
      </w:tabs>
      <w:spacing w:after="120"/>
      <w:ind w:left="288"/>
      <w:outlineLvl w:val="1"/>
    </w:pPr>
    <w:rPr>
      <w:rFonts w:asciiTheme="majorHAnsi" w:eastAsiaTheme="majorEastAsia" w:hAnsiTheme="majorHAnsi" w:cstheme="majorBidi"/>
      <w:b/>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left" w:pos="288"/>
        <w:tab w:val="center" w:pos="4513"/>
        <w:tab w:val="right" w:pos="9026"/>
      </w:tabs>
      <w:spacing w:after="120"/>
    </w:pPr>
    <w:rPr>
      <w:rFonts w:asciiTheme="minorHAnsi" w:eastAsiaTheme="minorEastAsia" w:hAnsiTheme="minorHAnsi" w:cs="Times New Roman"/>
      <w:sz w:val="24"/>
      <w:szCs w:val="24"/>
      <w:lang w:eastAsia="ja-JP"/>
    </w:r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left" w:pos="288"/>
        <w:tab w:val="center" w:pos="4513"/>
        <w:tab w:val="right" w:pos="9026"/>
      </w:tabs>
      <w:spacing w:after="120"/>
    </w:pPr>
    <w:rPr>
      <w:rFonts w:asciiTheme="minorHAnsi" w:eastAsiaTheme="minorEastAsia" w:hAnsiTheme="minorHAnsi" w:cs="Times New Roman"/>
      <w:sz w:val="24"/>
      <w:szCs w:val="24"/>
      <w:lang w:eastAsia="ja-JP"/>
    </w:r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pPr>
      <w:tabs>
        <w:tab w:val="left" w:pos="288"/>
      </w:tabs>
      <w:spacing w:after="120"/>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tabs>
        <w:tab w:val="left" w:pos="288"/>
      </w:tabs>
      <w:spacing w:after="120"/>
      <w:ind w:left="720"/>
      <w:contextualSpacing/>
    </w:pPr>
    <w:rPr>
      <w:rFonts w:asciiTheme="minorHAnsi" w:eastAsiaTheme="minorEastAsia" w:hAnsiTheme="minorHAnsi" w:cs="Times New Roman"/>
      <w:sz w:val="24"/>
      <w:szCs w:val="24"/>
      <w:lang w:eastAsia="ja-JP"/>
    </w:r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semiHidden/>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tabs>
        <w:tab w:val="left" w:pos="288"/>
      </w:tabs>
      <w:spacing w:after="120"/>
      <w:contextualSpacing/>
    </w:pPr>
    <w:rPr>
      <w:rFonts w:eastAsiaTheme="majorEastAsia" w:cstheme="majorBidi"/>
      <w:spacing w:val="-10"/>
      <w:kern w:val="28"/>
      <w:sz w:val="40"/>
      <w:szCs w:val="56"/>
      <w:lang w:eastAsia="ja-JP"/>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tabs>
        <w:tab w:val="left" w:pos="288"/>
      </w:tabs>
      <w:spacing w:after="120"/>
    </w:pPr>
    <w:rPr>
      <w:rFonts w:asciiTheme="minorHAnsi" w:eastAsiaTheme="minorEastAsia" w:hAnsiTheme="minorHAnsi" w:cstheme="minorBidi"/>
      <w:b/>
      <w:color w:val="FF0000"/>
      <w:spacing w:val="15"/>
      <w:sz w:val="36"/>
      <w:szCs w:val="22"/>
      <w:lang w:eastAsia="ja-JP"/>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FootnoteText">
    <w:name w:val="footnote text"/>
    <w:basedOn w:val="Normal"/>
    <w:link w:val="FootnoteTextChar"/>
    <w:uiPriority w:val="99"/>
    <w:semiHidden/>
    <w:unhideWhenUsed/>
    <w:rsid w:val="00FD5C2C"/>
  </w:style>
  <w:style w:type="character" w:customStyle="1" w:styleId="FootnoteTextChar">
    <w:name w:val="Footnote Text Char"/>
    <w:basedOn w:val="DefaultParagraphFont"/>
    <w:link w:val="FootnoteText"/>
    <w:uiPriority w:val="99"/>
    <w:semiHidden/>
    <w:rsid w:val="00FD5C2C"/>
    <w:rPr>
      <w:rFonts w:ascii="Calibri" w:hAnsi="Calibri" w:cs="Calibri"/>
      <w:sz w:val="20"/>
      <w:szCs w:val="20"/>
      <w:lang w:eastAsia="en-AU"/>
    </w:rPr>
  </w:style>
  <w:style w:type="character" w:styleId="FootnoteReference">
    <w:name w:val="footnote reference"/>
    <w:basedOn w:val="DefaultParagraphFont"/>
    <w:uiPriority w:val="99"/>
    <w:semiHidden/>
    <w:unhideWhenUsed/>
    <w:rsid w:val="00FD5C2C"/>
    <w:rPr>
      <w:vertAlign w:val="superscript"/>
    </w:rPr>
  </w:style>
  <w:style w:type="paragraph" w:styleId="Revision">
    <w:name w:val="Revision"/>
    <w:hidden/>
    <w:uiPriority w:val="99"/>
    <w:semiHidden/>
    <w:rsid w:val="004A50E4"/>
    <w:pPr>
      <w:spacing w:after="0" w:line="240" w:lineRule="auto"/>
    </w:pPr>
    <w:rPr>
      <w:rFonts w:ascii="Calibri" w:hAnsi="Calibri" w:cs="Calibri"/>
      <w:sz w:val="20"/>
      <w:szCs w:val="20"/>
      <w:lang w:eastAsia="en-AU"/>
    </w:rPr>
  </w:style>
  <w:style w:type="character" w:styleId="CommentReference">
    <w:name w:val="annotation reference"/>
    <w:basedOn w:val="DefaultParagraphFont"/>
    <w:uiPriority w:val="99"/>
    <w:semiHidden/>
    <w:unhideWhenUsed/>
    <w:rsid w:val="00B27193"/>
    <w:rPr>
      <w:sz w:val="16"/>
      <w:szCs w:val="16"/>
    </w:rPr>
  </w:style>
  <w:style w:type="paragraph" w:styleId="CommentText">
    <w:name w:val="annotation text"/>
    <w:basedOn w:val="Normal"/>
    <w:link w:val="CommentTextChar"/>
    <w:uiPriority w:val="99"/>
    <w:unhideWhenUsed/>
    <w:rsid w:val="00B27193"/>
  </w:style>
  <w:style w:type="character" w:customStyle="1" w:styleId="CommentTextChar">
    <w:name w:val="Comment Text Char"/>
    <w:basedOn w:val="DefaultParagraphFont"/>
    <w:link w:val="CommentText"/>
    <w:uiPriority w:val="99"/>
    <w:rsid w:val="00B27193"/>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B27193"/>
    <w:rPr>
      <w:b/>
      <w:bCs/>
    </w:rPr>
  </w:style>
  <w:style w:type="character" w:customStyle="1" w:styleId="CommentSubjectChar">
    <w:name w:val="Comment Subject Char"/>
    <w:basedOn w:val="CommentTextChar"/>
    <w:link w:val="CommentSubject"/>
    <w:uiPriority w:val="99"/>
    <w:semiHidden/>
    <w:rsid w:val="00B27193"/>
    <w:rPr>
      <w:rFonts w:ascii="Calibri"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4373">
      <w:bodyDiv w:val="1"/>
      <w:marLeft w:val="0"/>
      <w:marRight w:val="0"/>
      <w:marTop w:val="0"/>
      <w:marBottom w:val="0"/>
      <w:divBdr>
        <w:top w:val="none" w:sz="0" w:space="0" w:color="auto"/>
        <w:left w:val="none" w:sz="0" w:space="0" w:color="auto"/>
        <w:bottom w:val="none" w:sz="0" w:space="0" w:color="auto"/>
        <w:right w:val="none" w:sz="0" w:space="0" w:color="auto"/>
      </w:divBdr>
    </w:div>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179127818">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351222598">
      <w:bodyDiv w:val="1"/>
      <w:marLeft w:val="0"/>
      <w:marRight w:val="0"/>
      <w:marTop w:val="0"/>
      <w:marBottom w:val="0"/>
      <w:divBdr>
        <w:top w:val="none" w:sz="0" w:space="0" w:color="auto"/>
        <w:left w:val="none" w:sz="0" w:space="0" w:color="auto"/>
        <w:bottom w:val="none" w:sz="0" w:space="0" w:color="auto"/>
        <w:right w:val="none" w:sz="0" w:space="0" w:color="auto"/>
      </w:divBdr>
    </w:div>
    <w:div w:id="462044139">
      <w:bodyDiv w:val="1"/>
      <w:marLeft w:val="0"/>
      <w:marRight w:val="0"/>
      <w:marTop w:val="0"/>
      <w:marBottom w:val="0"/>
      <w:divBdr>
        <w:top w:val="none" w:sz="0" w:space="0" w:color="auto"/>
        <w:left w:val="none" w:sz="0" w:space="0" w:color="auto"/>
        <w:bottom w:val="none" w:sz="0" w:space="0" w:color="auto"/>
        <w:right w:val="none" w:sz="0" w:space="0" w:color="auto"/>
      </w:divBdr>
    </w:div>
    <w:div w:id="808012288">
      <w:bodyDiv w:val="1"/>
      <w:marLeft w:val="0"/>
      <w:marRight w:val="0"/>
      <w:marTop w:val="0"/>
      <w:marBottom w:val="0"/>
      <w:divBdr>
        <w:top w:val="none" w:sz="0" w:space="0" w:color="auto"/>
        <w:left w:val="none" w:sz="0" w:space="0" w:color="auto"/>
        <w:bottom w:val="none" w:sz="0" w:space="0" w:color="auto"/>
        <w:right w:val="none" w:sz="0" w:space="0" w:color="auto"/>
      </w:divBdr>
    </w:div>
    <w:div w:id="884482569">
      <w:bodyDiv w:val="1"/>
      <w:marLeft w:val="0"/>
      <w:marRight w:val="0"/>
      <w:marTop w:val="0"/>
      <w:marBottom w:val="0"/>
      <w:divBdr>
        <w:top w:val="none" w:sz="0" w:space="0" w:color="auto"/>
        <w:left w:val="none" w:sz="0" w:space="0" w:color="auto"/>
        <w:bottom w:val="none" w:sz="0" w:space="0" w:color="auto"/>
        <w:right w:val="none" w:sz="0" w:space="0" w:color="auto"/>
      </w:divBdr>
    </w:div>
    <w:div w:id="950160781">
      <w:bodyDiv w:val="1"/>
      <w:marLeft w:val="0"/>
      <w:marRight w:val="0"/>
      <w:marTop w:val="0"/>
      <w:marBottom w:val="0"/>
      <w:divBdr>
        <w:top w:val="none" w:sz="0" w:space="0" w:color="auto"/>
        <w:left w:val="none" w:sz="0" w:space="0" w:color="auto"/>
        <w:bottom w:val="none" w:sz="0" w:space="0" w:color="auto"/>
        <w:right w:val="none" w:sz="0" w:space="0" w:color="auto"/>
      </w:divBdr>
    </w:div>
    <w:div w:id="996689651">
      <w:bodyDiv w:val="1"/>
      <w:marLeft w:val="0"/>
      <w:marRight w:val="0"/>
      <w:marTop w:val="0"/>
      <w:marBottom w:val="0"/>
      <w:divBdr>
        <w:top w:val="none" w:sz="0" w:space="0" w:color="auto"/>
        <w:left w:val="none" w:sz="0" w:space="0" w:color="auto"/>
        <w:bottom w:val="none" w:sz="0" w:space="0" w:color="auto"/>
        <w:right w:val="none" w:sz="0" w:space="0" w:color="auto"/>
      </w:divBdr>
    </w:div>
    <w:div w:id="1129973061">
      <w:bodyDiv w:val="1"/>
      <w:marLeft w:val="0"/>
      <w:marRight w:val="0"/>
      <w:marTop w:val="0"/>
      <w:marBottom w:val="0"/>
      <w:divBdr>
        <w:top w:val="none" w:sz="0" w:space="0" w:color="auto"/>
        <w:left w:val="none" w:sz="0" w:space="0" w:color="auto"/>
        <w:bottom w:val="none" w:sz="0" w:space="0" w:color="auto"/>
        <w:right w:val="none" w:sz="0" w:space="0" w:color="auto"/>
      </w:divBdr>
    </w:div>
    <w:div w:id="1284384174">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 w:id="1965960510">
      <w:bodyDiv w:val="1"/>
      <w:marLeft w:val="0"/>
      <w:marRight w:val="0"/>
      <w:marTop w:val="0"/>
      <w:marBottom w:val="0"/>
      <w:divBdr>
        <w:top w:val="none" w:sz="0" w:space="0" w:color="auto"/>
        <w:left w:val="none" w:sz="0" w:space="0" w:color="auto"/>
        <w:bottom w:val="none" w:sz="0" w:space="0" w:color="auto"/>
        <w:right w:val="none" w:sz="0" w:space="0" w:color="auto"/>
      </w:divBdr>
      <w:divsChild>
        <w:div w:id="5488818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qai.org.au/2022/09/02/places-of-detention-in-queens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A588-DC9A-40B7-B894-A2CED759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4.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4910</Words>
  <Characters>27989</Characters>
  <Application>Microsoft Office Word</Application>
  <DocSecurity>0</DocSecurity>
  <Lines>233</Lines>
  <Paragraphs>65</Paragraphs>
  <ScaleCrop>false</ScaleCrop>
  <Company>Brendon Pearce</Company>
  <LinksUpToDate>false</LinksUpToDate>
  <CharactersWithSpaces>32834</CharactersWithSpaces>
  <SharedDoc>false</SharedDoc>
  <HLinks>
    <vt:vector size="12" baseType="variant">
      <vt:variant>
        <vt:i4>5177429</vt:i4>
      </vt:variant>
      <vt:variant>
        <vt:i4>0</vt:i4>
      </vt:variant>
      <vt:variant>
        <vt:i4>0</vt:i4>
      </vt:variant>
      <vt:variant>
        <vt:i4>5</vt:i4>
      </vt:variant>
      <vt:variant>
        <vt:lpwstr>https://qai.org.au/2022/09/02/places-of-detention-in-queensland/</vt:lpwstr>
      </vt:variant>
      <vt:variant>
        <vt:lpwstr/>
      </vt:variant>
      <vt:variant>
        <vt:i4>721016</vt:i4>
      </vt:variant>
      <vt:variant>
        <vt:i4>6</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3</cp:revision>
  <cp:lastPrinted>2023-01-11T17:49:00Z</cp:lastPrinted>
  <dcterms:created xsi:type="dcterms:W3CDTF">2023-01-29T23:47:00Z</dcterms:created>
  <dcterms:modified xsi:type="dcterms:W3CDTF">2023-01-29T23:51:00Z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