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AF30" w14:textId="64C1BEAF" w:rsidR="007A565E" w:rsidRDefault="009B7D5B" w:rsidP="00047E69">
      <w:pPr>
        <w:pStyle w:val="Heading1"/>
        <w:jc w:val="center"/>
      </w:pPr>
      <w:r>
        <w:rPr>
          <w:caps w:val="0"/>
        </w:rPr>
        <w:t xml:space="preserve">WHAT </w:t>
      </w:r>
      <w:r w:rsidR="00047E69">
        <w:rPr>
          <w:caps w:val="0"/>
        </w:rPr>
        <w:t xml:space="preserve">DOES </w:t>
      </w:r>
      <w:r>
        <w:rPr>
          <w:caps w:val="0"/>
        </w:rPr>
        <w:t>“DISABILITY</w:t>
      </w:r>
      <w:r w:rsidR="007A565E">
        <w:t>”</w:t>
      </w:r>
      <w:r w:rsidR="00047E69">
        <w:t xml:space="preserve"> MEAN, AND WHO DECIDES</w:t>
      </w:r>
      <w:r w:rsidR="007A565E">
        <w:t>?</w:t>
      </w:r>
    </w:p>
    <w:p w14:paraId="654D28D0" w14:textId="111EEF4A" w:rsidR="00623DBE" w:rsidRPr="004C4C37" w:rsidRDefault="005C482B" w:rsidP="00047E69">
      <w:pPr>
        <w:tabs>
          <w:tab w:val="clear" w:pos="288"/>
          <w:tab w:val="left" w:pos="0"/>
        </w:tabs>
        <w:jc w:val="center"/>
        <w:rPr>
          <w:rFonts w:ascii="Calibri" w:hAnsi="Calibri" w:cs="Calibri"/>
          <w:b/>
          <w:bCs/>
        </w:rPr>
      </w:pPr>
      <w:r>
        <w:rPr>
          <w:rFonts w:ascii="Calibri" w:hAnsi="Calibri" w:cs="Calibri"/>
          <w:b/>
          <w:bCs/>
        </w:rPr>
        <w:t>A</w:t>
      </w:r>
      <w:r w:rsidR="00623DBE" w:rsidRPr="004C4C37">
        <w:rPr>
          <w:rFonts w:ascii="Calibri" w:hAnsi="Calibri" w:cs="Calibri"/>
          <w:b/>
          <w:bCs/>
        </w:rPr>
        <w:t xml:space="preserve">pplication of rule 5.1(b) of the NDIS </w:t>
      </w:r>
      <w:r w:rsidR="00451858" w:rsidRPr="004C4C37">
        <w:rPr>
          <w:rFonts w:ascii="Calibri" w:hAnsi="Calibri" w:cs="Calibri"/>
          <w:b/>
          <w:bCs/>
        </w:rPr>
        <w:t>(</w:t>
      </w:r>
      <w:r w:rsidR="00623DBE" w:rsidRPr="004C4C37">
        <w:rPr>
          <w:rFonts w:ascii="Calibri" w:hAnsi="Calibri" w:cs="Calibri"/>
          <w:b/>
          <w:bCs/>
        </w:rPr>
        <w:t>Supports for Participants</w:t>
      </w:r>
      <w:r w:rsidR="00451858" w:rsidRPr="004C4C37">
        <w:rPr>
          <w:rFonts w:ascii="Calibri" w:hAnsi="Calibri" w:cs="Calibri"/>
          <w:b/>
          <w:bCs/>
        </w:rPr>
        <w:t>)</w:t>
      </w:r>
      <w:r w:rsidR="00623DBE" w:rsidRPr="004C4C37">
        <w:rPr>
          <w:rFonts w:ascii="Calibri" w:hAnsi="Calibri" w:cs="Calibri"/>
          <w:b/>
          <w:bCs/>
        </w:rPr>
        <w:t xml:space="preserve"> Rules </w:t>
      </w:r>
      <w:r w:rsidR="00451858" w:rsidRPr="004C4C37">
        <w:rPr>
          <w:rFonts w:ascii="Calibri" w:hAnsi="Calibri" w:cs="Calibri"/>
          <w:b/>
          <w:bCs/>
        </w:rPr>
        <w:t>201</w:t>
      </w:r>
      <w:r w:rsidR="00AC235E" w:rsidRPr="004C4C37">
        <w:rPr>
          <w:rFonts w:ascii="Calibri" w:hAnsi="Calibri" w:cs="Calibri"/>
          <w:b/>
          <w:bCs/>
        </w:rPr>
        <w:t>3</w:t>
      </w:r>
    </w:p>
    <w:p w14:paraId="64FDF032" w14:textId="08D460CB" w:rsidR="00E06AB2" w:rsidRPr="004C4C37" w:rsidRDefault="00AC235E" w:rsidP="0035614E">
      <w:pPr>
        <w:tabs>
          <w:tab w:val="clear" w:pos="288"/>
          <w:tab w:val="left" w:pos="0"/>
        </w:tabs>
        <w:rPr>
          <w:rFonts w:ascii="Calibri" w:hAnsi="Calibri" w:cs="Calibri"/>
        </w:rPr>
      </w:pPr>
      <w:r w:rsidRPr="004C4C37">
        <w:rPr>
          <w:rFonts w:ascii="Calibri" w:hAnsi="Calibri" w:cs="Calibri"/>
        </w:rPr>
        <w:t xml:space="preserve">There are many improvements that can be made to the NDIA’s practices. </w:t>
      </w:r>
      <w:r w:rsidR="005D786B" w:rsidRPr="004C4C37">
        <w:rPr>
          <w:rFonts w:ascii="Calibri" w:hAnsi="Calibri" w:cs="Calibri"/>
        </w:rPr>
        <w:t>However, t</w:t>
      </w:r>
      <w:r w:rsidRPr="004C4C37">
        <w:rPr>
          <w:rFonts w:ascii="Calibri" w:hAnsi="Calibri" w:cs="Calibri"/>
        </w:rPr>
        <w:t xml:space="preserve">his one </w:t>
      </w:r>
      <w:proofErr w:type="gramStart"/>
      <w:r w:rsidRPr="004C4C37">
        <w:rPr>
          <w:rFonts w:ascii="Calibri" w:hAnsi="Calibri" w:cs="Calibri"/>
        </w:rPr>
        <w:t>particular issue</w:t>
      </w:r>
      <w:proofErr w:type="gramEnd"/>
      <w:r w:rsidRPr="004C4C37">
        <w:rPr>
          <w:rFonts w:ascii="Calibri" w:hAnsi="Calibri" w:cs="Calibri"/>
        </w:rPr>
        <w:t xml:space="preserve"> is causing </w:t>
      </w:r>
      <w:r w:rsidR="006965B4" w:rsidRPr="004C4C37">
        <w:rPr>
          <w:rFonts w:ascii="Calibri" w:hAnsi="Calibri" w:cs="Calibri"/>
        </w:rPr>
        <w:t>a significant and far-reaching impact,</w:t>
      </w:r>
      <w:r w:rsidR="004C4C37" w:rsidRPr="004C4C37">
        <w:rPr>
          <w:rFonts w:ascii="Calibri" w:hAnsi="Calibri" w:cs="Calibri"/>
        </w:rPr>
        <w:t xml:space="preserve"> </w:t>
      </w:r>
      <w:r w:rsidR="005D786B" w:rsidRPr="004C4C37">
        <w:rPr>
          <w:rFonts w:ascii="Calibri" w:hAnsi="Calibri" w:cs="Calibri"/>
        </w:rPr>
        <w:t>and despite our many attempts to resolve it</w:t>
      </w:r>
      <w:r w:rsidR="008A5B8B" w:rsidRPr="004C4C37">
        <w:rPr>
          <w:rFonts w:ascii="Calibri" w:hAnsi="Calibri" w:cs="Calibri"/>
        </w:rPr>
        <w:t xml:space="preserve">, it persists. </w:t>
      </w:r>
      <w:r w:rsidR="00CF0701">
        <w:rPr>
          <w:rFonts w:ascii="Calibri" w:hAnsi="Calibri" w:cs="Calibri"/>
        </w:rPr>
        <w:t xml:space="preserve">  </w:t>
      </w:r>
      <w:r w:rsidR="00CC3FF8">
        <w:rPr>
          <w:rFonts w:ascii="Calibri" w:hAnsi="Calibri" w:cs="Calibri"/>
        </w:rPr>
        <w:t xml:space="preserve">We appreciate the Review Panel dedicating their time to consider it. </w:t>
      </w:r>
      <w:r w:rsidR="008A5B8B" w:rsidRPr="004C4C37">
        <w:rPr>
          <w:rFonts w:ascii="Calibri" w:hAnsi="Calibri" w:cs="Calibri"/>
        </w:rPr>
        <w:t xml:space="preserve">To assist the </w:t>
      </w:r>
      <w:r w:rsidRPr="004C4C37">
        <w:rPr>
          <w:rFonts w:ascii="Calibri" w:hAnsi="Calibri" w:cs="Calibri"/>
        </w:rPr>
        <w:t>Review Panel’s</w:t>
      </w:r>
      <w:r w:rsidR="00CC3FF8">
        <w:rPr>
          <w:rFonts w:ascii="Calibri" w:hAnsi="Calibri" w:cs="Calibri"/>
        </w:rPr>
        <w:t xml:space="preserve"> </w:t>
      </w:r>
      <w:r w:rsidR="009945A3">
        <w:rPr>
          <w:rFonts w:ascii="Calibri" w:hAnsi="Calibri" w:cs="Calibri"/>
        </w:rPr>
        <w:t>consideration</w:t>
      </w:r>
      <w:r w:rsidR="008A5B8B" w:rsidRPr="004C4C37">
        <w:rPr>
          <w:rFonts w:ascii="Calibri" w:hAnsi="Calibri" w:cs="Calibri"/>
        </w:rPr>
        <w:t>, we set out</w:t>
      </w:r>
      <w:r w:rsidR="00047E69">
        <w:rPr>
          <w:rFonts w:ascii="Calibri" w:hAnsi="Calibri" w:cs="Calibri"/>
        </w:rPr>
        <w:t xml:space="preserve"> below</w:t>
      </w:r>
      <w:r w:rsidR="00E06AB2" w:rsidRPr="004C4C37">
        <w:rPr>
          <w:rFonts w:ascii="Calibri" w:hAnsi="Calibri" w:cs="Calibri"/>
        </w:rPr>
        <w:t xml:space="preserve">: </w:t>
      </w:r>
    </w:p>
    <w:p w14:paraId="7C4A5569" w14:textId="0FC002B2" w:rsidR="004206FF" w:rsidRDefault="55300731" w:rsidP="0035614E">
      <w:pPr>
        <w:pStyle w:val="ListParagraph"/>
        <w:numPr>
          <w:ilvl w:val="0"/>
          <w:numId w:val="17"/>
        </w:numPr>
        <w:spacing w:after="120" w:line="240" w:lineRule="auto"/>
        <w:ind w:left="0" w:firstLine="0"/>
        <w:contextualSpacing w:val="0"/>
        <w:rPr>
          <w:rFonts w:ascii="Calibri" w:hAnsi="Calibri" w:cs="Calibri"/>
        </w:rPr>
      </w:pPr>
      <w:r w:rsidRPr="70058CE9">
        <w:rPr>
          <w:rFonts w:ascii="Calibri" w:hAnsi="Calibri" w:cs="Calibri"/>
        </w:rPr>
        <w:t xml:space="preserve">The </w:t>
      </w:r>
      <w:r w:rsidR="1CA8B9D7" w:rsidRPr="70058CE9">
        <w:rPr>
          <w:rFonts w:ascii="Calibri" w:hAnsi="Calibri" w:cs="Calibri"/>
        </w:rPr>
        <w:t>i</w:t>
      </w:r>
      <w:r w:rsidRPr="70058CE9">
        <w:rPr>
          <w:rFonts w:ascii="Calibri" w:hAnsi="Calibri" w:cs="Calibri"/>
        </w:rPr>
        <w:t>ssue</w:t>
      </w:r>
    </w:p>
    <w:p w14:paraId="5573FAAF" w14:textId="6423EE19" w:rsidR="00E06AB2" w:rsidRPr="004C4C37" w:rsidRDefault="1C1B8461" w:rsidP="0035614E">
      <w:pPr>
        <w:pStyle w:val="ListParagraph"/>
        <w:numPr>
          <w:ilvl w:val="0"/>
          <w:numId w:val="17"/>
        </w:numPr>
        <w:tabs>
          <w:tab w:val="left" w:pos="0"/>
        </w:tabs>
        <w:spacing w:after="120" w:line="240" w:lineRule="auto"/>
        <w:ind w:left="0" w:firstLine="0"/>
        <w:contextualSpacing w:val="0"/>
        <w:rPr>
          <w:rFonts w:ascii="Calibri" w:hAnsi="Calibri" w:cs="Calibri"/>
        </w:rPr>
      </w:pPr>
      <w:r w:rsidRPr="70058CE9">
        <w:rPr>
          <w:rFonts w:ascii="Calibri" w:hAnsi="Calibri" w:cs="Calibri"/>
        </w:rPr>
        <w:t>The current practice</w:t>
      </w:r>
      <w:r w:rsidR="17E83B7A" w:rsidRPr="70058CE9">
        <w:rPr>
          <w:rFonts w:ascii="Calibri" w:hAnsi="Calibri" w:cs="Calibri"/>
        </w:rPr>
        <w:t xml:space="preserve"> – and its impact</w:t>
      </w:r>
    </w:p>
    <w:p w14:paraId="5B182CFF" w14:textId="4409346F" w:rsidR="00E06AB2" w:rsidRDefault="1C1B8461" w:rsidP="0035614E">
      <w:pPr>
        <w:pStyle w:val="ListParagraph"/>
        <w:numPr>
          <w:ilvl w:val="0"/>
          <w:numId w:val="17"/>
        </w:numPr>
        <w:tabs>
          <w:tab w:val="left" w:pos="0"/>
        </w:tabs>
        <w:spacing w:after="120" w:line="240" w:lineRule="auto"/>
        <w:ind w:left="0" w:firstLine="0"/>
        <w:contextualSpacing w:val="0"/>
        <w:rPr>
          <w:rFonts w:ascii="Calibri" w:hAnsi="Calibri" w:cs="Calibri"/>
        </w:rPr>
      </w:pPr>
      <w:r w:rsidRPr="70058CE9">
        <w:rPr>
          <w:rFonts w:ascii="Calibri" w:hAnsi="Calibri" w:cs="Calibri"/>
        </w:rPr>
        <w:t>The proposed solution</w:t>
      </w:r>
      <w:r w:rsidR="56DE39E9" w:rsidRPr="70058CE9">
        <w:rPr>
          <w:rFonts w:ascii="Calibri" w:hAnsi="Calibri" w:cs="Calibri"/>
        </w:rPr>
        <w:t>/s</w:t>
      </w:r>
      <w:r w:rsidRPr="70058CE9">
        <w:rPr>
          <w:rFonts w:ascii="Calibri" w:hAnsi="Calibri" w:cs="Calibri"/>
        </w:rPr>
        <w:t xml:space="preserve"> </w:t>
      </w:r>
    </w:p>
    <w:p w14:paraId="5E54F93C" w14:textId="2910EAA7" w:rsidR="008A2DFC" w:rsidRDefault="000F751C" w:rsidP="00CF0701">
      <w:pPr>
        <w:pStyle w:val="ListParagraph"/>
        <w:numPr>
          <w:ilvl w:val="0"/>
          <w:numId w:val="17"/>
        </w:numPr>
        <w:tabs>
          <w:tab w:val="left" w:pos="0"/>
        </w:tabs>
        <w:spacing w:after="120" w:line="240" w:lineRule="auto"/>
        <w:ind w:left="0" w:firstLine="0"/>
        <w:contextualSpacing w:val="0"/>
        <w:rPr>
          <w:rFonts w:ascii="Calibri" w:hAnsi="Calibri" w:cs="Calibri"/>
        </w:rPr>
      </w:pPr>
      <w:r w:rsidRPr="70058CE9">
        <w:rPr>
          <w:rFonts w:ascii="Calibri" w:hAnsi="Calibri" w:cs="Calibri"/>
        </w:rPr>
        <w:t>The law – legislati</w:t>
      </w:r>
      <w:r>
        <w:rPr>
          <w:rFonts w:ascii="Calibri" w:hAnsi="Calibri" w:cs="Calibri"/>
        </w:rPr>
        <w:t>on</w:t>
      </w:r>
      <w:r w:rsidRPr="70058CE9">
        <w:rPr>
          <w:rFonts w:ascii="Calibri" w:hAnsi="Calibri" w:cs="Calibri"/>
        </w:rPr>
        <w:t xml:space="preserve"> and case law </w:t>
      </w:r>
      <w:r>
        <w:rPr>
          <w:rFonts w:ascii="Calibri" w:hAnsi="Calibri" w:cs="Calibri"/>
        </w:rPr>
        <w:t>(provided as an annexure)</w:t>
      </w:r>
    </w:p>
    <w:p w14:paraId="0906CB5C" w14:textId="05AA51B1" w:rsidR="00452146" w:rsidRDefault="00452146" w:rsidP="00452146">
      <w:pPr>
        <w:tabs>
          <w:tab w:val="left" w:pos="0"/>
        </w:tabs>
        <w:rPr>
          <w:rFonts w:ascii="Calibri" w:hAnsi="Calibri" w:cs="Calibri"/>
        </w:rPr>
      </w:pPr>
    </w:p>
    <w:p w14:paraId="720CB3BD" w14:textId="18509761" w:rsidR="00452146" w:rsidRPr="00452146" w:rsidRDefault="00452146" w:rsidP="00452146">
      <w:pPr>
        <w:pStyle w:val="Heading1"/>
      </w:pPr>
      <w:r w:rsidRPr="00452146">
        <w:t>Our recommendations</w:t>
      </w:r>
      <w:r>
        <w:t xml:space="preserve"> in summary</w:t>
      </w:r>
    </w:p>
    <w:p w14:paraId="4C12596A" w14:textId="0C1F66C3" w:rsidR="00452146" w:rsidRPr="00452146" w:rsidRDefault="00452146" w:rsidP="00452146">
      <w:pPr>
        <w:pStyle w:val="ListParagraph"/>
        <w:numPr>
          <w:ilvl w:val="0"/>
          <w:numId w:val="17"/>
        </w:numPr>
        <w:tabs>
          <w:tab w:val="left" w:pos="0"/>
        </w:tabs>
        <w:spacing w:after="120" w:line="240" w:lineRule="auto"/>
        <w:ind w:left="0" w:firstLine="0"/>
        <w:contextualSpacing w:val="0"/>
        <w:rPr>
          <w:rFonts w:ascii="Calibri" w:hAnsi="Calibri" w:cs="Calibri"/>
        </w:rPr>
      </w:pPr>
      <w:r w:rsidRPr="00452146">
        <w:rPr>
          <w:rFonts w:ascii="Calibri" w:hAnsi="Calibri" w:cs="Calibri"/>
        </w:rPr>
        <w:t xml:space="preserve">Follow the law.  </w:t>
      </w:r>
    </w:p>
    <w:p w14:paraId="76FD14DE" w14:textId="2608350C" w:rsidR="00452146" w:rsidRPr="00452146" w:rsidRDefault="00452146" w:rsidP="00452146">
      <w:pPr>
        <w:pStyle w:val="ListParagraph"/>
        <w:numPr>
          <w:ilvl w:val="0"/>
          <w:numId w:val="17"/>
        </w:numPr>
        <w:tabs>
          <w:tab w:val="left" w:pos="0"/>
        </w:tabs>
        <w:spacing w:after="120" w:line="240" w:lineRule="auto"/>
        <w:ind w:left="0" w:firstLine="0"/>
        <w:contextualSpacing w:val="0"/>
        <w:rPr>
          <w:rFonts w:ascii="Calibri" w:hAnsi="Calibri" w:cs="Calibri"/>
        </w:rPr>
      </w:pPr>
      <w:r w:rsidRPr="00452146">
        <w:rPr>
          <w:rFonts w:ascii="Calibri" w:hAnsi="Calibri" w:cs="Calibri"/>
        </w:rPr>
        <w:t xml:space="preserve">Train NDIA staff and LACs to follow the law.  </w:t>
      </w:r>
    </w:p>
    <w:p w14:paraId="33C77709" w14:textId="5F25908E" w:rsidR="00452146" w:rsidRPr="00452146" w:rsidRDefault="00452146">
      <w:pPr>
        <w:pStyle w:val="ListParagraph"/>
        <w:numPr>
          <w:ilvl w:val="0"/>
          <w:numId w:val="17"/>
        </w:numPr>
        <w:tabs>
          <w:tab w:val="left" w:pos="0"/>
        </w:tabs>
        <w:spacing w:after="120" w:line="240" w:lineRule="auto"/>
        <w:ind w:left="0" w:firstLine="0"/>
        <w:contextualSpacing w:val="0"/>
        <w:rPr>
          <w:rFonts w:ascii="Calibri" w:hAnsi="Calibri" w:cs="Calibri"/>
        </w:rPr>
      </w:pPr>
      <w:r w:rsidRPr="00452146">
        <w:rPr>
          <w:rFonts w:ascii="Calibri" w:hAnsi="Calibri" w:cs="Calibri"/>
        </w:rPr>
        <w:t xml:space="preserve">Apply best practice in relation to the law as it is interpreted.  </w:t>
      </w:r>
    </w:p>
    <w:p w14:paraId="5CC03C0E" w14:textId="77777777" w:rsidR="000D4518" w:rsidRDefault="000D4518">
      <w:pPr>
        <w:tabs>
          <w:tab w:val="clear" w:pos="288"/>
        </w:tabs>
        <w:spacing w:before="0" w:after="160" w:line="259" w:lineRule="auto"/>
        <w:rPr>
          <w:rFonts w:ascii="Calibri" w:hAnsi="Calibri" w:cs="Calibri"/>
        </w:rPr>
      </w:pPr>
    </w:p>
    <w:p w14:paraId="2653D55A" w14:textId="2C07F05F" w:rsidR="000D4518" w:rsidRPr="000D4518" w:rsidRDefault="000D4518" w:rsidP="000D4518">
      <w:pPr>
        <w:pStyle w:val="Footer"/>
        <w:rPr>
          <w:rFonts w:ascii="Calibri" w:hAnsi="Calibri" w:cs="Calibri"/>
        </w:rPr>
      </w:pPr>
      <w:r>
        <w:rPr>
          <w:rFonts w:ascii="Calibri" w:hAnsi="Calibri" w:cs="Calibri"/>
        </w:rPr>
        <w:t xml:space="preserve">The paper has been prepared by representatives from </w:t>
      </w:r>
      <w:proofErr w:type="spellStart"/>
      <w:r w:rsidRPr="000D4518">
        <w:rPr>
          <w:rFonts w:ascii="Calibri" w:hAnsi="Calibri" w:cs="Calibri"/>
        </w:rPr>
        <w:t>Villamanta</w:t>
      </w:r>
      <w:proofErr w:type="spellEnd"/>
      <w:r w:rsidRPr="000D4518">
        <w:rPr>
          <w:rFonts w:ascii="Calibri" w:hAnsi="Calibri" w:cs="Calibri"/>
        </w:rPr>
        <w:t xml:space="preserve"> Disability Rights Legal Service, Queensland Advocacy for Inclusion (QAI), Darwin Community Legal Service and Rights Information and Advocacy Centre (RIAC)</w:t>
      </w:r>
      <w:r w:rsidR="00F73E7A">
        <w:rPr>
          <w:rFonts w:ascii="Calibri" w:hAnsi="Calibri" w:cs="Calibri"/>
        </w:rPr>
        <w:t xml:space="preserve">. It is current as </w:t>
      </w:r>
      <w:proofErr w:type="gramStart"/>
      <w:r w:rsidR="00F73E7A">
        <w:rPr>
          <w:rFonts w:ascii="Calibri" w:hAnsi="Calibri" w:cs="Calibri"/>
        </w:rPr>
        <w:t>at</w:t>
      </w:r>
      <w:proofErr w:type="gramEnd"/>
      <w:r w:rsidR="00F73E7A">
        <w:rPr>
          <w:rFonts w:ascii="Calibri" w:hAnsi="Calibri" w:cs="Calibri"/>
        </w:rPr>
        <w:t xml:space="preserve"> 2</w:t>
      </w:r>
      <w:r w:rsidRPr="000D4518">
        <w:rPr>
          <w:rFonts w:ascii="Calibri" w:hAnsi="Calibri" w:cs="Calibri"/>
        </w:rPr>
        <w:t xml:space="preserve"> March 2023</w:t>
      </w:r>
      <w:r w:rsidR="00F73E7A">
        <w:rPr>
          <w:rFonts w:ascii="Calibri" w:hAnsi="Calibri" w:cs="Calibri"/>
        </w:rPr>
        <w:t>.</w:t>
      </w:r>
    </w:p>
    <w:p w14:paraId="46313C5E" w14:textId="792C9883" w:rsidR="008A2DFC" w:rsidRDefault="008A2DFC">
      <w:pPr>
        <w:tabs>
          <w:tab w:val="clear" w:pos="288"/>
        </w:tabs>
        <w:spacing w:before="0" w:after="160" w:line="259" w:lineRule="auto"/>
        <w:rPr>
          <w:rFonts w:ascii="Calibri" w:eastAsiaTheme="minorHAnsi" w:hAnsi="Calibri" w:cs="Calibri"/>
          <w:szCs w:val="22"/>
          <w:lang w:val="en-US" w:eastAsia="en-US"/>
        </w:rPr>
      </w:pPr>
      <w:r>
        <w:rPr>
          <w:rFonts w:ascii="Calibri" w:hAnsi="Calibri" w:cs="Calibri"/>
        </w:rPr>
        <w:br w:type="page"/>
      </w:r>
    </w:p>
    <w:p w14:paraId="7A550DF1" w14:textId="51D60E1B" w:rsidR="008A2DFC" w:rsidRDefault="008A2DFC" w:rsidP="008A2DFC">
      <w:pPr>
        <w:pStyle w:val="Heading1"/>
      </w:pPr>
      <w:r>
        <w:lastRenderedPageBreak/>
        <w:t>TERMS USED IN THIS DOCUMENT</w:t>
      </w:r>
    </w:p>
    <w:tbl>
      <w:tblPr>
        <w:tblStyle w:val="TableGrid"/>
        <w:tblW w:w="0" w:type="auto"/>
        <w:tblLook w:val="04A0" w:firstRow="1" w:lastRow="0" w:firstColumn="1" w:lastColumn="0" w:noHBand="0" w:noVBand="1"/>
      </w:tblPr>
      <w:tblGrid>
        <w:gridCol w:w="1696"/>
        <w:gridCol w:w="7320"/>
      </w:tblGrid>
      <w:tr w:rsidR="0026289D" w14:paraId="1F2235A6" w14:textId="77777777" w:rsidTr="0041588C">
        <w:tc>
          <w:tcPr>
            <w:tcW w:w="1696" w:type="dxa"/>
          </w:tcPr>
          <w:p w14:paraId="38922CB8" w14:textId="77777777" w:rsidR="0026289D" w:rsidRPr="008A2DFC" w:rsidRDefault="0026289D" w:rsidP="008A2DFC">
            <w:pPr>
              <w:rPr>
                <w:b/>
                <w:bCs/>
              </w:rPr>
            </w:pPr>
            <w:r w:rsidRPr="008A2DFC">
              <w:rPr>
                <w:b/>
                <w:bCs/>
              </w:rPr>
              <w:t>Term</w:t>
            </w:r>
          </w:p>
        </w:tc>
        <w:tc>
          <w:tcPr>
            <w:tcW w:w="7320" w:type="dxa"/>
          </w:tcPr>
          <w:p w14:paraId="5ACA54C0" w14:textId="77777777" w:rsidR="0026289D" w:rsidRPr="008A2DFC" w:rsidRDefault="0026289D" w:rsidP="008A2DFC">
            <w:pPr>
              <w:rPr>
                <w:b/>
                <w:bCs/>
                <w:iCs/>
              </w:rPr>
            </w:pPr>
            <w:r>
              <w:rPr>
                <w:b/>
                <w:bCs/>
                <w:iCs/>
              </w:rPr>
              <w:t>Meaning</w:t>
            </w:r>
          </w:p>
        </w:tc>
      </w:tr>
      <w:tr w:rsidR="00997E05" w14:paraId="045CB9AD" w14:textId="77777777" w:rsidTr="0041588C">
        <w:tc>
          <w:tcPr>
            <w:tcW w:w="1696" w:type="dxa"/>
          </w:tcPr>
          <w:p w14:paraId="46A86BE0" w14:textId="6047DDDF" w:rsidR="00997E05" w:rsidRDefault="00997E05" w:rsidP="008A2DFC">
            <w:r>
              <w:t>AAT</w:t>
            </w:r>
          </w:p>
        </w:tc>
        <w:tc>
          <w:tcPr>
            <w:tcW w:w="7320" w:type="dxa"/>
          </w:tcPr>
          <w:p w14:paraId="463F4592" w14:textId="2BFC1F1B" w:rsidR="00997E05" w:rsidRPr="00997E05" w:rsidRDefault="00997E05" w:rsidP="008A2DFC">
            <w:r w:rsidRPr="00997E05">
              <w:t>Administrative Appeals Tribunal – the first layer of external appeal of NDIS decisions</w:t>
            </w:r>
          </w:p>
        </w:tc>
      </w:tr>
      <w:tr w:rsidR="0026289D" w14:paraId="21F26691" w14:textId="77777777" w:rsidTr="0041588C">
        <w:tc>
          <w:tcPr>
            <w:tcW w:w="1696" w:type="dxa"/>
          </w:tcPr>
          <w:p w14:paraId="7E70EA5B" w14:textId="77777777" w:rsidR="0026289D" w:rsidRDefault="0026289D" w:rsidP="008A2DFC">
            <w:r>
              <w:t>Act</w:t>
            </w:r>
          </w:p>
        </w:tc>
        <w:tc>
          <w:tcPr>
            <w:tcW w:w="7320" w:type="dxa"/>
          </w:tcPr>
          <w:p w14:paraId="4CDBA915" w14:textId="77777777" w:rsidR="0026289D" w:rsidRPr="008A2DFC" w:rsidRDefault="0026289D" w:rsidP="008A2DFC">
            <w:pPr>
              <w:rPr>
                <w:i/>
                <w:iCs/>
              </w:rPr>
            </w:pPr>
            <w:r w:rsidRPr="008A2DFC">
              <w:rPr>
                <w:i/>
                <w:iCs/>
              </w:rPr>
              <w:t>National Disability Insurance Scheme Act 2013</w:t>
            </w:r>
          </w:p>
        </w:tc>
      </w:tr>
      <w:tr w:rsidR="0026289D" w14:paraId="29A7B7B3" w14:textId="77777777" w:rsidTr="0041588C">
        <w:tc>
          <w:tcPr>
            <w:tcW w:w="1696" w:type="dxa"/>
          </w:tcPr>
          <w:p w14:paraId="6B559DA4" w14:textId="77777777" w:rsidR="0026289D" w:rsidRDefault="0026289D" w:rsidP="008A2DFC">
            <w:r>
              <w:t>Agency</w:t>
            </w:r>
          </w:p>
        </w:tc>
        <w:tc>
          <w:tcPr>
            <w:tcW w:w="7320" w:type="dxa"/>
          </w:tcPr>
          <w:p w14:paraId="4E8D9C08" w14:textId="77777777" w:rsidR="0026289D" w:rsidRDefault="0026289D" w:rsidP="008A2DFC">
            <w:r>
              <w:t>National Disability Insurance Agency</w:t>
            </w:r>
          </w:p>
        </w:tc>
      </w:tr>
      <w:tr w:rsidR="0026289D" w14:paraId="3A09AC7E" w14:textId="77777777" w:rsidTr="0041588C">
        <w:tc>
          <w:tcPr>
            <w:tcW w:w="1696" w:type="dxa"/>
          </w:tcPr>
          <w:p w14:paraId="223F0ADF" w14:textId="77777777" w:rsidR="0026289D" w:rsidRDefault="0026289D" w:rsidP="008A2DFC">
            <w:r>
              <w:t>Condition</w:t>
            </w:r>
          </w:p>
        </w:tc>
        <w:tc>
          <w:tcPr>
            <w:tcW w:w="7320" w:type="dxa"/>
          </w:tcPr>
          <w:p w14:paraId="6790D35E" w14:textId="6CCE88A0" w:rsidR="0026289D" w:rsidRDefault="00047E69" w:rsidP="008A2DFC">
            <w:r>
              <w:t>A diagnosed condition which causes impairment/s to function of the individual</w:t>
            </w:r>
          </w:p>
        </w:tc>
      </w:tr>
      <w:tr w:rsidR="0026289D" w14:paraId="7767C0BC" w14:textId="77777777" w:rsidTr="0041588C">
        <w:tc>
          <w:tcPr>
            <w:tcW w:w="1696" w:type="dxa"/>
          </w:tcPr>
          <w:p w14:paraId="202B3478" w14:textId="77777777" w:rsidR="0026289D" w:rsidRDefault="0026289D" w:rsidP="008A2DFC">
            <w:r>
              <w:t>Disability</w:t>
            </w:r>
          </w:p>
        </w:tc>
        <w:tc>
          <w:tcPr>
            <w:tcW w:w="7320" w:type="dxa"/>
          </w:tcPr>
          <w:p w14:paraId="34889924" w14:textId="47F41EA0" w:rsidR="0026289D" w:rsidRDefault="00047E69" w:rsidP="008A2DFC">
            <w:r>
              <w:t>According to the Federal Court decision in Mulligan “</w:t>
            </w:r>
            <w:r w:rsidRPr="00047E69">
              <w:t>a descriptive concept for the overall effect of a person’s impairments on that person’s abilities to participate in all aspects of personal and community life.</w:t>
            </w:r>
            <w:r>
              <w:t>”</w:t>
            </w:r>
            <w:r>
              <w:rPr>
                <w:rStyle w:val="FootnoteReference"/>
              </w:rPr>
              <w:footnoteReference w:id="2"/>
            </w:r>
          </w:p>
        </w:tc>
      </w:tr>
      <w:tr w:rsidR="0026289D" w14:paraId="2B2A8306" w14:textId="77777777" w:rsidTr="0041588C">
        <w:tc>
          <w:tcPr>
            <w:tcW w:w="1696" w:type="dxa"/>
          </w:tcPr>
          <w:p w14:paraId="6259D126" w14:textId="77777777" w:rsidR="0026289D" w:rsidRDefault="0026289D" w:rsidP="008A2DFC">
            <w:r>
              <w:t>Impairment</w:t>
            </w:r>
          </w:p>
        </w:tc>
        <w:tc>
          <w:tcPr>
            <w:tcW w:w="7320" w:type="dxa"/>
          </w:tcPr>
          <w:p w14:paraId="2AB98B87" w14:textId="660A7D5C" w:rsidR="0026289D" w:rsidRDefault="00047E69" w:rsidP="008A2DFC">
            <w:r>
              <w:t>Not defined in the Act, but the term used to describe the reduction in functioning which is considered in relation to access to the NDIS</w:t>
            </w:r>
          </w:p>
        </w:tc>
      </w:tr>
      <w:tr w:rsidR="00452146" w14:paraId="1D79E05A" w14:textId="77777777" w:rsidTr="0041588C">
        <w:tc>
          <w:tcPr>
            <w:tcW w:w="1696" w:type="dxa"/>
          </w:tcPr>
          <w:p w14:paraId="6B443E55" w14:textId="4B1AF20A" w:rsidR="00452146" w:rsidRDefault="00452146" w:rsidP="008A2DFC">
            <w:r>
              <w:t>LAC</w:t>
            </w:r>
          </w:p>
        </w:tc>
        <w:tc>
          <w:tcPr>
            <w:tcW w:w="7320" w:type="dxa"/>
          </w:tcPr>
          <w:p w14:paraId="34182616" w14:textId="11E8F768" w:rsidR="00452146" w:rsidRDefault="00452146" w:rsidP="008A2DFC">
            <w:r>
              <w:t>Local Area Co-ordinator</w:t>
            </w:r>
          </w:p>
        </w:tc>
      </w:tr>
      <w:tr w:rsidR="00047E69" w14:paraId="53AA22C3" w14:textId="77777777" w:rsidTr="0041588C">
        <w:tc>
          <w:tcPr>
            <w:tcW w:w="1696" w:type="dxa"/>
          </w:tcPr>
          <w:p w14:paraId="26BD4474" w14:textId="42B1F2E8" w:rsidR="00047E69" w:rsidRDefault="00047E69" w:rsidP="008A2DFC">
            <w:r>
              <w:t>Mulligan</w:t>
            </w:r>
          </w:p>
        </w:tc>
        <w:tc>
          <w:tcPr>
            <w:tcW w:w="7320" w:type="dxa"/>
          </w:tcPr>
          <w:p w14:paraId="45F7EF75" w14:textId="5CFF550B" w:rsidR="00047E69" w:rsidRPr="00047E69" w:rsidRDefault="00EF79C5" w:rsidP="008A2DFC">
            <w:pPr>
              <w:rPr>
                <w:i/>
                <w:iCs/>
              </w:rPr>
            </w:pPr>
            <w:r>
              <w:t xml:space="preserve">The Federal Court decision at </w:t>
            </w:r>
            <w:r w:rsidR="00047E69" w:rsidRPr="00047E69">
              <w:rPr>
                <w:i/>
                <w:iCs/>
              </w:rPr>
              <w:t>Mulligan v National Disability Insurance Agency [2015] FCA 544</w:t>
            </w:r>
          </w:p>
        </w:tc>
      </w:tr>
      <w:tr w:rsidR="0026289D" w14:paraId="06BE3165" w14:textId="77777777" w:rsidTr="0041588C">
        <w:tc>
          <w:tcPr>
            <w:tcW w:w="1696" w:type="dxa"/>
          </w:tcPr>
          <w:p w14:paraId="18F153E0" w14:textId="77777777" w:rsidR="0026289D" w:rsidRDefault="0026289D" w:rsidP="008A2DFC">
            <w:r>
              <w:t>NDIS</w:t>
            </w:r>
          </w:p>
        </w:tc>
        <w:tc>
          <w:tcPr>
            <w:tcW w:w="7320" w:type="dxa"/>
          </w:tcPr>
          <w:p w14:paraId="7D2B71EB" w14:textId="77777777" w:rsidR="0026289D" w:rsidRDefault="0026289D" w:rsidP="008A2DFC">
            <w:r>
              <w:t>National Disability Insurance Scheme</w:t>
            </w:r>
          </w:p>
        </w:tc>
      </w:tr>
      <w:tr w:rsidR="0026289D" w14:paraId="2896A075" w14:textId="77777777" w:rsidTr="0041588C">
        <w:tc>
          <w:tcPr>
            <w:tcW w:w="1696" w:type="dxa"/>
          </w:tcPr>
          <w:p w14:paraId="4979AE42" w14:textId="77777777" w:rsidR="0026289D" w:rsidRDefault="0026289D" w:rsidP="008A2DFC">
            <w:r>
              <w:t>Participant</w:t>
            </w:r>
          </w:p>
        </w:tc>
        <w:tc>
          <w:tcPr>
            <w:tcW w:w="7320" w:type="dxa"/>
          </w:tcPr>
          <w:p w14:paraId="5C1EE727" w14:textId="48CA9BAB" w:rsidR="0026289D" w:rsidRDefault="0026289D" w:rsidP="008A2DFC">
            <w:r>
              <w:t xml:space="preserve">A participant of the NDIS </w:t>
            </w:r>
            <w:r w:rsidR="0041588C">
              <w:t>from the day referred to in s 28 of the Act</w:t>
            </w:r>
          </w:p>
        </w:tc>
      </w:tr>
      <w:tr w:rsidR="0026289D" w14:paraId="642445F7" w14:textId="77777777" w:rsidTr="0041588C">
        <w:tc>
          <w:tcPr>
            <w:tcW w:w="1696" w:type="dxa"/>
          </w:tcPr>
          <w:p w14:paraId="35966173" w14:textId="77777777" w:rsidR="0026289D" w:rsidRDefault="0026289D" w:rsidP="008A2DFC">
            <w:r>
              <w:t>Plan</w:t>
            </w:r>
          </w:p>
        </w:tc>
        <w:tc>
          <w:tcPr>
            <w:tcW w:w="7320" w:type="dxa"/>
          </w:tcPr>
          <w:p w14:paraId="6525546A" w14:textId="732F6048" w:rsidR="0026289D" w:rsidRDefault="00047E69" w:rsidP="008A2DFC">
            <w:r>
              <w:t xml:space="preserve">A plan which includes the </w:t>
            </w:r>
            <w:r w:rsidR="0026289D">
              <w:t xml:space="preserve">Statement </w:t>
            </w:r>
            <w:r>
              <w:t xml:space="preserve">of Participant </w:t>
            </w:r>
            <w:r w:rsidR="0026289D">
              <w:t xml:space="preserve">Supports under s </w:t>
            </w:r>
            <w:r>
              <w:t>33 of the Act</w:t>
            </w:r>
          </w:p>
        </w:tc>
      </w:tr>
      <w:tr w:rsidR="0022093C" w14:paraId="19CC2E4E" w14:textId="77777777" w:rsidTr="0041588C">
        <w:tc>
          <w:tcPr>
            <w:tcW w:w="1696" w:type="dxa"/>
          </w:tcPr>
          <w:p w14:paraId="745E2122" w14:textId="7052164A" w:rsidR="0022093C" w:rsidRDefault="0022093C" w:rsidP="008A2DFC">
            <w:r w:rsidRPr="0022093C">
              <w:t>Support Rules</w:t>
            </w:r>
          </w:p>
        </w:tc>
        <w:tc>
          <w:tcPr>
            <w:tcW w:w="7320" w:type="dxa"/>
          </w:tcPr>
          <w:p w14:paraId="5A2A09F0" w14:textId="5827182B" w:rsidR="0022093C" w:rsidRDefault="0022093C" w:rsidP="008A2DFC">
            <w:r w:rsidRPr="0022093C">
              <w:t>National Disability Insurance Scheme (Supports for Participants) Rules 2013</w:t>
            </w:r>
          </w:p>
        </w:tc>
      </w:tr>
      <w:tr w:rsidR="0026289D" w14:paraId="49DE848C" w14:textId="77777777" w:rsidTr="0041588C">
        <w:tc>
          <w:tcPr>
            <w:tcW w:w="1696" w:type="dxa"/>
          </w:tcPr>
          <w:p w14:paraId="5E9CFE4E" w14:textId="77777777" w:rsidR="0026289D" w:rsidRDefault="0026289D" w:rsidP="008A2DFC">
            <w:r>
              <w:t>TSP</w:t>
            </w:r>
          </w:p>
        </w:tc>
        <w:tc>
          <w:tcPr>
            <w:tcW w:w="7320" w:type="dxa"/>
          </w:tcPr>
          <w:p w14:paraId="47D4CD8D" w14:textId="77777777" w:rsidR="0026289D" w:rsidRDefault="0026289D" w:rsidP="008A2DFC">
            <w:r>
              <w:t>Typical Support Package</w:t>
            </w:r>
          </w:p>
        </w:tc>
      </w:tr>
    </w:tbl>
    <w:p w14:paraId="3A1B7DD4" w14:textId="77777777" w:rsidR="00047E69" w:rsidRDefault="00047E69" w:rsidP="007A565E">
      <w:pPr>
        <w:pStyle w:val="Heading1"/>
      </w:pPr>
    </w:p>
    <w:p w14:paraId="45FA8226" w14:textId="77777777" w:rsidR="00047E69" w:rsidRDefault="00047E69">
      <w:pPr>
        <w:tabs>
          <w:tab w:val="clear" w:pos="288"/>
        </w:tabs>
        <w:spacing w:before="0" w:after="160" w:line="259" w:lineRule="auto"/>
        <w:rPr>
          <w:rFonts w:asciiTheme="majorHAnsi" w:eastAsiaTheme="majorEastAsia" w:hAnsiTheme="majorHAnsi" w:cstheme="majorBidi"/>
          <w:b/>
          <w:caps/>
          <w:sz w:val="24"/>
          <w:szCs w:val="32"/>
        </w:rPr>
      </w:pPr>
      <w:r>
        <w:br w:type="page"/>
      </w:r>
    </w:p>
    <w:p w14:paraId="73E5E81F" w14:textId="4226ED9D" w:rsidR="004206FF" w:rsidRDefault="07802380" w:rsidP="007A565E">
      <w:pPr>
        <w:pStyle w:val="Heading1"/>
      </w:pPr>
      <w:r w:rsidRPr="0E3DB302">
        <w:lastRenderedPageBreak/>
        <w:t>THE ISSUE</w:t>
      </w:r>
    </w:p>
    <w:p w14:paraId="0D5E1ED0" w14:textId="77777777" w:rsidR="00EF79C5" w:rsidRPr="00EF79C5" w:rsidRDefault="00EF79C5" w:rsidP="00EF79C5">
      <w:pPr>
        <w:ind w:left="720" w:right="804"/>
        <w:jc w:val="both"/>
        <w:rPr>
          <w:rFonts w:cstheme="minorBidi"/>
          <w:i/>
          <w:iCs/>
          <w:color w:val="000000"/>
          <w:shd w:val="clear" w:color="auto" w:fill="FFFFFF"/>
        </w:rPr>
      </w:pPr>
      <w:r w:rsidRPr="00EF79C5">
        <w:rPr>
          <w:rFonts w:cstheme="minorBidi"/>
          <w:i/>
          <w:iCs/>
          <w:color w:val="000000"/>
          <w:shd w:val="clear" w:color="auto" w:fill="FFFFFF"/>
        </w:rPr>
        <w:t xml:space="preserve">It is clear from the legislative scheme that the decision whether a person is or is not a participant is the threshold decision under the scheme, and the decision which enables access to </w:t>
      </w:r>
      <w:proofErr w:type="gramStart"/>
      <w:r w:rsidRPr="00EF79C5">
        <w:rPr>
          <w:rFonts w:cstheme="minorBidi"/>
          <w:i/>
          <w:iCs/>
          <w:color w:val="000000"/>
          <w:shd w:val="clear" w:color="auto" w:fill="FFFFFF"/>
        </w:rPr>
        <w:t>the majority of</w:t>
      </w:r>
      <w:proofErr w:type="gramEnd"/>
      <w:r w:rsidRPr="00EF79C5">
        <w:rPr>
          <w:rFonts w:cstheme="minorBidi"/>
          <w:i/>
          <w:iCs/>
          <w:color w:val="000000"/>
          <w:shd w:val="clear" w:color="auto" w:fill="FFFFFF"/>
        </w:rPr>
        <w:t xml:space="preserve"> benefits and funding available under the NDIS. However, what benefits and supports are provided, and how they are funded is subject to a separate decision-making process.</w:t>
      </w:r>
      <w:r w:rsidRPr="00EF79C5">
        <w:rPr>
          <w:rFonts w:cstheme="minorBidi"/>
          <w:i/>
          <w:iCs/>
          <w:color w:val="000000"/>
          <w:shd w:val="clear" w:color="auto" w:fill="FFFFFF"/>
          <w:vertAlign w:val="superscript"/>
        </w:rPr>
        <w:footnoteReference w:id="3"/>
      </w:r>
    </w:p>
    <w:p w14:paraId="26A31039" w14:textId="1E4E7511" w:rsidR="00EF79C5" w:rsidRPr="00EF79C5" w:rsidRDefault="00EF79C5" w:rsidP="00EF79C5">
      <w:r>
        <w:t xml:space="preserve">Despite the very clear interpretation of the Federal Court that access and planning are separate and distinct </w:t>
      </w:r>
      <w:proofErr w:type="gramStart"/>
      <w:r>
        <w:t>decision making</w:t>
      </w:r>
      <w:proofErr w:type="gramEnd"/>
      <w:r>
        <w:t xml:space="preserve"> processes, the Agency currently superimposes an extra layer over the access decision, and then carries that through to the planning decision.</w:t>
      </w:r>
    </w:p>
    <w:p w14:paraId="68262F48" w14:textId="02E64050" w:rsidR="004206FF" w:rsidRDefault="059B4C3E" w:rsidP="0035614E">
      <w:pPr>
        <w:rPr>
          <w:rFonts w:ascii="Calibri" w:hAnsi="Calibri" w:cs="Calibri"/>
        </w:rPr>
      </w:pPr>
      <w:r w:rsidRPr="0E3DB302">
        <w:rPr>
          <w:rFonts w:ascii="Calibri" w:hAnsi="Calibri" w:cs="Calibri"/>
        </w:rPr>
        <w:t xml:space="preserve">The current practice of the </w:t>
      </w:r>
      <w:r w:rsidRPr="00A6304E">
        <w:rPr>
          <w:rFonts w:ascii="Calibri" w:hAnsi="Calibri" w:cs="Calibri"/>
        </w:rPr>
        <w:t>Agency</w:t>
      </w:r>
      <w:r w:rsidRPr="0E3DB302">
        <w:rPr>
          <w:rFonts w:ascii="Calibri" w:hAnsi="Calibri" w:cs="Calibri"/>
        </w:rPr>
        <w:t xml:space="preserve"> in relation to funding in a participant’s plan is to rely on </w:t>
      </w:r>
      <w:r w:rsidR="45B64007" w:rsidRPr="0E3DB302">
        <w:rPr>
          <w:rFonts w:ascii="Calibri" w:hAnsi="Calibri" w:cs="Calibri"/>
        </w:rPr>
        <w:t xml:space="preserve">the ‘impairment’ which the Agency assessed as meeting the access criteria for the Scheme. </w:t>
      </w:r>
      <w:r w:rsidR="3E1626B7" w:rsidRPr="0E3DB302">
        <w:rPr>
          <w:rFonts w:ascii="Calibri" w:hAnsi="Calibri" w:cs="Calibri"/>
        </w:rPr>
        <w:t xml:space="preserve">In practice, </w:t>
      </w:r>
      <w:r w:rsidR="2D1348D6" w:rsidRPr="0E3DB302">
        <w:rPr>
          <w:rFonts w:ascii="Calibri" w:hAnsi="Calibri" w:cs="Calibri"/>
        </w:rPr>
        <w:t xml:space="preserve">and in our experience, </w:t>
      </w:r>
      <w:r w:rsidR="3E1626B7" w:rsidRPr="0E3DB302">
        <w:rPr>
          <w:rFonts w:ascii="Calibri" w:hAnsi="Calibri" w:cs="Calibri"/>
        </w:rPr>
        <w:t>th</w:t>
      </w:r>
      <w:r w:rsidR="4A13BFE2" w:rsidRPr="0E3DB302">
        <w:rPr>
          <w:rFonts w:ascii="Calibri" w:hAnsi="Calibri" w:cs="Calibri"/>
        </w:rPr>
        <w:t xml:space="preserve">is approach </w:t>
      </w:r>
      <w:r w:rsidR="3E1626B7" w:rsidRPr="0E3DB302">
        <w:rPr>
          <w:rFonts w:ascii="Calibri" w:hAnsi="Calibri" w:cs="Calibri"/>
        </w:rPr>
        <w:t>has a significant impact on what the Agency says it can or cannot fund.</w:t>
      </w:r>
    </w:p>
    <w:p w14:paraId="14163784" w14:textId="3789B259" w:rsidR="002B5B8C" w:rsidRDefault="3E1626B7" w:rsidP="0035614E">
      <w:pPr>
        <w:rPr>
          <w:rFonts w:ascii="Calibri" w:hAnsi="Calibri" w:cs="Calibri"/>
        </w:rPr>
      </w:pPr>
      <w:r w:rsidRPr="0E3DB302">
        <w:rPr>
          <w:rFonts w:ascii="Calibri" w:hAnsi="Calibri" w:cs="Calibri"/>
        </w:rPr>
        <w:t xml:space="preserve">There are significant issues with this approach and in our view is incorrect </w:t>
      </w:r>
      <w:r w:rsidR="2508B2A0" w:rsidRPr="0E3DB302">
        <w:rPr>
          <w:rFonts w:ascii="Calibri" w:hAnsi="Calibri" w:cs="Calibri"/>
        </w:rPr>
        <w:t>at law</w:t>
      </w:r>
      <w:r w:rsidR="009907AF" w:rsidRPr="0E3DB302">
        <w:rPr>
          <w:rFonts w:ascii="Calibri" w:hAnsi="Calibri" w:cs="Calibri"/>
        </w:rPr>
        <w:t>, including</w:t>
      </w:r>
      <w:r w:rsidR="00CF0701">
        <w:rPr>
          <w:rFonts w:ascii="Calibri" w:hAnsi="Calibri" w:cs="Calibri"/>
        </w:rPr>
        <w:t>:</w:t>
      </w:r>
    </w:p>
    <w:p w14:paraId="158C92FB" w14:textId="33C60EA6" w:rsidR="00C53EF2" w:rsidRDefault="009907AF" w:rsidP="00CF0701">
      <w:pPr>
        <w:pStyle w:val="ListParagraph"/>
        <w:numPr>
          <w:ilvl w:val="0"/>
          <w:numId w:val="26"/>
        </w:numPr>
        <w:spacing w:after="120" w:line="240" w:lineRule="auto"/>
        <w:ind w:left="357" w:hanging="357"/>
        <w:contextualSpacing w:val="0"/>
        <w:rPr>
          <w:rFonts w:ascii="Calibri" w:hAnsi="Calibri" w:cs="Calibri"/>
        </w:rPr>
      </w:pPr>
      <w:r w:rsidRPr="0E3DB302">
        <w:rPr>
          <w:rFonts w:ascii="Calibri" w:hAnsi="Calibri" w:cs="Calibri"/>
        </w:rPr>
        <w:t xml:space="preserve">The access decision is a threshold one.  Once access has been met for any condition, the Agency </w:t>
      </w:r>
      <w:r w:rsidR="007F232E">
        <w:rPr>
          <w:rFonts w:ascii="Calibri" w:hAnsi="Calibri" w:cs="Calibri"/>
        </w:rPr>
        <w:t xml:space="preserve">often </w:t>
      </w:r>
      <w:r w:rsidRPr="0E3DB302">
        <w:rPr>
          <w:rFonts w:ascii="Calibri" w:hAnsi="Calibri" w:cs="Calibri"/>
        </w:rPr>
        <w:t xml:space="preserve">does not consider other conditions </w:t>
      </w:r>
      <w:r w:rsidR="2BDE11AE" w:rsidRPr="0E3DB302">
        <w:rPr>
          <w:rFonts w:ascii="Calibri" w:hAnsi="Calibri" w:cs="Calibri"/>
        </w:rPr>
        <w:t>despite the evidence provided.</w:t>
      </w:r>
    </w:p>
    <w:p w14:paraId="32851411" w14:textId="65A5BBD7" w:rsidR="001B29B7" w:rsidRDefault="43EAB079" w:rsidP="00CF0701">
      <w:pPr>
        <w:pStyle w:val="ListParagraph"/>
        <w:numPr>
          <w:ilvl w:val="0"/>
          <w:numId w:val="26"/>
        </w:numPr>
        <w:spacing w:after="120" w:line="240" w:lineRule="auto"/>
        <w:ind w:left="357" w:hanging="357"/>
        <w:contextualSpacing w:val="0"/>
        <w:rPr>
          <w:rFonts w:ascii="Calibri" w:hAnsi="Calibri" w:cs="Calibri"/>
        </w:rPr>
      </w:pPr>
      <w:r w:rsidRPr="0E3DB302">
        <w:rPr>
          <w:rFonts w:ascii="Calibri" w:hAnsi="Calibri" w:cs="Calibri"/>
        </w:rPr>
        <w:t xml:space="preserve">There is no </w:t>
      </w:r>
      <w:r w:rsidR="00CF0701">
        <w:rPr>
          <w:rFonts w:ascii="Calibri" w:hAnsi="Calibri" w:cs="Calibri"/>
        </w:rPr>
        <w:t xml:space="preserve">transparency about </w:t>
      </w:r>
      <w:r w:rsidRPr="0E3DB302">
        <w:rPr>
          <w:rFonts w:ascii="Calibri" w:hAnsi="Calibri" w:cs="Calibri"/>
        </w:rPr>
        <w:t xml:space="preserve">the Agency </w:t>
      </w:r>
      <w:r w:rsidR="00CF0701">
        <w:rPr>
          <w:rFonts w:ascii="Calibri" w:hAnsi="Calibri" w:cs="Calibri"/>
        </w:rPr>
        <w:t>decision to limit access to a specific condition</w:t>
      </w:r>
      <w:r w:rsidR="231BA91D" w:rsidRPr="0E3DB302">
        <w:rPr>
          <w:rFonts w:ascii="Calibri" w:hAnsi="Calibri" w:cs="Calibri"/>
        </w:rPr>
        <w:t xml:space="preserve"> (in fact until recently, participants were not told what impairment was ‘accepted’)</w:t>
      </w:r>
      <w:r w:rsidR="11438246" w:rsidRPr="0E3DB302">
        <w:rPr>
          <w:rFonts w:ascii="Calibri" w:hAnsi="Calibri" w:cs="Calibri"/>
        </w:rPr>
        <w:t>.</w:t>
      </w:r>
    </w:p>
    <w:p w14:paraId="4D5466FB" w14:textId="16F9F2CA" w:rsidR="001B29B7" w:rsidRDefault="43EAB079" w:rsidP="00CF0701">
      <w:pPr>
        <w:pStyle w:val="ListParagraph"/>
        <w:numPr>
          <w:ilvl w:val="0"/>
          <w:numId w:val="26"/>
        </w:numPr>
        <w:spacing w:after="120" w:line="240" w:lineRule="auto"/>
        <w:ind w:left="357" w:hanging="357"/>
        <w:contextualSpacing w:val="0"/>
        <w:rPr>
          <w:rFonts w:ascii="Calibri" w:hAnsi="Calibri" w:cs="Calibri"/>
        </w:rPr>
      </w:pPr>
      <w:r w:rsidRPr="0E3DB302">
        <w:rPr>
          <w:rFonts w:ascii="Calibri" w:hAnsi="Calibri" w:cs="Calibri"/>
        </w:rPr>
        <w:t>There is no mechanism in the legislation to formally add impairments</w:t>
      </w:r>
      <w:r w:rsidR="5CCA4B35" w:rsidRPr="0E3DB302">
        <w:rPr>
          <w:rFonts w:ascii="Calibri" w:hAnsi="Calibri" w:cs="Calibri"/>
        </w:rPr>
        <w:t xml:space="preserve"> (or for the Agency to remove impairments) and no appeal rights</w:t>
      </w:r>
      <w:r w:rsidR="231BA91D" w:rsidRPr="0E3DB302">
        <w:rPr>
          <w:rFonts w:ascii="Calibri" w:hAnsi="Calibri" w:cs="Calibri"/>
        </w:rPr>
        <w:t xml:space="preserve"> in either case</w:t>
      </w:r>
      <w:r w:rsidR="2434B3C0" w:rsidRPr="0E3DB302">
        <w:rPr>
          <w:rFonts w:ascii="Calibri" w:hAnsi="Calibri" w:cs="Calibri"/>
        </w:rPr>
        <w:t>.</w:t>
      </w:r>
    </w:p>
    <w:p w14:paraId="68091BA5" w14:textId="4C171987" w:rsidR="001B29B7" w:rsidRDefault="00CF0701" w:rsidP="00525F11">
      <w:r>
        <w:t xml:space="preserve">Many </w:t>
      </w:r>
      <w:r w:rsidR="582E740C" w:rsidRPr="0E3DB302">
        <w:t xml:space="preserve">participants have multiple impairments the impact of which cannot be </w:t>
      </w:r>
      <w:r>
        <w:t>separated</w:t>
      </w:r>
      <w:r w:rsidR="31C8F000" w:rsidRPr="0E3DB302">
        <w:t xml:space="preserve">, </w:t>
      </w:r>
      <w:r w:rsidR="6B48412D" w:rsidRPr="0E3DB302">
        <w:t>and this approach results</w:t>
      </w:r>
      <w:r w:rsidR="00E76FFC">
        <w:t xml:space="preserve"> in</w:t>
      </w:r>
      <w:r w:rsidR="6B48412D" w:rsidRPr="0E3DB302">
        <w:t xml:space="preserve"> </w:t>
      </w:r>
      <w:r>
        <w:t>funding only being provided for certain elements of the person’s support needs</w:t>
      </w:r>
      <w:r w:rsidR="31C8F000" w:rsidRPr="0E3DB302">
        <w:t>.</w:t>
      </w:r>
    </w:p>
    <w:p w14:paraId="27D97348" w14:textId="434C0380" w:rsidR="009B1625" w:rsidRDefault="31C8F000" w:rsidP="0035614E">
      <w:pPr>
        <w:rPr>
          <w:rFonts w:ascii="Calibri" w:hAnsi="Calibri" w:cs="Calibri"/>
        </w:rPr>
      </w:pPr>
      <w:r w:rsidRPr="0E3DB302">
        <w:rPr>
          <w:rFonts w:ascii="Calibri" w:hAnsi="Calibri" w:cs="Calibri"/>
        </w:rPr>
        <w:t xml:space="preserve">The approach taken by the Agency is failing </w:t>
      </w:r>
      <w:r w:rsidR="5CCA4B35" w:rsidRPr="0E3DB302">
        <w:rPr>
          <w:rFonts w:ascii="Calibri" w:hAnsi="Calibri" w:cs="Calibri"/>
        </w:rPr>
        <w:t>participants</w:t>
      </w:r>
      <w:r w:rsidR="00525F11">
        <w:rPr>
          <w:rFonts w:ascii="Calibri" w:hAnsi="Calibri" w:cs="Calibri"/>
        </w:rPr>
        <w:t xml:space="preserve">.  The narrow interpretation </w:t>
      </w:r>
      <w:r w:rsidR="5CCA4B35" w:rsidRPr="0E3DB302">
        <w:rPr>
          <w:rFonts w:ascii="Calibri" w:hAnsi="Calibri" w:cs="Calibri"/>
        </w:rPr>
        <w:t>fails to account for the supports a person needs</w:t>
      </w:r>
      <w:r w:rsidR="52BB25C6" w:rsidRPr="0E3DB302">
        <w:rPr>
          <w:rFonts w:ascii="Calibri" w:hAnsi="Calibri" w:cs="Calibri"/>
        </w:rPr>
        <w:t xml:space="preserve"> </w:t>
      </w:r>
      <w:r w:rsidR="00CF0701">
        <w:rPr>
          <w:rFonts w:ascii="Calibri" w:hAnsi="Calibri" w:cs="Calibri"/>
        </w:rPr>
        <w:t xml:space="preserve">in relation to their </w:t>
      </w:r>
      <w:r w:rsidR="00525F11">
        <w:rPr>
          <w:rFonts w:ascii="Calibri" w:hAnsi="Calibri" w:cs="Calibri"/>
        </w:rPr>
        <w:t xml:space="preserve">whole </w:t>
      </w:r>
      <w:r w:rsidR="00CF0701">
        <w:rPr>
          <w:rFonts w:ascii="Calibri" w:hAnsi="Calibri" w:cs="Calibri"/>
        </w:rPr>
        <w:t xml:space="preserve">disability </w:t>
      </w:r>
      <w:r w:rsidR="00525F11">
        <w:rPr>
          <w:rFonts w:ascii="Calibri" w:hAnsi="Calibri" w:cs="Calibri"/>
        </w:rPr>
        <w:t xml:space="preserve">and </w:t>
      </w:r>
      <w:r w:rsidR="52BB25C6" w:rsidRPr="0E3DB302">
        <w:rPr>
          <w:rFonts w:ascii="Calibri" w:hAnsi="Calibri" w:cs="Calibri"/>
        </w:rPr>
        <w:t>across their lifetime</w:t>
      </w:r>
      <w:r w:rsidRPr="0E3DB302">
        <w:rPr>
          <w:rFonts w:ascii="Calibri" w:hAnsi="Calibri" w:cs="Calibri"/>
        </w:rPr>
        <w:t xml:space="preserve">. </w:t>
      </w:r>
      <w:r w:rsidR="00525F11">
        <w:rPr>
          <w:rFonts w:ascii="Calibri" w:hAnsi="Calibri" w:cs="Calibri"/>
        </w:rPr>
        <w:t>In our view it is also incorrect at law.</w:t>
      </w:r>
    </w:p>
    <w:p w14:paraId="562F129A" w14:textId="66E97443" w:rsidR="0041588C" w:rsidRDefault="0041588C" w:rsidP="0035614E">
      <w:pPr>
        <w:rPr>
          <w:rFonts w:ascii="Calibri" w:hAnsi="Calibri" w:cs="Calibri"/>
        </w:rPr>
      </w:pPr>
    </w:p>
    <w:p w14:paraId="49F9E0FF" w14:textId="12396E75" w:rsidR="0041588C" w:rsidRDefault="0041588C" w:rsidP="0035614E">
      <w:pPr>
        <w:rPr>
          <w:rFonts w:ascii="Calibri" w:hAnsi="Calibri" w:cs="Calibri"/>
        </w:rPr>
      </w:pPr>
    </w:p>
    <w:p w14:paraId="78A43883" w14:textId="77777777" w:rsidR="0041588C" w:rsidRDefault="0041588C">
      <w:pPr>
        <w:tabs>
          <w:tab w:val="clear" w:pos="288"/>
        </w:tabs>
        <w:spacing w:before="0" w:after="160" w:line="259" w:lineRule="auto"/>
        <w:rPr>
          <w:rFonts w:asciiTheme="majorHAnsi" w:eastAsiaTheme="majorEastAsia" w:hAnsiTheme="majorHAnsi" w:cstheme="majorBidi"/>
          <w:b/>
          <w:caps/>
          <w:sz w:val="24"/>
          <w:szCs w:val="32"/>
        </w:rPr>
      </w:pPr>
      <w:r>
        <w:br w:type="page"/>
      </w:r>
    </w:p>
    <w:p w14:paraId="47581E4A" w14:textId="7B048D0D" w:rsidR="0041588C" w:rsidRDefault="0F491922" w:rsidP="00525F11">
      <w:pPr>
        <w:pStyle w:val="Heading1"/>
      </w:pPr>
      <w:r w:rsidRPr="70058CE9">
        <w:lastRenderedPageBreak/>
        <w:t xml:space="preserve">THE CURRENT PRACTICE </w:t>
      </w:r>
      <w:r w:rsidR="28EAB02F" w:rsidRPr="70058CE9">
        <w:t>– AND IMPACT</w:t>
      </w:r>
    </w:p>
    <w:p w14:paraId="4256382A" w14:textId="2A489C3E" w:rsidR="00525F11" w:rsidRPr="00525F11" w:rsidRDefault="00525F11" w:rsidP="00525F11">
      <w:pPr>
        <w:rPr>
          <w:b/>
          <w:bCs/>
        </w:rPr>
      </w:pPr>
      <w:r w:rsidRPr="00525F11">
        <w:rPr>
          <w:b/>
          <w:bCs/>
        </w:rPr>
        <w:t>The “disability” in planning decisions</w:t>
      </w:r>
    </w:p>
    <w:p w14:paraId="1BDEEC98" w14:textId="77777777" w:rsidR="00B31018" w:rsidRDefault="42A73EE7" w:rsidP="007A565E">
      <w:pPr>
        <w:rPr>
          <w:bdr w:val="none" w:sz="0" w:space="0" w:color="auto" w:frame="1"/>
          <w:shd w:val="clear" w:color="auto" w:fill="FFFFFF"/>
        </w:rPr>
      </w:pPr>
      <w:r w:rsidRPr="70058CE9">
        <w:rPr>
          <w:bdr w:val="none" w:sz="0" w:space="0" w:color="auto" w:frame="1"/>
          <w:shd w:val="clear" w:color="auto" w:fill="FFFFFF"/>
        </w:rPr>
        <w:t>At the point of access, the access met letter does not specify that access is granted in relation to a specified impairment.</w:t>
      </w:r>
      <w:r w:rsidR="00865EC4" w:rsidRPr="70058CE9">
        <w:rPr>
          <w:rStyle w:val="FootnoteReference"/>
          <w:color w:val="000000" w:themeColor="text1"/>
        </w:rPr>
        <w:footnoteReference w:id="4"/>
      </w:r>
      <w:r w:rsidRPr="70058CE9">
        <w:rPr>
          <w:bdr w:val="none" w:sz="0" w:space="0" w:color="auto" w:frame="1"/>
          <w:shd w:val="clear" w:color="auto" w:fill="FFFFFF"/>
        </w:rPr>
        <w:t xml:space="preserve"> </w:t>
      </w:r>
      <w:r w:rsidR="00B31018">
        <w:rPr>
          <w:bdr w:val="none" w:sz="0" w:space="0" w:color="auto" w:frame="1"/>
          <w:shd w:val="clear" w:color="auto" w:fill="FFFFFF"/>
        </w:rPr>
        <w:t xml:space="preserve"> </w:t>
      </w:r>
      <w:r w:rsidR="0DCE12C5" w:rsidRPr="70058CE9">
        <w:rPr>
          <w:bdr w:val="none" w:sz="0" w:space="0" w:color="auto" w:frame="1"/>
          <w:shd w:val="clear" w:color="auto" w:fill="FFFFFF"/>
        </w:rPr>
        <w:t xml:space="preserve">Once access is granted, the Agency </w:t>
      </w:r>
      <w:r w:rsidR="00525F11">
        <w:rPr>
          <w:bdr w:val="none" w:sz="0" w:space="0" w:color="auto" w:frame="1"/>
          <w:shd w:val="clear" w:color="auto" w:fill="FFFFFF"/>
        </w:rPr>
        <w:t xml:space="preserve">prepares </w:t>
      </w:r>
      <w:r w:rsidR="0DCE12C5" w:rsidRPr="70058CE9">
        <w:rPr>
          <w:bdr w:val="none" w:sz="0" w:space="0" w:color="auto" w:frame="1"/>
          <w:shd w:val="clear" w:color="auto" w:fill="FFFFFF"/>
        </w:rPr>
        <w:t xml:space="preserve">a </w:t>
      </w:r>
      <w:r w:rsidR="6C809458" w:rsidRPr="70058CE9">
        <w:rPr>
          <w:color w:val="000000" w:themeColor="text1"/>
        </w:rPr>
        <w:t>plan</w:t>
      </w:r>
      <w:r w:rsidR="00B31018">
        <w:rPr>
          <w:color w:val="000000" w:themeColor="text1"/>
        </w:rPr>
        <w:t xml:space="preserve"> which details the supports to be funded.</w:t>
      </w:r>
      <w:r w:rsidR="0DCE12C5" w:rsidRPr="70058CE9">
        <w:rPr>
          <w:bdr w:val="none" w:sz="0" w:space="0" w:color="auto" w:frame="1"/>
          <w:shd w:val="clear" w:color="auto" w:fill="FFFFFF"/>
        </w:rPr>
        <w:t xml:space="preserve">  </w:t>
      </w:r>
    </w:p>
    <w:p w14:paraId="7B94EF3B" w14:textId="12DC9DB6" w:rsidR="00760F57" w:rsidRDefault="04A6BE5B" w:rsidP="007A565E">
      <w:pPr>
        <w:rPr>
          <w:bdr w:val="none" w:sz="0" w:space="0" w:color="auto" w:frame="1"/>
          <w:shd w:val="clear" w:color="auto" w:fill="FFFFFF"/>
        </w:rPr>
      </w:pPr>
      <w:r w:rsidRPr="70058CE9">
        <w:rPr>
          <w:bdr w:val="none" w:sz="0" w:space="0" w:color="auto" w:frame="1"/>
          <w:shd w:val="clear" w:color="auto" w:fill="FFFFFF"/>
        </w:rPr>
        <w:t>In o</w:t>
      </w:r>
      <w:r w:rsidR="65123A01" w:rsidRPr="70058CE9">
        <w:rPr>
          <w:bdr w:val="none" w:sz="0" w:space="0" w:color="auto" w:frame="1"/>
          <w:shd w:val="clear" w:color="auto" w:fill="FFFFFF"/>
        </w:rPr>
        <w:t>ur experience there is a heavy reliance</w:t>
      </w:r>
      <w:r w:rsidR="5002E5B4" w:rsidRPr="70058CE9">
        <w:rPr>
          <w:bdr w:val="none" w:sz="0" w:space="0" w:color="auto" w:frame="1"/>
          <w:shd w:val="clear" w:color="auto" w:fill="FFFFFF"/>
        </w:rPr>
        <w:t xml:space="preserve"> by the Agency on </w:t>
      </w:r>
      <w:r w:rsidR="00525F11">
        <w:rPr>
          <w:bdr w:val="none" w:sz="0" w:space="0" w:color="auto" w:frame="1"/>
          <w:shd w:val="clear" w:color="auto" w:fill="FFFFFF"/>
        </w:rPr>
        <w:t xml:space="preserve">the </w:t>
      </w:r>
      <w:r w:rsidR="5002E5B4" w:rsidRPr="70058CE9">
        <w:rPr>
          <w:bdr w:val="none" w:sz="0" w:space="0" w:color="auto" w:frame="1"/>
          <w:shd w:val="clear" w:color="auto" w:fill="FFFFFF"/>
        </w:rPr>
        <w:t xml:space="preserve">typical support packages </w:t>
      </w:r>
      <w:r w:rsidR="007A565E">
        <w:rPr>
          <w:bdr w:val="none" w:sz="0" w:space="0" w:color="auto" w:frame="1"/>
          <w:shd w:val="clear" w:color="auto" w:fill="FFFFFF"/>
        </w:rPr>
        <w:t xml:space="preserve">(TSP) </w:t>
      </w:r>
      <w:r w:rsidR="00B31018">
        <w:rPr>
          <w:bdr w:val="none" w:sz="0" w:space="0" w:color="auto" w:frame="1"/>
          <w:shd w:val="clear" w:color="auto" w:fill="FFFFFF"/>
        </w:rPr>
        <w:t xml:space="preserve">which are defined by </w:t>
      </w:r>
      <w:r w:rsidR="007A565E">
        <w:rPr>
          <w:bdr w:val="none" w:sz="0" w:space="0" w:color="auto" w:frame="1"/>
          <w:shd w:val="clear" w:color="auto" w:fill="FFFFFF"/>
        </w:rPr>
        <w:t xml:space="preserve">the </w:t>
      </w:r>
      <w:r w:rsidR="0070206E">
        <w:rPr>
          <w:bdr w:val="none" w:sz="0" w:space="0" w:color="auto" w:frame="1"/>
          <w:shd w:val="clear" w:color="auto" w:fill="FFFFFF"/>
        </w:rPr>
        <w:t xml:space="preserve">“primary disability” as recorded by the Agency.  </w:t>
      </w:r>
      <w:r w:rsidR="42A8C890" w:rsidRPr="70058CE9">
        <w:rPr>
          <w:bdr w:val="none" w:sz="0" w:space="0" w:color="auto" w:frame="1"/>
          <w:shd w:val="clear" w:color="auto" w:fill="FFFFFF"/>
        </w:rPr>
        <w:t>I</w:t>
      </w:r>
      <w:r w:rsidR="4778A095" w:rsidRPr="70058CE9">
        <w:rPr>
          <w:bdr w:val="none" w:sz="0" w:space="0" w:color="auto" w:frame="1"/>
          <w:shd w:val="clear" w:color="auto" w:fill="FFFFFF"/>
        </w:rPr>
        <w:t xml:space="preserve">f </w:t>
      </w:r>
      <w:r w:rsidR="42A8C890" w:rsidRPr="70058CE9">
        <w:rPr>
          <w:bdr w:val="none" w:sz="0" w:space="0" w:color="auto" w:frame="1"/>
          <w:shd w:val="clear" w:color="auto" w:fill="FFFFFF"/>
        </w:rPr>
        <w:t xml:space="preserve">a participant is </w:t>
      </w:r>
      <w:r w:rsidR="3BB334CE" w:rsidRPr="70058CE9">
        <w:rPr>
          <w:bdr w:val="none" w:sz="0" w:space="0" w:color="auto" w:frame="1"/>
          <w:shd w:val="clear" w:color="auto" w:fill="FFFFFF"/>
        </w:rPr>
        <w:t>seeking a support that does not</w:t>
      </w:r>
      <w:r w:rsidR="6C809458" w:rsidRPr="70058CE9">
        <w:rPr>
          <w:color w:val="000000" w:themeColor="text1"/>
        </w:rPr>
        <w:t>, obviously,</w:t>
      </w:r>
      <w:r w:rsidR="3BB334CE" w:rsidRPr="70058CE9">
        <w:rPr>
          <w:bdr w:val="none" w:sz="0" w:space="0" w:color="auto" w:frame="1"/>
          <w:shd w:val="clear" w:color="auto" w:fill="FFFFFF"/>
        </w:rPr>
        <w:t xml:space="preserve"> relate to the </w:t>
      </w:r>
      <w:r w:rsidR="0070206E">
        <w:rPr>
          <w:bdr w:val="none" w:sz="0" w:space="0" w:color="auto" w:frame="1"/>
          <w:shd w:val="clear" w:color="auto" w:fill="FFFFFF"/>
        </w:rPr>
        <w:t xml:space="preserve">“disability” </w:t>
      </w:r>
      <w:r w:rsidR="3BB334CE" w:rsidRPr="70058CE9">
        <w:rPr>
          <w:bdr w:val="none" w:sz="0" w:space="0" w:color="auto" w:frame="1"/>
          <w:shd w:val="clear" w:color="auto" w:fill="FFFFFF"/>
        </w:rPr>
        <w:t>listed within the Agency’s database</w:t>
      </w:r>
      <w:r w:rsidR="42A8C890" w:rsidRPr="70058CE9">
        <w:rPr>
          <w:bdr w:val="none" w:sz="0" w:space="0" w:color="auto" w:frame="1"/>
          <w:shd w:val="clear" w:color="auto" w:fill="FFFFFF"/>
        </w:rPr>
        <w:t xml:space="preserve"> (as either primary or secondary), the support will be refused. </w:t>
      </w:r>
      <w:r w:rsidR="3BB334CE" w:rsidRPr="70058CE9">
        <w:rPr>
          <w:bdr w:val="none" w:sz="0" w:space="0" w:color="auto" w:frame="1"/>
          <w:shd w:val="clear" w:color="auto" w:fill="FFFFFF"/>
        </w:rPr>
        <w:t xml:space="preserve"> </w:t>
      </w:r>
    </w:p>
    <w:p w14:paraId="349B12EE" w14:textId="18B69D21" w:rsidR="00B31018" w:rsidRPr="00834810" w:rsidRDefault="00B31018" w:rsidP="007A565E">
      <w:pPr>
        <w:rPr>
          <w:b/>
          <w:bCs/>
          <w:bdr w:val="none" w:sz="0" w:space="0" w:color="auto" w:frame="1"/>
          <w:shd w:val="clear" w:color="auto" w:fill="FFFFFF"/>
        </w:rPr>
      </w:pPr>
      <w:r>
        <w:rPr>
          <w:bdr w:val="none" w:sz="0" w:space="0" w:color="auto" w:frame="1"/>
          <w:shd w:val="clear" w:color="auto" w:fill="FFFFFF"/>
        </w:rPr>
        <w:t xml:space="preserve">“Primary disability” is not a term in the Act, it is a term used solely by the Agency to </w:t>
      </w:r>
      <w:r w:rsidR="0041588C">
        <w:rPr>
          <w:bdr w:val="none" w:sz="0" w:space="0" w:color="auto" w:frame="1"/>
          <w:shd w:val="clear" w:color="auto" w:fill="FFFFFF"/>
        </w:rPr>
        <w:t xml:space="preserve">separate </w:t>
      </w:r>
      <w:r>
        <w:rPr>
          <w:bdr w:val="none" w:sz="0" w:space="0" w:color="auto" w:frame="1"/>
          <w:shd w:val="clear" w:color="auto" w:fill="FFFFFF"/>
        </w:rPr>
        <w:t>participants</w:t>
      </w:r>
      <w:r w:rsidR="0041588C">
        <w:rPr>
          <w:bdr w:val="none" w:sz="0" w:space="0" w:color="auto" w:frame="1"/>
          <w:shd w:val="clear" w:color="auto" w:fill="FFFFFF"/>
        </w:rPr>
        <w:t xml:space="preserve"> into categories for their purposes.</w:t>
      </w:r>
    </w:p>
    <w:p w14:paraId="70270E3C" w14:textId="436FE9B4" w:rsidR="28AC4233" w:rsidRDefault="28AC4233" w:rsidP="007A565E">
      <w:pPr>
        <w:rPr>
          <w:b/>
          <w:bCs/>
        </w:rPr>
      </w:pPr>
      <w:r w:rsidRPr="70058CE9">
        <w:t>The refusal of supports</w:t>
      </w:r>
      <w:r w:rsidR="463C57C8" w:rsidRPr="70058CE9">
        <w:t xml:space="preserve"> </w:t>
      </w:r>
      <w:r w:rsidRPr="70058CE9">
        <w:t xml:space="preserve">often shows a clear lack of understanding at the Agency level of support that can be effective and beneficial to a person and related to their disability. </w:t>
      </w:r>
    </w:p>
    <w:p w14:paraId="0D7CCB7A" w14:textId="2B79E249" w:rsidR="28AC4233" w:rsidRDefault="0041588C" w:rsidP="0041588C">
      <w:pPr>
        <w:ind w:left="1440" w:right="1088" w:hanging="1440"/>
        <w:rPr>
          <w:color w:val="000000" w:themeColor="text1"/>
        </w:rPr>
      </w:pPr>
      <w:r w:rsidRPr="0041588C">
        <w:t>Example</w:t>
      </w:r>
      <w:r w:rsidR="0070206E" w:rsidRPr="0041588C">
        <w:t>:</w:t>
      </w:r>
      <w:r w:rsidR="0070206E">
        <w:t xml:space="preserve"> </w:t>
      </w:r>
      <w:r>
        <w:tab/>
      </w:r>
      <w:r w:rsidR="0070206E">
        <w:t xml:space="preserve">A </w:t>
      </w:r>
      <w:r w:rsidR="28AC4233" w:rsidRPr="70058CE9">
        <w:t>person with a vision impairment</w:t>
      </w:r>
      <w:r w:rsidR="0070206E">
        <w:t xml:space="preserve"> </w:t>
      </w:r>
      <w:r w:rsidR="00A90D25">
        <w:t xml:space="preserve">had their </w:t>
      </w:r>
      <w:r w:rsidR="28AC4233" w:rsidRPr="70058CE9">
        <w:rPr>
          <w:color w:val="000000" w:themeColor="text1"/>
        </w:rPr>
        <w:t xml:space="preserve">physiotherapy </w:t>
      </w:r>
      <w:r w:rsidR="00793347">
        <w:rPr>
          <w:color w:val="000000" w:themeColor="text1"/>
        </w:rPr>
        <w:t xml:space="preserve">reduced substantially </w:t>
      </w:r>
      <w:r w:rsidR="28AC4233" w:rsidRPr="70058CE9">
        <w:rPr>
          <w:color w:val="000000" w:themeColor="text1"/>
        </w:rPr>
        <w:t>despite evidence to show that the vision impairment caused physical pain due to holding a leaning posture.</w:t>
      </w:r>
    </w:p>
    <w:p w14:paraId="403A5EAC" w14:textId="0B433141" w:rsidR="00525F11" w:rsidRPr="00525F11" w:rsidRDefault="00525F11" w:rsidP="007A565E">
      <w:pPr>
        <w:rPr>
          <w:b/>
          <w:bCs/>
          <w:bdr w:val="none" w:sz="0" w:space="0" w:color="auto" w:frame="1"/>
          <w:shd w:val="clear" w:color="auto" w:fill="FFFFFF"/>
        </w:rPr>
      </w:pPr>
      <w:r w:rsidRPr="00525F11">
        <w:rPr>
          <w:b/>
          <w:bCs/>
          <w:bdr w:val="none" w:sz="0" w:space="0" w:color="auto" w:frame="1"/>
          <w:shd w:val="clear" w:color="auto" w:fill="FFFFFF"/>
        </w:rPr>
        <w:t>Who controls the data?</w:t>
      </w:r>
    </w:p>
    <w:p w14:paraId="7532F806" w14:textId="77777777" w:rsidR="00B31018" w:rsidRDefault="41E95A4A" w:rsidP="007A565E">
      <w:pPr>
        <w:rPr>
          <w:bdr w:val="none" w:sz="0" w:space="0" w:color="auto" w:frame="1"/>
          <w:shd w:val="clear" w:color="auto" w:fill="FFFFFF"/>
        </w:rPr>
      </w:pPr>
      <w:r w:rsidRPr="70058CE9">
        <w:rPr>
          <w:bdr w:val="none" w:sz="0" w:space="0" w:color="auto" w:frame="1"/>
          <w:shd w:val="clear" w:color="auto" w:fill="FFFFFF"/>
        </w:rPr>
        <w:t xml:space="preserve">This approach is leaving participants who have multiple impairments (often physical and psychosocial impairments are intrinsically linked) to seek to have all their impairments listed within the Agency’s system. </w:t>
      </w:r>
    </w:p>
    <w:p w14:paraId="2B607ED5" w14:textId="77777777" w:rsidR="00B31018" w:rsidRDefault="15DA6994" w:rsidP="007A565E">
      <w:pPr>
        <w:rPr>
          <w:bdr w:val="none" w:sz="0" w:space="0" w:color="auto" w:frame="1"/>
          <w:shd w:val="clear" w:color="auto" w:fill="FFFFFF"/>
        </w:rPr>
      </w:pPr>
      <w:r w:rsidRPr="70058CE9">
        <w:rPr>
          <w:color w:val="000000" w:themeColor="text1"/>
        </w:rPr>
        <w:t>P</w:t>
      </w:r>
      <w:r w:rsidR="4243C118" w:rsidRPr="70058CE9">
        <w:rPr>
          <w:bdr w:val="none" w:sz="0" w:space="0" w:color="auto" w:frame="1"/>
          <w:shd w:val="clear" w:color="auto" w:fill="FFFFFF"/>
        </w:rPr>
        <w:t xml:space="preserve">articipants have no real control over what is and isn’t listed within the Agency’s database.  </w:t>
      </w:r>
    </w:p>
    <w:p w14:paraId="245D8FED" w14:textId="15502673" w:rsidR="00CE58CA" w:rsidRDefault="4243C118" w:rsidP="007A565E">
      <w:pPr>
        <w:rPr>
          <w:bdr w:val="none" w:sz="0" w:space="0" w:color="auto" w:frame="1"/>
          <w:shd w:val="clear" w:color="auto" w:fill="FFFFFF"/>
        </w:rPr>
      </w:pPr>
      <w:r w:rsidRPr="70058CE9">
        <w:rPr>
          <w:bdr w:val="none" w:sz="0" w:space="0" w:color="auto" w:frame="1"/>
          <w:shd w:val="clear" w:color="auto" w:fill="FFFFFF"/>
        </w:rPr>
        <w:t>The Agency may also, at any</w:t>
      </w:r>
      <w:r w:rsidR="25F6F5E9" w:rsidRPr="70058CE9">
        <w:rPr>
          <w:bdr w:val="none" w:sz="0" w:space="0" w:color="auto" w:frame="1"/>
          <w:shd w:val="clear" w:color="auto" w:fill="FFFFFF"/>
        </w:rPr>
        <w:t>-</w:t>
      </w:r>
      <w:r w:rsidRPr="70058CE9">
        <w:rPr>
          <w:bdr w:val="none" w:sz="0" w:space="0" w:color="auto" w:frame="1"/>
          <w:shd w:val="clear" w:color="auto" w:fill="FFFFFF"/>
        </w:rPr>
        <w:t xml:space="preserve">time, remove </w:t>
      </w:r>
      <w:r w:rsidR="3345DE54" w:rsidRPr="70058CE9">
        <w:rPr>
          <w:bdr w:val="none" w:sz="0" w:space="0" w:color="auto" w:frame="1"/>
          <w:shd w:val="clear" w:color="auto" w:fill="FFFFFF"/>
        </w:rPr>
        <w:t>a participant’s impairment</w:t>
      </w:r>
      <w:r w:rsidR="25F6F5E9" w:rsidRPr="70058CE9">
        <w:rPr>
          <w:bdr w:val="none" w:sz="0" w:space="0" w:color="auto" w:frame="1"/>
          <w:shd w:val="clear" w:color="auto" w:fill="FFFFFF"/>
        </w:rPr>
        <w:t xml:space="preserve"> from its database </w:t>
      </w:r>
      <w:r w:rsidR="378B984D" w:rsidRPr="70058CE9">
        <w:rPr>
          <w:bdr w:val="none" w:sz="0" w:space="0" w:color="auto" w:frame="1"/>
          <w:shd w:val="clear" w:color="auto" w:fill="FFFFFF"/>
        </w:rPr>
        <w:t xml:space="preserve">to refuse supports that relate to that impairment. </w:t>
      </w:r>
      <w:r w:rsidR="3345DE54" w:rsidRPr="70058CE9">
        <w:rPr>
          <w:bdr w:val="none" w:sz="0" w:space="0" w:color="auto" w:frame="1"/>
          <w:shd w:val="clear" w:color="auto" w:fill="FFFFFF"/>
        </w:rPr>
        <w:t xml:space="preserve"> </w:t>
      </w:r>
      <w:r w:rsidRPr="70058CE9">
        <w:rPr>
          <w:bdr w:val="none" w:sz="0" w:space="0" w:color="auto" w:frame="1"/>
          <w:shd w:val="clear" w:color="auto" w:fill="FFFFFF"/>
        </w:rPr>
        <w:t xml:space="preserve"> </w:t>
      </w:r>
    </w:p>
    <w:p w14:paraId="3EDFCA24" w14:textId="24D85A14" w:rsidR="0041588C" w:rsidRPr="0041588C" w:rsidRDefault="0041588C" w:rsidP="0041588C">
      <w:pPr>
        <w:ind w:left="1440" w:hanging="1440"/>
        <w:rPr>
          <w:rFonts w:cstheme="minorHAnsi"/>
          <w:iCs/>
          <w:bdr w:val="none" w:sz="0" w:space="0" w:color="auto" w:frame="1"/>
          <w:shd w:val="clear" w:color="auto" w:fill="FFFFFF"/>
        </w:rPr>
      </w:pPr>
      <w:r w:rsidRPr="0041588C">
        <w:rPr>
          <w:rFonts w:cstheme="minorHAnsi"/>
          <w:iCs/>
          <w:bdr w:val="none" w:sz="0" w:space="0" w:color="auto" w:frame="1"/>
          <w:shd w:val="clear" w:color="auto" w:fill="FFFFFF"/>
        </w:rPr>
        <w:t xml:space="preserve">Example: </w:t>
      </w:r>
      <w:r w:rsidRPr="0041588C">
        <w:rPr>
          <w:rFonts w:cstheme="minorHAnsi"/>
          <w:iCs/>
          <w:bdr w:val="none" w:sz="0" w:space="0" w:color="auto" w:frame="1"/>
          <w:shd w:val="clear" w:color="auto" w:fill="FFFFFF"/>
        </w:rPr>
        <w:tab/>
        <w:t>A person who was receiving supports for a physical and psychosocial disability was told at a plan review that their physical disability did not meet the access criteria and had therefore been removed from their record.  The new plan was significantly reduced with supports deemed by the Agency to be related to the physical disability removed.</w:t>
      </w:r>
    </w:p>
    <w:p w14:paraId="57C2965D" w14:textId="421BE6BE" w:rsidR="00525F11" w:rsidRPr="00525F11" w:rsidRDefault="00525F11" w:rsidP="0070206E">
      <w:pPr>
        <w:rPr>
          <w:b/>
          <w:bCs/>
          <w:bdr w:val="none" w:sz="0" w:space="0" w:color="auto" w:frame="1"/>
          <w:shd w:val="clear" w:color="auto" w:fill="FFFFFF"/>
        </w:rPr>
      </w:pPr>
      <w:r w:rsidRPr="00525F11">
        <w:rPr>
          <w:b/>
          <w:bCs/>
          <w:bdr w:val="none" w:sz="0" w:space="0" w:color="auto" w:frame="1"/>
          <w:shd w:val="clear" w:color="auto" w:fill="FFFFFF"/>
        </w:rPr>
        <w:t>Review rights</w:t>
      </w:r>
    </w:p>
    <w:p w14:paraId="0768FB4A" w14:textId="4B2C6449" w:rsidR="0070206E" w:rsidRDefault="00C44459" w:rsidP="0070206E">
      <w:pPr>
        <w:rPr>
          <w:bdr w:val="none" w:sz="0" w:space="0" w:color="auto" w:frame="1"/>
          <w:shd w:val="clear" w:color="auto" w:fill="FFFFFF"/>
        </w:rPr>
      </w:pPr>
      <w:r>
        <w:rPr>
          <w:bdr w:val="none" w:sz="0" w:space="0" w:color="auto" w:frame="1"/>
          <w:shd w:val="clear" w:color="auto" w:fill="FFFFFF"/>
        </w:rPr>
        <w:t xml:space="preserve">If </w:t>
      </w:r>
      <w:r w:rsidR="29F88220" w:rsidRPr="70058CE9">
        <w:rPr>
          <w:bdr w:val="none" w:sz="0" w:space="0" w:color="auto" w:frame="1"/>
          <w:shd w:val="clear" w:color="auto" w:fill="FFFFFF"/>
        </w:rPr>
        <w:t>the Agency refuses to recognize a person’s impairment</w:t>
      </w:r>
      <w:r w:rsidR="3F466F2E" w:rsidRPr="70058CE9">
        <w:rPr>
          <w:bdr w:val="none" w:sz="0" w:space="0" w:color="auto" w:frame="1"/>
          <w:shd w:val="clear" w:color="auto" w:fill="FFFFFF"/>
        </w:rPr>
        <w:t xml:space="preserve"> either at the point of access or some later time</w:t>
      </w:r>
      <w:r w:rsidR="29F88220" w:rsidRPr="70058CE9">
        <w:rPr>
          <w:bdr w:val="none" w:sz="0" w:space="0" w:color="auto" w:frame="1"/>
          <w:shd w:val="clear" w:color="auto" w:fill="FFFFFF"/>
        </w:rPr>
        <w:t>, th</w:t>
      </w:r>
      <w:r w:rsidR="594CC163" w:rsidRPr="70058CE9">
        <w:rPr>
          <w:bdr w:val="none" w:sz="0" w:space="0" w:color="auto" w:frame="1"/>
          <w:shd w:val="clear" w:color="auto" w:fill="FFFFFF"/>
        </w:rPr>
        <w:t xml:space="preserve">ere is no process for challenging this decision.  </w:t>
      </w:r>
    </w:p>
    <w:p w14:paraId="0771AF33" w14:textId="1DF840A5" w:rsidR="000A19EF" w:rsidRDefault="0EA39F01" w:rsidP="0070206E">
      <w:r>
        <w:lastRenderedPageBreak/>
        <w:t xml:space="preserve">Even where a participant has </w:t>
      </w:r>
      <w:r w:rsidR="29F28CED">
        <w:t xml:space="preserve">secured help from our advocacy </w:t>
      </w:r>
      <w:r w:rsidR="73AD84B5">
        <w:t>organizations</w:t>
      </w:r>
      <w:r w:rsidR="29F28CED">
        <w:t xml:space="preserve"> to convince the Agency to recognize and record their impairments within the</w:t>
      </w:r>
      <w:r w:rsidR="2245ECE5">
        <w:t>ir database</w:t>
      </w:r>
      <w:r w:rsidR="498689DF">
        <w:t xml:space="preserve"> (often as a notation within consent terms)</w:t>
      </w:r>
      <w:r w:rsidR="2245ECE5">
        <w:t>, there is no guarantee the Agency will respect this outcome at a later point in time</w:t>
      </w:r>
      <w:r w:rsidR="73AD84B5">
        <w:t>.</w:t>
      </w:r>
      <w:r w:rsidR="0000490C" w:rsidRPr="70058CE9">
        <w:rPr>
          <w:rStyle w:val="FootnoteReference"/>
        </w:rPr>
        <w:footnoteReference w:id="5"/>
      </w:r>
    </w:p>
    <w:p w14:paraId="57D4CD8F" w14:textId="64B6678B" w:rsidR="00C44459" w:rsidRPr="00C44459" w:rsidRDefault="00C44459" w:rsidP="0070206E">
      <w:pPr>
        <w:rPr>
          <w:b/>
          <w:bCs/>
        </w:rPr>
      </w:pPr>
      <w:r>
        <w:rPr>
          <w:b/>
          <w:bCs/>
        </w:rPr>
        <w:t>The policy of the Agency</w:t>
      </w:r>
    </w:p>
    <w:p w14:paraId="2A90ABA9" w14:textId="22C65798" w:rsidR="00694133" w:rsidRPr="00C44459" w:rsidRDefault="5B7A2E06" w:rsidP="0070206E">
      <w:pPr>
        <w:rPr>
          <w:bdr w:val="none" w:sz="0" w:space="0" w:color="auto" w:frame="1"/>
          <w:shd w:val="clear" w:color="auto" w:fill="FFFFFF"/>
        </w:rPr>
      </w:pPr>
      <w:r w:rsidRPr="70058CE9">
        <w:rPr>
          <w:bdr w:val="none" w:sz="0" w:space="0" w:color="auto" w:frame="1"/>
          <w:shd w:val="clear" w:color="auto" w:fill="FFFFFF"/>
        </w:rPr>
        <w:t xml:space="preserve">Despite the </w:t>
      </w:r>
      <w:r w:rsidR="00C44459">
        <w:rPr>
          <w:bdr w:val="none" w:sz="0" w:space="0" w:color="auto" w:frame="1"/>
          <w:shd w:val="clear" w:color="auto" w:fill="FFFFFF"/>
        </w:rPr>
        <w:t xml:space="preserve">law </w:t>
      </w:r>
      <w:r w:rsidRPr="70058CE9">
        <w:rPr>
          <w:bdr w:val="none" w:sz="0" w:space="0" w:color="auto" w:frame="1"/>
          <w:shd w:val="clear" w:color="auto" w:fill="FFFFFF"/>
        </w:rPr>
        <w:t>establishing two</w:t>
      </w:r>
      <w:r w:rsidR="1885B5AB" w:rsidRPr="70058CE9">
        <w:rPr>
          <w:bdr w:val="none" w:sz="0" w:space="0" w:color="auto" w:frame="1"/>
          <w:shd w:val="clear" w:color="auto" w:fill="FFFFFF"/>
        </w:rPr>
        <w:t xml:space="preserve"> distinct steps</w:t>
      </w:r>
      <w:r w:rsidR="06A6A6AA" w:rsidRPr="70058CE9">
        <w:rPr>
          <w:bdr w:val="none" w:sz="0" w:space="0" w:color="auto" w:frame="1"/>
          <w:shd w:val="clear" w:color="auto" w:fill="FFFFFF"/>
        </w:rPr>
        <w:t xml:space="preserve"> concerning </w:t>
      </w:r>
      <w:r w:rsidR="1885B5AB" w:rsidRPr="70058CE9">
        <w:rPr>
          <w:bdr w:val="none" w:sz="0" w:space="0" w:color="auto" w:frame="1"/>
          <w:shd w:val="clear" w:color="auto" w:fill="FFFFFF"/>
        </w:rPr>
        <w:t>access and planning</w:t>
      </w:r>
      <w:r w:rsidR="00C44459">
        <w:rPr>
          <w:bdr w:val="none" w:sz="0" w:space="0" w:color="auto" w:frame="1"/>
          <w:shd w:val="clear" w:color="auto" w:fill="FFFFFF"/>
        </w:rPr>
        <w:t>,</w:t>
      </w:r>
      <w:r w:rsidR="1885B5AB" w:rsidRPr="70058CE9">
        <w:rPr>
          <w:bdr w:val="none" w:sz="0" w:space="0" w:color="auto" w:frame="1"/>
          <w:shd w:val="clear" w:color="auto" w:fill="FFFFFF"/>
        </w:rPr>
        <w:t xml:space="preserve"> the Agency has </w:t>
      </w:r>
      <w:r w:rsidR="00C44459">
        <w:rPr>
          <w:bdr w:val="none" w:sz="0" w:space="0" w:color="auto" w:frame="1"/>
          <w:shd w:val="clear" w:color="auto" w:fill="FFFFFF"/>
        </w:rPr>
        <w:t xml:space="preserve">taken a different view, which is reflected in </w:t>
      </w:r>
      <w:r w:rsidR="770B77BE" w:rsidRPr="70058CE9">
        <w:rPr>
          <w:bdr w:val="none" w:sz="0" w:space="0" w:color="auto" w:frame="1"/>
          <w:shd w:val="clear" w:color="auto" w:fill="FFFFFF"/>
        </w:rPr>
        <w:t xml:space="preserve">its </w:t>
      </w:r>
      <w:r w:rsidR="00C44459">
        <w:rPr>
          <w:bdr w:val="none" w:sz="0" w:space="0" w:color="auto" w:frame="1"/>
          <w:shd w:val="clear" w:color="auto" w:fill="FFFFFF"/>
        </w:rPr>
        <w:t>Operational Guidelines</w:t>
      </w:r>
      <w:r w:rsidR="710CC59D" w:rsidRPr="70058CE9">
        <w:rPr>
          <w:bdr w:val="none" w:sz="0" w:space="0" w:color="auto" w:frame="1"/>
          <w:shd w:val="clear" w:color="auto" w:fill="FFFFFF"/>
        </w:rPr>
        <w:t xml:space="preserve">. </w:t>
      </w:r>
    </w:p>
    <w:p w14:paraId="167D4CD6" w14:textId="77777777" w:rsidR="00A32FED" w:rsidRDefault="710CC59D" w:rsidP="0070206E">
      <w:r>
        <w:t>The</w:t>
      </w:r>
      <w:r w:rsidR="36124F2E">
        <w:t xml:space="preserve">  </w:t>
      </w:r>
      <w:hyperlink r:id="rId11">
        <w:r w:rsidR="36124F2E" w:rsidRPr="70058CE9">
          <w:rPr>
            <w:rStyle w:val="Hyperlink"/>
          </w:rPr>
          <w:t>Fair supports for your disability needs | NDIS</w:t>
        </w:r>
      </w:hyperlink>
      <w:r w:rsidR="36124F2E">
        <w:t xml:space="preserve"> </w:t>
      </w:r>
      <w:r>
        <w:t xml:space="preserve">page provides: </w:t>
      </w:r>
    </w:p>
    <w:p w14:paraId="35950237" w14:textId="55293321" w:rsidR="00513F12" w:rsidRPr="00A32FED" w:rsidRDefault="3E9970F5" w:rsidP="00CF0701">
      <w:pPr>
        <w:pStyle w:val="ListParagraph"/>
        <w:spacing w:after="120" w:line="240" w:lineRule="auto"/>
        <w:ind w:right="1088"/>
        <w:contextualSpacing w:val="0"/>
        <w:rPr>
          <w:i/>
          <w:iCs/>
        </w:rPr>
      </w:pPr>
      <w:r w:rsidRPr="70058CE9">
        <w:rPr>
          <w:i/>
          <w:iCs/>
        </w:rPr>
        <w:t>“</w:t>
      </w:r>
      <w:r w:rsidR="3E338CAB" w:rsidRPr="70058CE9">
        <w:rPr>
          <w:i/>
          <w:iCs/>
        </w:rPr>
        <w:t xml:space="preserve">When we make decisions about which </w:t>
      </w:r>
      <w:proofErr w:type="gramStart"/>
      <w:r w:rsidR="3E338CAB" w:rsidRPr="70058CE9">
        <w:rPr>
          <w:i/>
          <w:iCs/>
        </w:rPr>
        <w:t>supports</w:t>
      </w:r>
      <w:proofErr w:type="gramEnd"/>
      <w:r w:rsidR="3E338CAB" w:rsidRPr="70058CE9">
        <w:rPr>
          <w:i/>
          <w:iCs/>
        </w:rPr>
        <w:t xml:space="preserve"> we can fund, we consider whether a support is reasonable and necessary for you and apply the NDIS funding criteria. Sometimes, you might ask for supports to help with impairments that were not part of your Access eligibility assessment. When this happens, we need to make sure the support will help you address needs that arise from an impairment that meets the same eligibility criteria we consider at </w:t>
      </w:r>
      <w:proofErr w:type="gramStart"/>
      <w:r w:rsidR="3E338CAB" w:rsidRPr="70058CE9">
        <w:rPr>
          <w:i/>
          <w:iCs/>
        </w:rPr>
        <w:t>Access .</w:t>
      </w:r>
      <w:proofErr w:type="gramEnd"/>
    </w:p>
    <w:p w14:paraId="22D29854" w14:textId="77777777" w:rsidR="00513F12" w:rsidRPr="00A32FED" w:rsidRDefault="3E338CAB" w:rsidP="0035614E">
      <w:pPr>
        <w:pStyle w:val="ListParagraph"/>
        <w:spacing w:after="120" w:line="240" w:lineRule="auto"/>
        <w:contextualSpacing w:val="0"/>
        <w:rPr>
          <w:i/>
          <w:iCs/>
        </w:rPr>
      </w:pPr>
      <w:r w:rsidRPr="70058CE9">
        <w:rPr>
          <w:i/>
          <w:iCs/>
        </w:rPr>
        <w:t xml:space="preserve">You don’t need to make a new Access request if you ask for supports to help with an impairment that was not part of your Access eligibility assessment. We will work out if you need the </w:t>
      </w:r>
      <w:proofErr w:type="gramStart"/>
      <w:r w:rsidRPr="70058CE9">
        <w:rPr>
          <w:i/>
          <w:iCs/>
        </w:rPr>
        <w:t>support</w:t>
      </w:r>
      <w:proofErr w:type="gramEnd"/>
      <w:r w:rsidRPr="70058CE9">
        <w:rPr>
          <w:i/>
          <w:iCs/>
        </w:rPr>
        <w:t xml:space="preserve"> you have asked for to address an impairment that would meet our Access criteria. We may ask you to provide evidence to help us work this out. We will decide if the requested support is reasonable and necessary. We will apply the NDIS funding criteria based on the impairments that would meet our Access criteria.</w:t>
      </w:r>
    </w:p>
    <w:p w14:paraId="760A2776" w14:textId="208D4792" w:rsidR="00513F12" w:rsidRPr="004559F1" w:rsidRDefault="3E338CAB" w:rsidP="0035614E">
      <w:pPr>
        <w:pStyle w:val="ListParagraph"/>
        <w:spacing w:after="120" w:line="240" w:lineRule="auto"/>
        <w:contextualSpacing w:val="0"/>
        <w:rPr>
          <w:i/>
          <w:iCs/>
        </w:rPr>
      </w:pPr>
      <w:r w:rsidRPr="70058CE9">
        <w:rPr>
          <w:i/>
          <w:iCs/>
        </w:rPr>
        <w:t>By funding the right disability supports for your permanent impairments that meet our Access criteria, we are ensuring the system is fair for everyone, and that the NDIS remains financially sustainable.</w:t>
      </w:r>
      <w:r w:rsidR="76D7BFC2" w:rsidRPr="70058CE9">
        <w:rPr>
          <w:i/>
          <w:iCs/>
        </w:rPr>
        <w:t>”</w:t>
      </w:r>
    </w:p>
    <w:p w14:paraId="16E7D820" w14:textId="6ADB1410" w:rsidR="00694133" w:rsidRPr="00CF5D47" w:rsidRDefault="00C44459" w:rsidP="00CF0701">
      <w:pPr>
        <w:rPr>
          <w:rFonts w:ascii="Calibri" w:hAnsi="Calibri"/>
        </w:rPr>
      </w:pPr>
      <w:r>
        <w:t>Following the McLaughlin decision</w:t>
      </w:r>
      <w:r>
        <w:rPr>
          <w:rStyle w:val="FootnoteReference"/>
        </w:rPr>
        <w:footnoteReference w:id="6"/>
      </w:r>
      <w:r>
        <w:t xml:space="preserve"> </w:t>
      </w:r>
      <w:r w:rsidR="36124F2E">
        <w:t xml:space="preserve">we brought </w:t>
      </w:r>
      <w:r w:rsidR="00CF0701">
        <w:t xml:space="preserve">the </w:t>
      </w:r>
      <w:r w:rsidR="1B765A4F">
        <w:t xml:space="preserve">discrepancy between the operational guidelines </w:t>
      </w:r>
      <w:r w:rsidR="00CF0701">
        <w:t xml:space="preserve">and the law </w:t>
      </w:r>
      <w:r w:rsidR="1B765A4F">
        <w:t xml:space="preserve">to </w:t>
      </w:r>
      <w:r w:rsidR="36124F2E">
        <w:t xml:space="preserve">the attention of the </w:t>
      </w:r>
      <w:r w:rsidR="1B765A4F">
        <w:t xml:space="preserve">NDIA’s </w:t>
      </w:r>
      <w:r w:rsidR="36124F2E">
        <w:t>community engagement team</w:t>
      </w:r>
      <w:r>
        <w:t>.  T</w:t>
      </w:r>
      <w:r w:rsidR="2EF1BE3A">
        <w:t>hey</w:t>
      </w:r>
      <w:r w:rsidR="36124F2E">
        <w:t xml:space="preserve"> responded by saying: </w:t>
      </w:r>
    </w:p>
    <w:p w14:paraId="575AFCF2" w14:textId="3BFBBF4F" w:rsidR="00694133" w:rsidRPr="005340CC" w:rsidRDefault="1FF18234" w:rsidP="00CF0701">
      <w:pPr>
        <w:pStyle w:val="ListParagraph"/>
        <w:spacing w:after="120" w:line="240" w:lineRule="auto"/>
        <w:contextualSpacing w:val="0"/>
        <w:rPr>
          <w:i/>
          <w:iCs/>
          <w:lang w:eastAsia="zh-CN"/>
        </w:rPr>
      </w:pPr>
      <w:r w:rsidRPr="70058CE9">
        <w:rPr>
          <w:i/>
          <w:iCs/>
          <w:lang w:eastAsia="zh-CN"/>
        </w:rPr>
        <w:t>“</w:t>
      </w:r>
      <w:r w:rsidR="36124F2E" w:rsidRPr="70058CE9">
        <w:rPr>
          <w:i/>
          <w:iCs/>
          <w:lang w:eastAsia="zh-CN"/>
        </w:rPr>
        <w:t>The ‘fair supports for your disability needs’ principle referred to in Our Guidelines represents Government policy.  It appears this specific policy was not considered by the AAT in the McLaughlin decision</w:t>
      </w:r>
      <w:r w:rsidR="00CF0701">
        <w:rPr>
          <w:rStyle w:val="FootnoteReference"/>
          <w:i/>
          <w:iCs/>
          <w:lang w:eastAsia="zh-CN"/>
        </w:rPr>
        <w:footnoteReference w:id="7"/>
      </w:r>
      <w:r w:rsidR="36124F2E" w:rsidRPr="70058CE9">
        <w:rPr>
          <w:i/>
          <w:iCs/>
          <w:lang w:eastAsia="zh-CN"/>
        </w:rPr>
        <w:t xml:space="preserve">. Our Guidelines are the single source of truth for Agency decision makers.  Our Guidelines have been developed through extensive stakeholder consultation and have been approved by our Legal branch and the CEO.  </w:t>
      </w:r>
      <w:proofErr w:type="gramStart"/>
      <w:r w:rsidR="36124F2E" w:rsidRPr="70058CE9">
        <w:rPr>
          <w:i/>
          <w:iCs/>
          <w:lang w:eastAsia="zh-CN"/>
        </w:rPr>
        <w:t>In light of</w:t>
      </w:r>
      <w:proofErr w:type="gramEnd"/>
      <w:r w:rsidR="36124F2E" w:rsidRPr="70058CE9">
        <w:rPr>
          <w:i/>
          <w:iCs/>
          <w:lang w:eastAsia="zh-CN"/>
        </w:rPr>
        <w:t xml:space="preserve"> this, the principle of ‘fair supports for your disability needs’ outlined in Our Guidelines remains the source of truth for how Agency decision makers consider supports related to an impairment for which the participant did not gain access to the NDIS.</w:t>
      </w:r>
      <w:r w:rsidR="41FF06E5" w:rsidRPr="70058CE9">
        <w:rPr>
          <w:i/>
          <w:iCs/>
          <w:lang w:eastAsia="zh-CN"/>
        </w:rPr>
        <w:t>”</w:t>
      </w:r>
    </w:p>
    <w:p w14:paraId="0236D242" w14:textId="694D32D6" w:rsidR="003A672A" w:rsidRPr="00C32A2E" w:rsidRDefault="003A672A" w:rsidP="00CF0701">
      <w:pPr>
        <w:rPr>
          <w:bdr w:val="none" w:sz="0" w:space="0" w:color="auto" w:frame="1"/>
          <w:shd w:val="clear" w:color="auto" w:fill="FFFFFF"/>
        </w:rPr>
      </w:pPr>
      <w:r>
        <w:rPr>
          <w:bdr w:val="none" w:sz="0" w:space="0" w:color="auto" w:frame="1"/>
          <w:shd w:val="clear" w:color="auto" w:fill="FFFFFF"/>
        </w:rPr>
        <w:t xml:space="preserve">It should be noted that the Agency </w:t>
      </w:r>
      <w:proofErr w:type="gramStart"/>
      <w:r w:rsidR="00C83EBD">
        <w:rPr>
          <w:bdr w:val="none" w:sz="0" w:space="0" w:color="auto" w:frame="1"/>
          <w:shd w:val="clear" w:color="auto" w:fill="FFFFFF"/>
        </w:rPr>
        <w:t xml:space="preserve">did </w:t>
      </w:r>
      <w:r>
        <w:rPr>
          <w:bdr w:val="none" w:sz="0" w:space="0" w:color="auto" w:frame="1"/>
          <w:shd w:val="clear" w:color="auto" w:fill="FFFFFF"/>
        </w:rPr>
        <w:t xml:space="preserve"> not</w:t>
      </w:r>
      <w:proofErr w:type="gramEnd"/>
      <w:r>
        <w:rPr>
          <w:bdr w:val="none" w:sz="0" w:space="0" w:color="auto" w:frame="1"/>
          <w:shd w:val="clear" w:color="auto" w:fill="FFFFFF"/>
        </w:rPr>
        <w:t xml:space="preserve"> appeal the decision in McLaughlin to the Federal Court</w:t>
      </w:r>
      <w:r w:rsidR="00704E6D">
        <w:rPr>
          <w:bdr w:val="none" w:sz="0" w:space="0" w:color="auto" w:frame="1"/>
          <w:shd w:val="clear" w:color="auto" w:fill="FFFFFF"/>
        </w:rPr>
        <w:t xml:space="preserve">.  The </w:t>
      </w:r>
      <w:r w:rsidR="00D71D11">
        <w:rPr>
          <w:bdr w:val="none" w:sz="0" w:space="0" w:color="auto" w:frame="1"/>
          <w:shd w:val="clear" w:color="auto" w:fill="FFFFFF"/>
        </w:rPr>
        <w:t xml:space="preserve">NDIA’s lawyers routinely take a position </w:t>
      </w:r>
      <w:r w:rsidR="00704E6D">
        <w:rPr>
          <w:bdr w:val="none" w:sz="0" w:space="0" w:color="auto" w:frame="1"/>
          <w:shd w:val="clear" w:color="auto" w:fill="FFFFFF"/>
        </w:rPr>
        <w:t xml:space="preserve">at the AAT that is consistent with the </w:t>
      </w:r>
      <w:r w:rsidR="008F2E5E">
        <w:rPr>
          <w:bdr w:val="none" w:sz="0" w:space="0" w:color="auto" w:frame="1"/>
          <w:shd w:val="clear" w:color="auto" w:fill="FFFFFF"/>
        </w:rPr>
        <w:t xml:space="preserve">Guidelines above, insisting that participants provide further evidence.  This is a </w:t>
      </w:r>
      <w:r w:rsidR="00E6479A">
        <w:rPr>
          <w:bdr w:val="none" w:sz="0" w:space="0" w:color="auto" w:frame="1"/>
          <w:shd w:val="clear" w:color="auto" w:fill="FFFFFF"/>
        </w:rPr>
        <w:t>significant contributor to the delays at the AAT.</w:t>
      </w:r>
    </w:p>
    <w:p w14:paraId="18F8065E" w14:textId="31D36848" w:rsidR="009553AA" w:rsidRPr="009553AA" w:rsidRDefault="009553AA" w:rsidP="009553AA">
      <w:pPr>
        <w:rPr>
          <w:bdr w:val="none" w:sz="0" w:space="0" w:color="auto" w:frame="1"/>
          <w:shd w:val="clear" w:color="auto" w:fill="FFFFFF"/>
        </w:rPr>
      </w:pPr>
      <w:r>
        <w:rPr>
          <w:bdr w:val="none" w:sz="0" w:space="0" w:color="auto" w:frame="1"/>
          <w:shd w:val="clear" w:color="auto" w:fill="FFFFFF"/>
        </w:rPr>
        <w:lastRenderedPageBreak/>
        <w:t xml:space="preserve">We note a recent development in </w:t>
      </w:r>
      <w:r w:rsidR="00EA0219">
        <w:rPr>
          <w:bdr w:val="none" w:sz="0" w:space="0" w:color="auto" w:frame="1"/>
          <w:shd w:val="clear" w:color="auto" w:fill="FFFFFF"/>
        </w:rPr>
        <w:t xml:space="preserve">the Agency’s lawyers </w:t>
      </w:r>
      <w:r w:rsidR="00FB3437">
        <w:rPr>
          <w:bdr w:val="none" w:sz="0" w:space="0" w:color="auto" w:frame="1"/>
          <w:shd w:val="clear" w:color="auto" w:fill="FFFFFF"/>
        </w:rPr>
        <w:t>relying on ss 24 and 25 of the Act</w:t>
      </w:r>
      <w:r w:rsidRPr="009553AA">
        <w:rPr>
          <w:bdr w:val="none" w:sz="0" w:space="0" w:color="auto" w:frame="1"/>
          <w:shd w:val="clear" w:color="auto" w:fill="FFFFFF"/>
        </w:rPr>
        <w:t>:</w:t>
      </w:r>
    </w:p>
    <w:p w14:paraId="16EC84B7" w14:textId="77777777" w:rsidR="009553AA" w:rsidRPr="00B53AFB" w:rsidRDefault="009553AA" w:rsidP="00B53AFB">
      <w:pPr>
        <w:ind w:left="720" w:right="1088"/>
        <w:rPr>
          <w:i/>
          <w:iCs/>
          <w:bdr w:val="none" w:sz="0" w:space="0" w:color="auto" w:frame="1"/>
          <w:shd w:val="clear" w:color="auto" w:fill="FFFFFF"/>
        </w:rPr>
      </w:pPr>
      <w:r w:rsidRPr="00B53AFB">
        <w:rPr>
          <w:i/>
          <w:iCs/>
          <w:bdr w:val="none" w:sz="0" w:space="0" w:color="auto" w:frame="1"/>
          <w:shd w:val="clear" w:color="auto" w:fill="FFFFFF"/>
        </w:rPr>
        <w:t xml:space="preserve">when approving a statement of participant supports under section 33(2) of the NDIS Act, the Tribunal is limited to approving NDIS funded reasonable and necessary supports for impairments attributable to disabilities that meet the disability requirements under section 24 of the NDIS Act. </w:t>
      </w:r>
    </w:p>
    <w:p w14:paraId="2F418FDC" w14:textId="22F21EA0" w:rsidR="00DD6209" w:rsidRDefault="00CF1BCF" w:rsidP="001D1CCC">
      <w:pPr>
        <w:rPr>
          <w:bdr w:val="none" w:sz="0" w:space="0" w:color="auto" w:frame="1"/>
          <w:shd w:val="clear" w:color="auto" w:fill="FFFFFF"/>
        </w:rPr>
      </w:pPr>
      <w:r>
        <w:rPr>
          <w:bdr w:val="none" w:sz="0" w:space="0" w:color="auto" w:frame="1"/>
          <w:shd w:val="clear" w:color="auto" w:fill="FFFFFF"/>
        </w:rPr>
        <w:t xml:space="preserve">Their argument on this basis </w:t>
      </w:r>
      <w:r w:rsidR="001D1CCC">
        <w:rPr>
          <w:bdr w:val="none" w:sz="0" w:space="0" w:color="auto" w:frame="1"/>
          <w:shd w:val="clear" w:color="auto" w:fill="FFFFFF"/>
        </w:rPr>
        <w:t xml:space="preserve">from </w:t>
      </w:r>
      <w:r w:rsidR="009553AA" w:rsidRPr="009553AA">
        <w:rPr>
          <w:bdr w:val="none" w:sz="0" w:space="0" w:color="auto" w:frame="1"/>
          <w:shd w:val="clear" w:color="auto" w:fill="FFFFFF"/>
        </w:rPr>
        <w:t>relie</w:t>
      </w:r>
      <w:r>
        <w:rPr>
          <w:bdr w:val="none" w:sz="0" w:space="0" w:color="auto" w:frame="1"/>
          <w:shd w:val="clear" w:color="auto" w:fill="FFFFFF"/>
        </w:rPr>
        <w:t>s</w:t>
      </w:r>
      <w:r w:rsidR="009553AA" w:rsidRPr="009553AA">
        <w:rPr>
          <w:bdr w:val="none" w:sz="0" w:space="0" w:color="auto" w:frame="1"/>
          <w:shd w:val="clear" w:color="auto" w:fill="FFFFFF"/>
        </w:rPr>
        <w:t xml:space="preserve"> heavily on </w:t>
      </w:r>
      <w:r w:rsidR="001D1CCC">
        <w:rPr>
          <w:bdr w:val="none" w:sz="0" w:space="0" w:color="auto" w:frame="1"/>
          <w:shd w:val="clear" w:color="auto" w:fill="FFFFFF"/>
        </w:rPr>
        <w:t xml:space="preserve">the </w:t>
      </w:r>
      <w:r w:rsidR="00A14FF2">
        <w:rPr>
          <w:bdr w:val="none" w:sz="0" w:space="0" w:color="auto" w:frame="1"/>
          <w:shd w:val="clear" w:color="auto" w:fill="FFFFFF"/>
        </w:rPr>
        <w:t xml:space="preserve">2011 </w:t>
      </w:r>
      <w:r w:rsidR="001D1CCC">
        <w:rPr>
          <w:bdr w:val="none" w:sz="0" w:space="0" w:color="auto" w:frame="1"/>
          <w:shd w:val="clear" w:color="auto" w:fill="FFFFFF"/>
        </w:rPr>
        <w:t xml:space="preserve">Productivity Commission Report </w:t>
      </w:r>
      <w:r w:rsidR="009553AA" w:rsidRPr="00A14FF2">
        <w:rPr>
          <w:i/>
          <w:iCs/>
          <w:bdr w:val="none" w:sz="0" w:space="0" w:color="auto" w:frame="1"/>
          <w:shd w:val="clear" w:color="auto" w:fill="FFFFFF"/>
        </w:rPr>
        <w:t>Disability Care and Support</w:t>
      </w:r>
      <w:r w:rsidR="000E498E">
        <w:rPr>
          <w:i/>
          <w:iCs/>
          <w:bdr w:val="none" w:sz="0" w:space="0" w:color="auto" w:frame="1"/>
          <w:shd w:val="clear" w:color="auto" w:fill="FFFFFF"/>
        </w:rPr>
        <w:t>,</w:t>
      </w:r>
      <w:r w:rsidR="00A14FF2">
        <w:rPr>
          <w:rStyle w:val="FootnoteReference"/>
          <w:bdr w:val="none" w:sz="0" w:space="0" w:color="auto" w:frame="1"/>
          <w:shd w:val="clear" w:color="auto" w:fill="FFFFFF"/>
        </w:rPr>
        <w:footnoteReference w:id="8"/>
      </w:r>
      <w:r w:rsidR="000E498E">
        <w:rPr>
          <w:bdr w:val="none" w:sz="0" w:space="0" w:color="auto" w:frame="1"/>
          <w:shd w:val="clear" w:color="auto" w:fill="FFFFFF"/>
        </w:rPr>
        <w:t xml:space="preserve"> an approach </w:t>
      </w:r>
      <w:r w:rsidR="004004D6">
        <w:rPr>
          <w:bdr w:val="none" w:sz="0" w:space="0" w:color="auto" w:frame="1"/>
          <w:shd w:val="clear" w:color="auto" w:fill="FFFFFF"/>
        </w:rPr>
        <w:t xml:space="preserve">which </w:t>
      </w:r>
      <w:r w:rsidR="00DD6209">
        <w:rPr>
          <w:bdr w:val="none" w:sz="0" w:space="0" w:color="auto" w:frame="1"/>
          <w:shd w:val="clear" w:color="auto" w:fill="FFFFFF"/>
        </w:rPr>
        <w:t xml:space="preserve">the Federal Court has stated is </w:t>
      </w:r>
      <w:r>
        <w:rPr>
          <w:bdr w:val="none" w:sz="0" w:space="0" w:color="auto" w:frame="1"/>
          <w:shd w:val="clear" w:color="auto" w:fill="FFFFFF"/>
        </w:rPr>
        <w:t>inappropriate.</w:t>
      </w:r>
    </w:p>
    <w:p w14:paraId="39A2848B" w14:textId="3854160E" w:rsidR="00DD6209" w:rsidRPr="00DD6209" w:rsidRDefault="00DD6209" w:rsidP="00DD6209">
      <w:pPr>
        <w:ind w:left="720" w:right="1088"/>
        <w:rPr>
          <w:i/>
          <w:iCs/>
          <w:bdr w:val="none" w:sz="0" w:space="0" w:color="auto" w:frame="1"/>
          <w:shd w:val="clear" w:color="auto" w:fill="FFFFFF"/>
        </w:rPr>
      </w:pPr>
      <w:r w:rsidRPr="00DD6209">
        <w:rPr>
          <w:i/>
          <w:iCs/>
          <w:bdr w:val="none" w:sz="0" w:space="0" w:color="auto" w:frame="1"/>
          <w:shd w:val="clear" w:color="auto" w:fill="FFFFFF"/>
        </w:rPr>
        <w:t xml:space="preserve">There is no warrant for an approach </w:t>
      </w:r>
      <w:r>
        <w:rPr>
          <w:i/>
          <w:iCs/>
          <w:bdr w:val="none" w:sz="0" w:space="0" w:color="auto" w:frame="1"/>
          <w:shd w:val="clear" w:color="auto" w:fill="FFFFFF"/>
        </w:rPr>
        <w:t xml:space="preserve">… </w:t>
      </w:r>
      <w:r w:rsidRPr="00DD6209">
        <w:rPr>
          <w:i/>
          <w:iCs/>
          <w:bdr w:val="none" w:sz="0" w:space="0" w:color="auto" w:frame="1"/>
          <w:shd w:val="clear" w:color="auto" w:fill="FFFFFF"/>
        </w:rPr>
        <w:t>which involves lifting other selected terms from a law reform proposal which may have led to the drafting of legislation, but neither accompanied nor was contemporaneous with the legislation as it was put to Parliament.</w:t>
      </w:r>
      <w:r w:rsidR="0069184B">
        <w:rPr>
          <w:rStyle w:val="FootnoteReference"/>
          <w:i/>
          <w:iCs/>
          <w:bdr w:val="none" w:sz="0" w:space="0" w:color="auto" w:frame="1"/>
          <w:shd w:val="clear" w:color="auto" w:fill="FFFFFF"/>
        </w:rPr>
        <w:footnoteReference w:id="9"/>
      </w:r>
    </w:p>
    <w:p w14:paraId="7B98EE37" w14:textId="77777777" w:rsidR="007903B2" w:rsidRPr="007903B2" w:rsidRDefault="007903B2" w:rsidP="007903B2">
      <w:pPr>
        <w:pStyle w:val="Heading2"/>
        <w:rPr>
          <w:bdr w:val="none" w:sz="0" w:space="0" w:color="auto" w:frame="1"/>
          <w:shd w:val="clear" w:color="auto" w:fill="FFFFFF"/>
        </w:rPr>
      </w:pPr>
      <w:r w:rsidRPr="007903B2">
        <w:rPr>
          <w:bdr w:val="none" w:sz="0" w:space="0" w:color="auto" w:frame="1"/>
          <w:shd w:val="clear" w:color="auto" w:fill="FFFFFF"/>
        </w:rPr>
        <w:t>In practice</w:t>
      </w:r>
    </w:p>
    <w:p w14:paraId="34F7B396" w14:textId="77777777" w:rsidR="007903B2" w:rsidRPr="007903B2" w:rsidRDefault="007903B2" w:rsidP="007903B2">
      <w:pPr>
        <w:rPr>
          <w:bdr w:val="none" w:sz="0" w:space="0" w:color="auto" w:frame="1"/>
          <w:shd w:val="clear" w:color="auto" w:fill="FFFFFF"/>
        </w:rPr>
      </w:pPr>
      <w:r w:rsidRPr="007903B2">
        <w:rPr>
          <w:bdr w:val="none" w:sz="0" w:space="0" w:color="auto" w:frame="1"/>
          <w:shd w:val="clear" w:color="auto" w:fill="FFFFFF"/>
        </w:rPr>
        <w:t xml:space="preserve">Despite the Agency’s attempt to justify its narrow application of rule 5.1(b) in this way, when the Agency is challenged at the AAT to correctly apply the s34 reasonable and necessary supports criteria and Supports Rules, in our experience, the Agency eventually concedes – often after prolonged debate, further evidence from medical specialists and allied health professionals to revisit the access criteria and significant investment of our scarce advocacy resources – and approves funding for the previously refused support. </w:t>
      </w:r>
    </w:p>
    <w:p w14:paraId="50466E9E" w14:textId="1DB141DC" w:rsidR="009553AA" w:rsidRPr="00A02091" w:rsidRDefault="007903B2" w:rsidP="007903B2">
      <w:pPr>
        <w:rPr>
          <w:bdr w:val="none" w:sz="0" w:space="0" w:color="auto" w:frame="1"/>
          <w:shd w:val="clear" w:color="auto" w:fill="FFFFFF"/>
        </w:rPr>
      </w:pPr>
      <w:r w:rsidRPr="007903B2">
        <w:rPr>
          <w:bdr w:val="none" w:sz="0" w:space="0" w:color="auto" w:frame="1"/>
          <w:shd w:val="clear" w:color="auto" w:fill="FFFFFF"/>
        </w:rPr>
        <w:t>The Agency is therefore running a process which actively undermines the rights of certain participants to receive the supports they require, forcing them through internal and external review processes, but never lets any of these matters go to decision, or the Federal Court, to test their interpretation.</w:t>
      </w:r>
    </w:p>
    <w:p w14:paraId="73053036" w14:textId="41274316" w:rsidR="0069034B" w:rsidRDefault="0F491922" w:rsidP="00CF0701">
      <w:pPr>
        <w:pStyle w:val="Heading1"/>
        <w:rPr>
          <w:bdr w:val="none" w:sz="0" w:space="0" w:color="auto" w:frame="1"/>
          <w:shd w:val="clear" w:color="auto" w:fill="FFFFFF"/>
        </w:rPr>
      </w:pPr>
      <w:r w:rsidRPr="70058CE9">
        <w:rPr>
          <w:bdr w:val="none" w:sz="0" w:space="0" w:color="auto" w:frame="1"/>
          <w:shd w:val="clear" w:color="auto" w:fill="FFFFFF"/>
        </w:rPr>
        <w:t>THE SOLUTION</w:t>
      </w:r>
      <w:r w:rsidR="6B04BE24" w:rsidRPr="70058CE9">
        <w:rPr>
          <w:bdr w:val="none" w:sz="0" w:space="0" w:color="auto" w:frame="1"/>
          <w:shd w:val="clear" w:color="auto" w:fill="FFFFFF"/>
        </w:rPr>
        <w:t xml:space="preserve"> – A COMMON SENSE APPROACH IS REQUIRED</w:t>
      </w:r>
    </w:p>
    <w:p w14:paraId="366D8DF6" w14:textId="4835E751" w:rsidR="00C44459" w:rsidRPr="00C44459" w:rsidRDefault="00C44459" w:rsidP="00C44459">
      <w:pPr>
        <w:ind w:left="851" w:right="1088"/>
        <w:rPr>
          <w:rFonts w:cstheme="minorHAnsi"/>
          <w:i/>
          <w:color w:val="000000"/>
          <w:szCs w:val="22"/>
          <w:bdr w:val="none" w:sz="0" w:space="0" w:color="auto" w:frame="1"/>
          <w:shd w:val="clear" w:color="auto" w:fill="FFFFFF"/>
        </w:rPr>
      </w:pPr>
      <w:r w:rsidRPr="00C44459">
        <w:rPr>
          <w:rFonts w:cstheme="minorBidi"/>
          <w:i/>
          <w:iCs/>
          <w:color w:val="000000"/>
          <w:bdr w:val="none" w:sz="0" w:space="0" w:color="auto" w:frame="1"/>
          <w:shd w:val="clear" w:color="auto" w:fill="FFFFFF"/>
        </w:rPr>
        <w:t>[Q]</w:t>
      </w:r>
      <w:proofErr w:type="spellStart"/>
      <w:r w:rsidRPr="00C44459">
        <w:rPr>
          <w:rFonts w:cstheme="minorBidi"/>
          <w:i/>
          <w:iCs/>
          <w:color w:val="000000"/>
          <w:bdr w:val="none" w:sz="0" w:space="0" w:color="auto" w:frame="1"/>
          <w:shd w:val="clear" w:color="auto" w:fill="FFFFFF"/>
        </w:rPr>
        <w:t>uestions</w:t>
      </w:r>
      <w:proofErr w:type="spellEnd"/>
      <w:r w:rsidRPr="00C44459">
        <w:rPr>
          <w:rFonts w:cstheme="minorBidi"/>
          <w:i/>
          <w:iCs/>
          <w:color w:val="000000"/>
          <w:bdr w:val="none" w:sz="0" w:space="0" w:color="auto" w:frame="1"/>
          <w:shd w:val="clear" w:color="auto" w:fill="FFFFFF"/>
        </w:rPr>
        <w:t xml:space="preserve"> of the construction and operation of the NDIS Act</w:t>
      </w:r>
      <w:r>
        <w:rPr>
          <w:rFonts w:cstheme="minorBidi"/>
          <w:i/>
          <w:iCs/>
          <w:color w:val="000000"/>
          <w:bdr w:val="none" w:sz="0" w:space="0" w:color="auto" w:frame="1"/>
          <w:shd w:val="clear" w:color="auto" w:fill="FFFFFF"/>
        </w:rPr>
        <w:t xml:space="preserve"> </w:t>
      </w:r>
      <w:r w:rsidRPr="00C44459">
        <w:rPr>
          <w:rFonts w:cstheme="minorBidi"/>
          <w:i/>
          <w:iCs/>
          <w:color w:val="000000"/>
          <w:bdr w:val="none" w:sz="0" w:space="0" w:color="auto" w:frame="1"/>
          <w:shd w:val="clear" w:color="auto" w:fill="FFFFFF"/>
        </w:rPr>
        <w:t>should be approached with a reasonable degree of common sense. The NDIS Act is beneficial and remedial legislation designed to operate in</w:t>
      </w:r>
      <w:r>
        <w:rPr>
          <w:rFonts w:cstheme="minorBidi"/>
          <w:i/>
          <w:iCs/>
          <w:color w:val="000000"/>
          <w:bdr w:val="none" w:sz="0" w:space="0" w:color="auto" w:frame="1"/>
          <w:shd w:val="clear" w:color="auto" w:fill="FFFFFF"/>
        </w:rPr>
        <w:t xml:space="preserve"> </w:t>
      </w:r>
      <w:r w:rsidRPr="00C44459">
        <w:rPr>
          <w:rFonts w:cstheme="minorBidi"/>
          <w:i/>
          <w:iCs/>
          <w:color w:val="000000"/>
          <w:bdr w:val="none" w:sz="0" w:space="0" w:color="auto" w:frame="1"/>
          <w:shd w:val="clear" w:color="auto" w:fill="FFFFFF"/>
        </w:rPr>
        <w:t xml:space="preserve">relatively </w:t>
      </w:r>
      <w:proofErr w:type="gramStart"/>
      <w:r w:rsidRPr="00C44459">
        <w:rPr>
          <w:rFonts w:cstheme="minorBidi"/>
          <w:i/>
          <w:iCs/>
          <w:color w:val="000000"/>
          <w:bdr w:val="none" w:sz="0" w:space="0" w:color="auto" w:frame="1"/>
          <w:shd w:val="clear" w:color="auto" w:fill="FFFFFF"/>
        </w:rPr>
        <w:t>high volume</w:t>
      </w:r>
      <w:proofErr w:type="gramEnd"/>
      <w:r w:rsidRPr="00C44459">
        <w:rPr>
          <w:rFonts w:cstheme="minorBidi"/>
          <w:i/>
          <w:iCs/>
          <w:color w:val="000000"/>
          <w:bdr w:val="none" w:sz="0" w:space="0" w:color="auto" w:frame="1"/>
          <w:shd w:val="clear" w:color="auto" w:fill="FFFFFF"/>
        </w:rPr>
        <w:t xml:space="preserve"> decision-making, in a pragmatic context, and</w:t>
      </w:r>
      <w:r>
        <w:rPr>
          <w:rFonts w:cstheme="minorBidi"/>
          <w:i/>
          <w:iCs/>
          <w:color w:val="000000"/>
          <w:bdr w:val="none" w:sz="0" w:space="0" w:color="auto" w:frame="1"/>
          <w:shd w:val="clear" w:color="auto" w:fill="FFFFFF"/>
        </w:rPr>
        <w:t xml:space="preserve"> </w:t>
      </w:r>
      <w:r w:rsidRPr="00C44459">
        <w:rPr>
          <w:rFonts w:cstheme="minorBidi"/>
          <w:i/>
          <w:iCs/>
          <w:color w:val="000000"/>
          <w:bdr w:val="none" w:sz="0" w:space="0" w:color="auto" w:frame="1"/>
          <w:shd w:val="clear" w:color="auto" w:fill="FFFFFF"/>
        </w:rPr>
        <w:t>in respect of people (and their families and carers) already facing great challenges in their daily lives.</w:t>
      </w:r>
      <w:r>
        <w:rPr>
          <w:rFonts w:cstheme="minorBidi"/>
          <w:i/>
          <w:iCs/>
          <w:color w:val="000000"/>
          <w:bdr w:val="none" w:sz="0" w:space="0" w:color="auto" w:frame="1"/>
          <w:shd w:val="clear" w:color="auto" w:fill="FFFFFF"/>
        </w:rPr>
        <w:t xml:space="preserve"> </w:t>
      </w:r>
      <w:r w:rsidRPr="00C44459">
        <w:rPr>
          <w:rFonts w:cstheme="minorBidi"/>
          <w:i/>
          <w:iCs/>
          <w:color w:val="000000"/>
          <w:bdr w:val="none" w:sz="0" w:space="0" w:color="auto" w:frame="1"/>
          <w:shd w:val="clear" w:color="auto" w:fill="FFFFFF"/>
        </w:rPr>
        <w:t>The</w:t>
      </w:r>
      <w:r>
        <w:rPr>
          <w:rFonts w:cstheme="minorBidi"/>
          <w:i/>
          <w:iCs/>
          <w:color w:val="000000"/>
          <w:bdr w:val="none" w:sz="0" w:space="0" w:color="auto" w:frame="1"/>
          <w:shd w:val="clear" w:color="auto" w:fill="FFFFFF"/>
        </w:rPr>
        <w:t xml:space="preserve"> </w:t>
      </w:r>
      <w:r w:rsidRPr="00C44459">
        <w:rPr>
          <w:rFonts w:cstheme="minorBidi"/>
          <w:i/>
          <w:iCs/>
          <w:color w:val="000000"/>
          <w:bdr w:val="none" w:sz="0" w:space="0" w:color="auto" w:frame="1"/>
          <w:shd w:val="clear" w:color="auto" w:fill="FFFFFF"/>
        </w:rPr>
        <w:t>NDIS</w:t>
      </w:r>
      <w:r>
        <w:rPr>
          <w:rFonts w:cstheme="minorBidi"/>
          <w:i/>
          <w:iCs/>
          <w:color w:val="000000"/>
          <w:bdr w:val="none" w:sz="0" w:space="0" w:color="auto" w:frame="1"/>
          <w:shd w:val="clear" w:color="auto" w:fill="FFFFFF"/>
        </w:rPr>
        <w:t xml:space="preserve"> </w:t>
      </w:r>
      <w:r w:rsidRPr="00C44459">
        <w:rPr>
          <w:rFonts w:cstheme="minorBidi"/>
          <w:i/>
          <w:iCs/>
          <w:color w:val="000000"/>
          <w:bdr w:val="none" w:sz="0" w:space="0" w:color="auto" w:frame="1"/>
          <w:shd w:val="clear" w:color="auto" w:fill="FFFFFF"/>
        </w:rPr>
        <w:t>Act’s</w:t>
      </w:r>
      <w:r>
        <w:rPr>
          <w:rFonts w:cstheme="minorBidi"/>
          <w:i/>
          <w:iCs/>
          <w:color w:val="000000"/>
          <w:bdr w:val="none" w:sz="0" w:space="0" w:color="auto" w:frame="1"/>
          <w:shd w:val="clear" w:color="auto" w:fill="FFFFFF"/>
        </w:rPr>
        <w:t xml:space="preserve"> </w:t>
      </w:r>
      <w:r w:rsidRPr="00C44459">
        <w:rPr>
          <w:rFonts w:cstheme="minorBidi"/>
          <w:i/>
          <w:iCs/>
          <w:color w:val="000000"/>
          <w:bdr w:val="none" w:sz="0" w:space="0" w:color="auto" w:frame="1"/>
          <w:shd w:val="clear" w:color="auto" w:fill="FFFFFF"/>
        </w:rPr>
        <w:t>construction and operation should not be beset</w:t>
      </w:r>
      <w:r>
        <w:rPr>
          <w:rFonts w:cstheme="minorBidi"/>
          <w:i/>
          <w:iCs/>
          <w:color w:val="000000"/>
          <w:bdr w:val="none" w:sz="0" w:space="0" w:color="auto" w:frame="1"/>
          <w:shd w:val="clear" w:color="auto" w:fill="FFFFFF"/>
        </w:rPr>
        <w:t xml:space="preserve"> </w:t>
      </w:r>
      <w:r w:rsidRPr="00C44459">
        <w:rPr>
          <w:rFonts w:cstheme="minorBidi"/>
          <w:i/>
          <w:iCs/>
          <w:color w:val="000000"/>
          <w:bdr w:val="none" w:sz="0" w:space="0" w:color="auto" w:frame="1"/>
          <w:shd w:val="clear" w:color="auto" w:fill="FFFFFF"/>
        </w:rPr>
        <w:t>by parsing, technicalities and distinctions which make the legislative scheme more difficult to comprehend and administer, including for first instance decision-makers and the Tribunal on review.</w:t>
      </w:r>
      <w:r w:rsidRPr="00C44459">
        <w:rPr>
          <w:rFonts w:cstheme="minorBidi"/>
          <w:i/>
          <w:iCs/>
          <w:color w:val="000000"/>
          <w:bdr w:val="none" w:sz="0" w:space="0" w:color="auto" w:frame="1"/>
          <w:shd w:val="clear" w:color="auto" w:fill="FFFFFF"/>
          <w:vertAlign w:val="superscript"/>
        </w:rPr>
        <w:footnoteReference w:id="10"/>
      </w:r>
    </w:p>
    <w:p w14:paraId="485DDE21" w14:textId="3C03DC69" w:rsidR="00371F76" w:rsidRPr="00371F76" w:rsidRDefault="4E689305" w:rsidP="00CF0701">
      <w:pPr>
        <w:rPr>
          <w:color w:val="000000"/>
        </w:rPr>
      </w:pPr>
      <w:r w:rsidRPr="3A8D8421">
        <w:t xml:space="preserve">The </w:t>
      </w:r>
      <w:r w:rsidR="609F72A9" w:rsidRPr="3A8D8421">
        <w:t>Agency’s current approach</w:t>
      </w:r>
      <w:r w:rsidR="1698D953" w:rsidRPr="3A8D8421">
        <w:t xml:space="preserve"> </w:t>
      </w:r>
      <w:r w:rsidRPr="3A8D8421">
        <w:t>fails to understand the complexity of disability</w:t>
      </w:r>
      <w:r w:rsidR="00C44459">
        <w:t xml:space="preserve">, operates outside of the </w:t>
      </w:r>
      <w:r w:rsidRPr="3A8D8421">
        <w:t xml:space="preserve">principles and objectives of the NDIS </w:t>
      </w:r>
      <w:proofErr w:type="gramStart"/>
      <w:r w:rsidRPr="3A8D8421">
        <w:t>Act</w:t>
      </w:r>
      <w:proofErr w:type="gramEnd"/>
      <w:r w:rsidR="00C44459">
        <w:t xml:space="preserve"> and also actively undermines the interpretation of the Federal Court and the AAT.</w:t>
      </w:r>
    </w:p>
    <w:p w14:paraId="44EF03F8" w14:textId="02595AC6" w:rsidR="007B289E" w:rsidRDefault="4E689305" w:rsidP="0022093C">
      <w:r w:rsidRPr="3A8D8421">
        <w:t xml:space="preserve">Once a person becomes a participant, there is no statutory pathway, procedural guidelines, transparent or common-sense reason to ‘reapply’ for access, because the purpose of an access request (to become a participant) would be redundant. The process to reassess a participant’s needs </w:t>
      </w:r>
      <w:r w:rsidRPr="3A8D8421">
        <w:lastRenderedPageBreak/>
        <w:t xml:space="preserve">has been provided for through unscheduled plan reviews triggered under sections 47 and 48 of the NDIS Act </w:t>
      </w:r>
      <w:r w:rsidR="0BEE2355" w:rsidRPr="3A8D8421">
        <w:t>and</w:t>
      </w:r>
      <w:r w:rsidRPr="3A8D8421">
        <w:t xml:space="preserve"> scheduled plan reviews. </w:t>
      </w:r>
    </w:p>
    <w:p w14:paraId="38FC0E42" w14:textId="19449946" w:rsidR="00104D6A" w:rsidRPr="00104D6A" w:rsidRDefault="00104D6A" w:rsidP="0022093C">
      <w:pPr>
        <w:rPr>
          <w:iCs/>
        </w:rPr>
      </w:pPr>
      <w:r w:rsidRPr="00104D6A">
        <w:rPr>
          <w:iCs/>
        </w:rPr>
        <w:t>We agree with the applicant in McLaughlin when she states:</w:t>
      </w:r>
    </w:p>
    <w:p w14:paraId="77B8DA5C" w14:textId="0AEB6CE2" w:rsidR="00104D6A" w:rsidRPr="00D24861" w:rsidRDefault="00104D6A" w:rsidP="00104D6A">
      <w:pPr>
        <w:ind w:left="720" w:right="1088"/>
        <w:rPr>
          <w:i/>
        </w:rPr>
      </w:pPr>
      <w:r>
        <w:rPr>
          <w:i/>
        </w:rPr>
        <w:t xml:space="preserve">I </w:t>
      </w:r>
      <w:r w:rsidRPr="00104D6A">
        <w:rPr>
          <w:i/>
        </w:rPr>
        <w:t>also note that medicine is not advanced enough, and people are too complex, to be able to conclusively attribute specific impairments to specific conditions or causes. Often, in the case of anxiety for example, conditions can be primary disabilities, but they may also be impairments resulting from a separate primary disability. The difficulty in delineating these was evidenced in Doctor Flanagan’s testimony, in which she stated no-one could definitively state what the cause of my cognitive impairment is. This is because CFS contributes to co-morbidities with depression and anxiety – all of which can cause cognitive impairments. These conditions and impairments may also be impacted by obesity, lack of exercise, diabetic management, and sleep apnoea. There is not a clear link between any of the conditions and which disabilities cause which. Attempting to delineate these links leads to false and potentially inaccurate constructions. Inaccuracy is particularly likely where these links are being drawn by lawyers with no medical training, against the advice of doctors who themselves state that definitive links cannot be drawn.</w:t>
      </w:r>
      <w:r>
        <w:rPr>
          <w:rStyle w:val="FootnoteReference"/>
          <w:i/>
        </w:rPr>
        <w:footnoteReference w:id="11"/>
      </w:r>
    </w:p>
    <w:p w14:paraId="20781FE1" w14:textId="7382F762" w:rsidR="007B289E" w:rsidRPr="004E3C8E" w:rsidRDefault="4E689305" w:rsidP="0022093C">
      <w:r>
        <w:t xml:space="preserve">It would also become prohibitive for participants with degenerative conditions, or those who develop multiple co-morbidities or conditions, to go back through the access process for each new ‘impairment’. Similarly, for people who become participants at a young age </w:t>
      </w:r>
      <w:r w:rsidR="00104D6A">
        <w:t>w</w:t>
      </w:r>
      <w:r>
        <w:t xml:space="preserve">ould require multiple access requests as their condition evolves with age and progression.  </w:t>
      </w:r>
    </w:p>
    <w:p w14:paraId="4FC5699A" w14:textId="389DE271" w:rsidR="00A73294" w:rsidRDefault="4E689305" w:rsidP="0022093C">
      <w:r>
        <w:t xml:space="preserve">For participants with complex and interrelated conditions, it can often be the interaction of so-called individual conditions that give rise to a general functional physical or sensory impairment. A support sought might relate to several impairments simultaneously, and it may be impossible to dissect or apportion which part of a support relates to which impairment. </w:t>
      </w:r>
    </w:p>
    <w:p w14:paraId="061A00F5" w14:textId="5B0A5108" w:rsidR="0066356B" w:rsidRDefault="007479FD" w:rsidP="0022093C">
      <w:r w:rsidRPr="007479FD">
        <w:t xml:space="preserve">Where a participant has both physical and psychosocial impairments, the task would then become a difficult process of attempting to apportion what level of the support worker assistance would be funded depending on which impairment the person had relied </w:t>
      </w:r>
      <w:r w:rsidR="0066356B">
        <w:t xml:space="preserve">upon </w:t>
      </w:r>
      <w:r w:rsidRPr="007479FD">
        <w:t xml:space="preserve">to gain access to the scheme with and what the resulting functional need/s was. </w:t>
      </w:r>
    </w:p>
    <w:p w14:paraId="680FFB2C" w14:textId="0A735895" w:rsidR="007B289E" w:rsidRPr="004E3C8E" w:rsidRDefault="4E689305" w:rsidP="0022093C">
      <w:r>
        <w:t xml:space="preserve">It would become a totally unworkable and impractical process. That cannot have been the intention of the Parliament. </w:t>
      </w:r>
    </w:p>
    <w:p w14:paraId="4823A817" w14:textId="6F1D4BF2" w:rsidR="007B289E" w:rsidRPr="004E3C8E" w:rsidRDefault="64A67C38" w:rsidP="0022093C">
      <w:r>
        <w:t>Participants</w:t>
      </w:r>
      <w:r w:rsidR="4E689305">
        <w:t xml:space="preserve"> should be considered </w:t>
      </w:r>
      <w:r w:rsidR="083195E4">
        <w:t>as a whole,</w:t>
      </w:r>
      <w:r w:rsidR="4E689305">
        <w:t xml:space="preserve"> and the</w:t>
      </w:r>
      <w:r>
        <w:t>ir</w:t>
      </w:r>
      <w:r w:rsidR="4E689305">
        <w:t xml:space="preserve"> support needs must be determined based on the overall effect of </w:t>
      </w:r>
      <w:r>
        <w:t>their</w:t>
      </w:r>
      <w:r w:rsidR="4E689305">
        <w:t xml:space="preserve"> impairments, not just the impairments for which </w:t>
      </w:r>
      <w:r>
        <w:t>they</w:t>
      </w:r>
      <w:r w:rsidR="4E689305">
        <w:t xml:space="preserve"> gained access.  </w:t>
      </w:r>
    </w:p>
    <w:p w14:paraId="47572F31" w14:textId="4B486859" w:rsidR="00E94F5C" w:rsidRDefault="00104D6A" w:rsidP="00104D6A">
      <w:pPr>
        <w:pStyle w:val="Heading1"/>
      </w:pPr>
      <w:r>
        <w:t>RECOMMENDATIONS</w:t>
      </w:r>
    </w:p>
    <w:p w14:paraId="33D80117" w14:textId="1E3DF1EC" w:rsidR="00104D6A" w:rsidRDefault="00104D6A" w:rsidP="00452146">
      <w:pPr>
        <w:pStyle w:val="ListParagraph"/>
        <w:numPr>
          <w:ilvl w:val="0"/>
          <w:numId w:val="28"/>
        </w:numPr>
        <w:spacing w:after="120"/>
        <w:ind w:left="357" w:hanging="357"/>
        <w:contextualSpacing w:val="0"/>
      </w:pPr>
      <w:r>
        <w:t>Follow the law.  Amend the Operational Guidelines so they comply with the legislation, case law, and intent of parliament.</w:t>
      </w:r>
    </w:p>
    <w:p w14:paraId="4976A5DA" w14:textId="41D63973" w:rsidR="00104D6A" w:rsidRDefault="00104D6A" w:rsidP="00452146">
      <w:pPr>
        <w:pStyle w:val="ListParagraph"/>
        <w:numPr>
          <w:ilvl w:val="0"/>
          <w:numId w:val="28"/>
        </w:numPr>
        <w:spacing w:after="120"/>
        <w:ind w:left="357" w:hanging="357"/>
        <w:contextualSpacing w:val="0"/>
      </w:pPr>
      <w:r>
        <w:t>Train NDIA staff and LACs to follow the law.  The practice is so entrenched at this stage that it will not change without retraining all staff.</w:t>
      </w:r>
    </w:p>
    <w:p w14:paraId="5266C991" w14:textId="105B50F1" w:rsidR="00104D6A" w:rsidRPr="00104D6A" w:rsidRDefault="00104D6A" w:rsidP="00452146">
      <w:pPr>
        <w:pStyle w:val="ListParagraph"/>
        <w:numPr>
          <w:ilvl w:val="0"/>
          <w:numId w:val="28"/>
        </w:numPr>
        <w:spacing w:after="120"/>
        <w:ind w:left="357" w:hanging="357"/>
        <w:contextualSpacing w:val="0"/>
      </w:pPr>
      <w:r>
        <w:lastRenderedPageBreak/>
        <w:t xml:space="preserve">Apply best practice in relation to the law as it is interpreted.  We refer to the </w:t>
      </w:r>
      <w:r w:rsidR="00452146">
        <w:t>Australian Taxation Office online materials</w:t>
      </w:r>
      <w:r w:rsidR="00452146">
        <w:rPr>
          <w:rStyle w:val="FootnoteReference"/>
        </w:rPr>
        <w:footnoteReference w:id="12"/>
      </w:r>
      <w:r w:rsidR="00452146">
        <w:t xml:space="preserve"> which are regularly updated when the law is clarified by a Court or Tribunal.</w:t>
      </w:r>
    </w:p>
    <w:p w14:paraId="70A48922" w14:textId="77777777" w:rsidR="00FD3EEF" w:rsidRDefault="00FD3EEF" w:rsidP="0035614E">
      <w:pPr>
        <w:spacing w:before="100" w:beforeAutospacing="1"/>
        <w:ind w:left="360"/>
        <w:rPr>
          <w:rFonts w:eastAsia="Times New Roman"/>
        </w:rPr>
        <w:sectPr w:rsidR="00FD3EEF" w:rsidSect="000D4518">
          <w:headerReference w:type="default" r:id="rId12"/>
          <w:footerReference w:type="default" r:id="rId13"/>
          <w:headerReference w:type="first" r:id="rId14"/>
          <w:pgSz w:w="11906" w:h="16838"/>
          <w:pgMar w:top="1440" w:right="1440" w:bottom="1440" w:left="1440" w:header="708" w:footer="708" w:gutter="0"/>
          <w:cols w:space="708"/>
          <w:titlePg/>
          <w:docGrid w:linePitch="360"/>
        </w:sectPr>
      </w:pPr>
    </w:p>
    <w:p w14:paraId="732DDC47" w14:textId="7F06C149" w:rsidR="00FD3EEF" w:rsidRPr="005A030B" w:rsidRDefault="00FD3EEF" w:rsidP="003A0362">
      <w:pPr>
        <w:pStyle w:val="Heading1"/>
      </w:pPr>
      <w:r>
        <w:lastRenderedPageBreak/>
        <w:t xml:space="preserve">ANNEXURE A:  </w:t>
      </w:r>
      <w:r w:rsidRPr="70058CE9">
        <w:t>THE LAW – LEGISLAT</w:t>
      </w:r>
      <w:r w:rsidR="002157DB">
        <w:t xml:space="preserve">ION </w:t>
      </w:r>
      <w:r w:rsidRPr="70058CE9">
        <w:t>AND CASE LAW</w:t>
      </w:r>
    </w:p>
    <w:p w14:paraId="4168849B" w14:textId="4EE0BB2A" w:rsidR="00FD3EEF" w:rsidRDefault="00FD3EEF" w:rsidP="003A0362">
      <w:pPr>
        <w:pStyle w:val="Heading1"/>
      </w:pPr>
      <w:r w:rsidRPr="70058CE9">
        <w:t>The Legislation</w:t>
      </w:r>
    </w:p>
    <w:p w14:paraId="7EDF56D1" w14:textId="37258898" w:rsidR="00996801" w:rsidRPr="00996801" w:rsidRDefault="00996801" w:rsidP="0035614E">
      <w:pPr>
        <w:jc w:val="both"/>
        <w:rPr>
          <w:rFonts w:cstheme="minorHAnsi"/>
          <w:i/>
          <w:iCs/>
          <w:szCs w:val="22"/>
        </w:rPr>
      </w:pPr>
      <w:r w:rsidRPr="00996801">
        <w:rPr>
          <w:rFonts w:cstheme="minorHAnsi"/>
          <w:b/>
          <w:bCs/>
          <w:i/>
          <w:iCs/>
        </w:rPr>
        <w:t>The Access decision</w:t>
      </w:r>
    </w:p>
    <w:p w14:paraId="16FC5AF9" w14:textId="3BEEEDCD" w:rsidR="00FD3EEF" w:rsidRPr="004E3C8E" w:rsidRDefault="15E81EE4" w:rsidP="0022093C">
      <w:r w:rsidRPr="0F4D0BEE">
        <w:t>When a person makes an ‘access request’, the CEO must decide whether the ‘prospective participant’ meets the ‘access criteria’.</w:t>
      </w:r>
      <w:r w:rsidR="00FD3EEF" w:rsidRPr="0F4D0BEE">
        <w:rPr>
          <w:rStyle w:val="FootnoteReference"/>
          <w:color w:val="000000" w:themeColor="text1"/>
        </w:rPr>
        <w:footnoteReference w:id="13"/>
      </w:r>
      <w:r w:rsidRPr="0F4D0BEE">
        <w:t xml:space="preserve"> Under subsection 21(1) a person meets the access criteria if:</w:t>
      </w:r>
    </w:p>
    <w:p w14:paraId="6A3AB123" w14:textId="38CD7845" w:rsidR="00FD3EEF" w:rsidRPr="007E095B" w:rsidRDefault="00FD3EEF" w:rsidP="0035614E">
      <w:pPr>
        <w:pStyle w:val="paragraph"/>
        <w:shd w:val="clear" w:color="auto" w:fill="FFFFFF"/>
        <w:spacing w:before="120" w:beforeAutospacing="0" w:after="120" w:afterAutospacing="0"/>
        <w:ind w:left="851"/>
        <w:jc w:val="both"/>
        <w:rPr>
          <w:rFonts w:asciiTheme="minorHAnsi" w:hAnsiTheme="minorHAnsi" w:cstheme="minorHAnsi"/>
          <w:i/>
          <w:color w:val="000000"/>
          <w:sz w:val="22"/>
          <w:szCs w:val="22"/>
        </w:rPr>
      </w:pPr>
      <w:r w:rsidRPr="007E095B">
        <w:rPr>
          <w:rFonts w:asciiTheme="minorHAnsi" w:hAnsiTheme="minorHAnsi" w:cstheme="minorHAnsi"/>
          <w:i/>
          <w:color w:val="000000"/>
          <w:sz w:val="22"/>
          <w:szCs w:val="22"/>
        </w:rPr>
        <w:t>(a)</w:t>
      </w:r>
      <w:r w:rsidR="00EF79C5">
        <w:rPr>
          <w:rFonts w:asciiTheme="minorHAnsi" w:hAnsiTheme="minorHAnsi" w:cstheme="minorHAnsi"/>
          <w:i/>
          <w:color w:val="000000"/>
          <w:sz w:val="22"/>
          <w:szCs w:val="22"/>
        </w:rPr>
        <w:tab/>
      </w:r>
      <w:r w:rsidRPr="007E095B">
        <w:rPr>
          <w:rFonts w:asciiTheme="minorHAnsi" w:hAnsiTheme="minorHAnsi" w:cstheme="minorHAnsi"/>
          <w:i/>
          <w:color w:val="000000"/>
          <w:sz w:val="22"/>
          <w:szCs w:val="22"/>
        </w:rPr>
        <w:t xml:space="preserve"> the CEO is satisfied that the person meets the age requirements (see section 22); and</w:t>
      </w:r>
    </w:p>
    <w:p w14:paraId="68AA6BC5" w14:textId="32E72926" w:rsidR="00FD3EEF" w:rsidRPr="007E095B" w:rsidRDefault="00FD3EEF" w:rsidP="00EF79C5">
      <w:pPr>
        <w:pStyle w:val="paragraph"/>
        <w:shd w:val="clear" w:color="auto" w:fill="FFFFFF"/>
        <w:spacing w:before="120" w:beforeAutospacing="0" w:after="120" w:afterAutospacing="0"/>
        <w:ind w:left="1440" w:hanging="589"/>
        <w:jc w:val="both"/>
        <w:rPr>
          <w:rFonts w:asciiTheme="minorHAnsi" w:hAnsiTheme="minorHAnsi" w:cstheme="minorHAnsi"/>
          <w:i/>
          <w:color w:val="000000"/>
          <w:sz w:val="22"/>
          <w:szCs w:val="22"/>
        </w:rPr>
      </w:pPr>
      <w:r w:rsidRPr="007E095B">
        <w:rPr>
          <w:rFonts w:asciiTheme="minorHAnsi" w:hAnsiTheme="minorHAnsi" w:cstheme="minorHAnsi"/>
          <w:i/>
          <w:color w:val="000000"/>
          <w:sz w:val="22"/>
          <w:szCs w:val="22"/>
        </w:rPr>
        <w:t>(b)</w:t>
      </w:r>
      <w:r w:rsidR="00EF79C5">
        <w:rPr>
          <w:rFonts w:asciiTheme="minorHAnsi" w:hAnsiTheme="minorHAnsi" w:cstheme="minorHAnsi"/>
          <w:i/>
          <w:color w:val="000000"/>
          <w:sz w:val="22"/>
          <w:szCs w:val="22"/>
        </w:rPr>
        <w:tab/>
      </w:r>
      <w:r w:rsidRPr="007E095B">
        <w:rPr>
          <w:rFonts w:asciiTheme="minorHAnsi" w:hAnsiTheme="minorHAnsi" w:cstheme="minorHAnsi"/>
          <w:i/>
          <w:color w:val="000000"/>
          <w:sz w:val="22"/>
          <w:szCs w:val="22"/>
        </w:rPr>
        <w:t xml:space="preserve"> the CEO is satisfied that, at the time of considering the request, the person meets the residence requirements (see section 23); and</w:t>
      </w:r>
    </w:p>
    <w:p w14:paraId="6CF55F85" w14:textId="6884C468" w:rsidR="00FD3EEF" w:rsidRPr="007E095B" w:rsidRDefault="00FD3EEF" w:rsidP="0035614E">
      <w:pPr>
        <w:pStyle w:val="paragraph"/>
        <w:shd w:val="clear" w:color="auto" w:fill="FFFFFF"/>
        <w:spacing w:before="120" w:beforeAutospacing="0" w:after="120" w:afterAutospacing="0"/>
        <w:ind w:left="851"/>
        <w:jc w:val="both"/>
        <w:rPr>
          <w:rFonts w:asciiTheme="minorHAnsi" w:hAnsiTheme="minorHAnsi" w:cstheme="minorHAnsi"/>
          <w:i/>
          <w:color w:val="000000"/>
          <w:sz w:val="22"/>
          <w:szCs w:val="22"/>
        </w:rPr>
      </w:pPr>
      <w:r w:rsidRPr="007E095B">
        <w:rPr>
          <w:rFonts w:asciiTheme="minorHAnsi" w:hAnsiTheme="minorHAnsi" w:cstheme="minorHAnsi"/>
          <w:i/>
          <w:color w:val="000000"/>
          <w:sz w:val="22"/>
          <w:szCs w:val="22"/>
        </w:rPr>
        <w:t>(c)</w:t>
      </w:r>
      <w:r w:rsidR="00EF79C5">
        <w:rPr>
          <w:rFonts w:asciiTheme="minorHAnsi" w:hAnsiTheme="minorHAnsi" w:cstheme="minorHAnsi"/>
          <w:i/>
          <w:color w:val="000000"/>
          <w:sz w:val="22"/>
          <w:szCs w:val="22"/>
        </w:rPr>
        <w:tab/>
      </w:r>
      <w:r w:rsidRPr="007E095B">
        <w:rPr>
          <w:rFonts w:asciiTheme="minorHAnsi" w:hAnsiTheme="minorHAnsi" w:cstheme="minorHAnsi"/>
          <w:i/>
          <w:color w:val="000000"/>
          <w:sz w:val="22"/>
          <w:szCs w:val="22"/>
        </w:rPr>
        <w:t xml:space="preserve"> the CEO is satisfied that,</w:t>
      </w:r>
      <w:r w:rsidRPr="007E095B">
        <w:rPr>
          <w:rFonts w:asciiTheme="minorHAnsi" w:hAnsiTheme="minorHAnsi" w:cstheme="minorHAnsi"/>
          <w:i/>
          <w:color w:val="000000"/>
          <w:sz w:val="22"/>
          <w:szCs w:val="22"/>
          <w:u w:val="single"/>
        </w:rPr>
        <w:t xml:space="preserve"> at the time of considering the request</w:t>
      </w:r>
      <w:r w:rsidRPr="007E095B">
        <w:rPr>
          <w:rFonts w:asciiTheme="minorHAnsi" w:hAnsiTheme="minorHAnsi" w:cstheme="minorHAnsi"/>
          <w:i/>
          <w:color w:val="000000"/>
          <w:sz w:val="22"/>
          <w:szCs w:val="22"/>
        </w:rPr>
        <w:t>:</w:t>
      </w:r>
    </w:p>
    <w:p w14:paraId="1C5E744B" w14:textId="7F940908" w:rsidR="00FD3EEF" w:rsidRPr="007E095B" w:rsidRDefault="00FD3EEF" w:rsidP="00EF79C5">
      <w:pPr>
        <w:pStyle w:val="paragraphsub"/>
        <w:shd w:val="clear" w:color="auto" w:fill="FFFFFF" w:themeFill="background1"/>
        <w:spacing w:before="120" w:beforeAutospacing="0" w:after="120" w:afterAutospacing="0"/>
        <w:ind w:left="1440"/>
        <w:jc w:val="both"/>
        <w:rPr>
          <w:rFonts w:asciiTheme="minorHAnsi" w:hAnsiTheme="minorHAnsi" w:cstheme="minorBidi"/>
          <w:i/>
          <w:color w:val="000000"/>
          <w:sz w:val="22"/>
          <w:szCs w:val="22"/>
        </w:rPr>
      </w:pPr>
      <w:r w:rsidRPr="0F4D0BEE">
        <w:rPr>
          <w:rFonts w:asciiTheme="minorHAnsi" w:hAnsiTheme="minorHAnsi" w:cstheme="minorBidi"/>
          <w:i/>
          <w:color w:val="000000" w:themeColor="text1"/>
          <w:sz w:val="22"/>
          <w:szCs w:val="22"/>
        </w:rPr>
        <w:t>(i) </w:t>
      </w:r>
      <w:r w:rsidR="00EF79C5">
        <w:rPr>
          <w:rFonts w:asciiTheme="minorHAnsi" w:hAnsiTheme="minorHAnsi" w:cstheme="minorBidi"/>
          <w:i/>
          <w:color w:val="000000" w:themeColor="text1"/>
          <w:sz w:val="22"/>
          <w:szCs w:val="22"/>
        </w:rPr>
        <w:tab/>
      </w:r>
      <w:r w:rsidRPr="0F4D0BEE">
        <w:rPr>
          <w:rFonts w:asciiTheme="minorHAnsi" w:hAnsiTheme="minorHAnsi" w:cstheme="minorBidi"/>
          <w:i/>
          <w:color w:val="000000" w:themeColor="text1"/>
          <w:sz w:val="22"/>
          <w:szCs w:val="22"/>
          <w:u w:val="single"/>
        </w:rPr>
        <w:t>the person meets the disability requirements (see section 24</w:t>
      </w:r>
      <w:r w:rsidRPr="0F4D0BEE">
        <w:rPr>
          <w:rFonts w:asciiTheme="minorHAnsi" w:hAnsiTheme="minorHAnsi" w:cstheme="minorBidi"/>
          <w:i/>
          <w:iCs/>
          <w:color w:val="000000" w:themeColor="text1"/>
          <w:sz w:val="22"/>
          <w:szCs w:val="22"/>
          <w:u w:val="single"/>
        </w:rPr>
        <w:t>;</w:t>
      </w:r>
      <w:r w:rsidRPr="0F4D0BEE">
        <w:rPr>
          <w:rFonts w:asciiTheme="minorHAnsi" w:hAnsiTheme="minorHAnsi" w:cstheme="minorBidi"/>
          <w:i/>
          <w:color w:val="000000" w:themeColor="text1"/>
          <w:sz w:val="22"/>
          <w:szCs w:val="22"/>
        </w:rPr>
        <w:t xml:space="preserve"> or</w:t>
      </w:r>
    </w:p>
    <w:p w14:paraId="6EA02833" w14:textId="36F3A432" w:rsidR="00FD3EEF" w:rsidRPr="007E095B" w:rsidRDefault="00FD3EEF" w:rsidP="00EF79C5">
      <w:pPr>
        <w:pStyle w:val="paragraphsub"/>
        <w:shd w:val="clear" w:color="auto" w:fill="FFFFFF"/>
        <w:spacing w:before="120" w:beforeAutospacing="0" w:after="120" w:afterAutospacing="0"/>
        <w:ind w:left="1440"/>
        <w:jc w:val="both"/>
        <w:rPr>
          <w:rFonts w:asciiTheme="minorHAnsi" w:hAnsiTheme="minorHAnsi" w:cstheme="minorHAnsi"/>
          <w:i/>
          <w:color w:val="000000"/>
          <w:sz w:val="22"/>
          <w:szCs w:val="22"/>
        </w:rPr>
      </w:pPr>
      <w:r w:rsidRPr="007E095B">
        <w:rPr>
          <w:rFonts w:asciiTheme="minorHAnsi" w:hAnsiTheme="minorHAnsi" w:cstheme="minorHAnsi"/>
          <w:i/>
          <w:color w:val="000000"/>
          <w:sz w:val="22"/>
          <w:szCs w:val="22"/>
        </w:rPr>
        <w:t>(ii) </w:t>
      </w:r>
      <w:r w:rsidR="00EF79C5">
        <w:rPr>
          <w:rFonts w:asciiTheme="minorHAnsi" w:hAnsiTheme="minorHAnsi" w:cstheme="minorHAnsi"/>
          <w:i/>
          <w:color w:val="000000"/>
          <w:sz w:val="22"/>
          <w:szCs w:val="22"/>
        </w:rPr>
        <w:tab/>
      </w:r>
      <w:r w:rsidRPr="007E095B">
        <w:rPr>
          <w:rFonts w:asciiTheme="minorHAnsi" w:hAnsiTheme="minorHAnsi" w:cstheme="minorHAnsi"/>
          <w:i/>
          <w:color w:val="000000"/>
          <w:sz w:val="22"/>
          <w:szCs w:val="22"/>
        </w:rPr>
        <w:t>the person meets the early intervention requirements (see section 25).</w:t>
      </w:r>
    </w:p>
    <w:p w14:paraId="11332D42" w14:textId="7D2F3A14" w:rsidR="00FD3EEF" w:rsidRPr="004E3C8E" w:rsidRDefault="15E81EE4" w:rsidP="0022093C">
      <w:r w:rsidRPr="3A8D8421">
        <w:t xml:space="preserve">Section 24 of the NDIS Act sets out the disability requirements in these terms: </w:t>
      </w:r>
    </w:p>
    <w:p w14:paraId="735BF2D9" w14:textId="7C248D92" w:rsidR="00FD3EEF" w:rsidRPr="003E6891" w:rsidRDefault="00FD3EEF" w:rsidP="0035614E">
      <w:pPr>
        <w:shd w:val="clear" w:color="auto" w:fill="FFFFFF"/>
        <w:ind w:left="851"/>
        <w:jc w:val="both"/>
        <w:rPr>
          <w:rFonts w:cstheme="minorHAnsi"/>
          <w:i/>
          <w:iCs/>
          <w:color w:val="000000"/>
          <w:szCs w:val="22"/>
        </w:rPr>
      </w:pPr>
      <w:r w:rsidRPr="003E6891">
        <w:rPr>
          <w:rFonts w:cstheme="minorHAnsi"/>
          <w:i/>
          <w:iCs/>
          <w:color w:val="000000"/>
          <w:szCs w:val="22"/>
        </w:rPr>
        <w:t>(1)</w:t>
      </w:r>
      <w:r w:rsidR="00EF79C5">
        <w:rPr>
          <w:rFonts w:cstheme="minorHAnsi"/>
          <w:i/>
          <w:iCs/>
          <w:color w:val="000000"/>
          <w:szCs w:val="22"/>
        </w:rPr>
        <w:tab/>
      </w:r>
      <w:r w:rsidRPr="003E6891">
        <w:rPr>
          <w:rFonts w:cstheme="minorHAnsi"/>
          <w:i/>
          <w:iCs/>
          <w:color w:val="000000"/>
          <w:szCs w:val="22"/>
        </w:rPr>
        <w:t xml:space="preserve"> A person </w:t>
      </w:r>
      <w:r w:rsidRPr="003E6891">
        <w:rPr>
          <w:rFonts w:cstheme="minorHAnsi"/>
          <w:b/>
          <w:bCs/>
          <w:i/>
          <w:iCs/>
          <w:color w:val="000000"/>
          <w:szCs w:val="22"/>
        </w:rPr>
        <w:t>meets the disability requirements</w:t>
      </w:r>
      <w:r w:rsidRPr="003E6891">
        <w:rPr>
          <w:rFonts w:cstheme="minorHAnsi"/>
          <w:i/>
          <w:iCs/>
          <w:color w:val="000000"/>
          <w:szCs w:val="22"/>
        </w:rPr>
        <w:t> if:</w:t>
      </w:r>
    </w:p>
    <w:p w14:paraId="2A7C9434" w14:textId="77777777" w:rsidR="00EF79C5" w:rsidRDefault="00FD3EEF" w:rsidP="00EF79C5">
      <w:pPr>
        <w:shd w:val="clear" w:color="auto" w:fill="FFFFFF"/>
        <w:ind w:left="2029" w:hanging="589"/>
        <w:jc w:val="both"/>
        <w:rPr>
          <w:rFonts w:cstheme="minorHAnsi"/>
          <w:i/>
          <w:iCs/>
          <w:color w:val="000000"/>
          <w:szCs w:val="22"/>
        </w:rPr>
      </w:pPr>
      <w:r w:rsidRPr="003E6891">
        <w:rPr>
          <w:rFonts w:cstheme="minorHAnsi"/>
          <w:i/>
          <w:iCs/>
          <w:color w:val="000000"/>
          <w:szCs w:val="22"/>
        </w:rPr>
        <w:t>(a)</w:t>
      </w:r>
      <w:r w:rsidR="00EF79C5">
        <w:rPr>
          <w:rFonts w:cstheme="minorHAnsi"/>
          <w:i/>
          <w:iCs/>
          <w:color w:val="000000"/>
          <w:szCs w:val="22"/>
        </w:rPr>
        <w:tab/>
      </w:r>
      <w:r w:rsidRPr="003E6891">
        <w:rPr>
          <w:rFonts w:cstheme="minorHAnsi"/>
          <w:i/>
          <w:iCs/>
          <w:color w:val="000000"/>
          <w:szCs w:val="22"/>
        </w:rPr>
        <w:t xml:space="preserve">the person has a disability that is attributable to one or more intellectual, cognitive, neurological, </w:t>
      </w:r>
      <w:proofErr w:type="gramStart"/>
      <w:r w:rsidRPr="003E6891">
        <w:rPr>
          <w:rFonts w:cstheme="minorHAnsi"/>
          <w:i/>
          <w:iCs/>
          <w:color w:val="000000"/>
          <w:szCs w:val="22"/>
        </w:rPr>
        <w:t>sensory</w:t>
      </w:r>
      <w:proofErr w:type="gramEnd"/>
      <w:r w:rsidRPr="003E6891">
        <w:rPr>
          <w:rFonts w:cstheme="minorHAnsi"/>
          <w:i/>
          <w:iCs/>
          <w:color w:val="000000"/>
          <w:szCs w:val="22"/>
        </w:rPr>
        <w:t xml:space="preserve"> or physical impairments or to one or more impairments attributable to a psychiatric condition; and</w:t>
      </w:r>
    </w:p>
    <w:p w14:paraId="7A58BE1A" w14:textId="77777777" w:rsidR="00EF79C5" w:rsidRDefault="00FD3EEF" w:rsidP="00EF79C5">
      <w:pPr>
        <w:shd w:val="clear" w:color="auto" w:fill="FFFFFF"/>
        <w:ind w:left="2029" w:hanging="589"/>
        <w:jc w:val="both"/>
        <w:rPr>
          <w:rFonts w:cstheme="minorHAnsi"/>
          <w:i/>
          <w:iCs/>
          <w:color w:val="000000"/>
          <w:szCs w:val="22"/>
        </w:rPr>
      </w:pPr>
      <w:r w:rsidRPr="003E6891">
        <w:rPr>
          <w:rFonts w:cstheme="minorHAnsi"/>
          <w:i/>
          <w:iCs/>
          <w:color w:val="000000"/>
          <w:szCs w:val="22"/>
        </w:rPr>
        <w:t>(b)</w:t>
      </w:r>
      <w:r w:rsidR="00EF79C5">
        <w:rPr>
          <w:rFonts w:cstheme="minorHAnsi"/>
          <w:i/>
          <w:iCs/>
          <w:color w:val="000000"/>
          <w:szCs w:val="22"/>
        </w:rPr>
        <w:tab/>
      </w:r>
      <w:r w:rsidRPr="003E6891">
        <w:rPr>
          <w:rFonts w:cstheme="minorHAnsi"/>
          <w:i/>
          <w:iCs/>
          <w:color w:val="000000"/>
          <w:szCs w:val="22"/>
        </w:rPr>
        <w:t xml:space="preserve"> the impairment or impairments are, or are likely to be, permanent; and</w:t>
      </w:r>
    </w:p>
    <w:p w14:paraId="73FF5418" w14:textId="48EC4908" w:rsidR="00FD3EEF" w:rsidRPr="003E6891" w:rsidRDefault="00FD3EEF" w:rsidP="00EF79C5">
      <w:pPr>
        <w:shd w:val="clear" w:color="auto" w:fill="FFFFFF"/>
        <w:ind w:left="2029" w:hanging="589"/>
        <w:jc w:val="both"/>
        <w:rPr>
          <w:rFonts w:cstheme="minorHAnsi"/>
          <w:i/>
          <w:iCs/>
          <w:color w:val="000000"/>
          <w:szCs w:val="22"/>
        </w:rPr>
      </w:pPr>
      <w:r w:rsidRPr="003E6891">
        <w:rPr>
          <w:rFonts w:cstheme="minorHAnsi"/>
          <w:i/>
          <w:iCs/>
          <w:color w:val="000000"/>
          <w:szCs w:val="22"/>
        </w:rPr>
        <w:t>(c)</w:t>
      </w:r>
      <w:r w:rsidR="00EF79C5">
        <w:rPr>
          <w:rFonts w:cstheme="minorHAnsi"/>
          <w:i/>
          <w:iCs/>
          <w:color w:val="000000"/>
          <w:szCs w:val="22"/>
        </w:rPr>
        <w:tab/>
      </w:r>
      <w:r w:rsidRPr="003E6891">
        <w:rPr>
          <w:rFonts w:cstheme="minorHAnsi"/>
          <w:i/>
          <w:iCs/>
          <w:color w:val="000000"/>
          <w:szCs w:val="22"/>
        </w:rPr>
        <w:t xml:space="preserve"> the impairment or impairments result in substantially reduced functional capacity to undertake, or psychosocial functioning in undertaking, one or more of the following activities:</w:t>
      </w:r>
    </w:p>
    <w:p w14:paraId="7125B38A" w14:textId="77777777" w:rsidR="00EF79C5" w:rsidRDefault="00FD3EEF" w:rsidP="00EF79C5">
      <w:pPr>
        <w:shd w:val="clear" w:color="auto" w:fill="FFFFFF"/>
        <w:ind w:left="2029"/>
        <w:jc w:val="both"/>
        <w:rPr>
          <w:rFonts w:cstheme="minorHAnsi"/>
          <w:i/>
          <w:iCs/>
          <w:color w:val="000000"/>
          <w:szCs w:val="22"/>
        </w:rPr>
      </w:pPr>
      <w:r w:rsidRPr="003E6891">
        <w:rPr>
          <w:rFonts w:cstheme="minorHAnsi"/>
          <w:i/>
          <w:iCs/>
          <w:color w:val="000000"/>
          <w:szCs w:val="22"/>
        </w:rPr>
        <w:t>(i)</w:t>
      </w:r>
      <w:r w:rsidR="00EF79C5">
        <w:rPr>
          <w:rFonts w:cstheme="minorHAnsi"/>
          <w:i/>
          <w:iCs/>
          <w:color w:val="000000"/>
          <w:szCs w:val="22"/>
        </w:rPr>
        <w:tab/>
      </w:r>
      <w:r w:rsidRPr="003E6891">
        <w:rPr>
          <w:rFonts w:cstheme="minorHAnsi"/>
          <w:i/>
          <w:iCs/>
          <w:color w:val="000000"/>
          <w:szCs w:val="22"/>
        </w:rPr>
        <w:t>communication;</w:t>
      </w:r>
    </w:p>
    <w:p w14:paraId="572032F6" w14:textId="77777777" w:rsidR="00EF79C5" w:rsidRDefault="00FD3EEF" w:rsidP="00EF79C5">
      <w:pPr>
        <w:shd w:val="clear" w:color="auto" w:fill="FFFFFF"/>
        <w:ind w:left="2029"/>
        <w:jc w:val="both"/>
        <w:rPr>
          <w:rFonts w:cstheme="minorHAnsi"/>
          <w:i/>
          <w:iCs/>
          <w:color w:val="000000"/>
          <w:szCs w:val="22"/>
        </w:rPr>
      </w:pPr>
      <w:r w:rsidRPr="003E6891">
        <w:rPr>
          <w:rFonts w:cstheme="minorHAnsi"/>
          <w:i/>
          <w:iCs/>
          <w:color w:val="000000"/>
          <w:szCs w:val="22"/>
        </w:rPr>
        <w:t>(ii)</w:t>
      </w:r>
      <w:r w:rsidR="00EF79C5">
        <w:rPr>
          <w:rFonts w:cstheme="minorHAnsi"/>
          <w:i/>
          <w:iCs/>
          <w:color w:val="000000"/>
          <w:szCs w:val="22"/>
        </w:rPr>
        <w:tab/>
      </w:r>
      <w:r w:rsidRPr="003E6891">
        <w:rPr>
          <w:rFonts w:cstheme="minorHAnsi"/>
          <w:i/>
          <w:iCs/>
          <w:color w:val="000000"/>
          <w:szCs w:val="22"/>
        </w:rPr>
        <w:t xml:space="preserve"> social interaction;</w:t>
      </w:r>
    </w:p>
    <w:p w14:paraId="79978CA2" w14:textId="77777777" w:rsidR="00EF79C5" w:rsidRDefault="00FD3EEF" w:rsidP="00EF79C5">
      <w:pPr>
        <w:shd w:val="clear" w:color="auto" w:fill="FFFFFF"/>
        <w:ind w:left="2029"/>
        <w:jc w:val="both"/>
        <w:rPr>
          <w:rFonts w:cstheme="minorHAnsi"/>
          <w:i/>
          <w:iCs/>
          <w:color w:val="000000"/>
          <w:szCs w:val="22"/>
        </w:rPr>
      </w:pPr>
      <w:r w:rsidRPr="003E6891">
        <w:rPr>
          <w:rFonts w:cstheme="minorHAnsi"/>
          <w:i/>
          <w:iCs/>
          <w:color w:val="000000"/>
          <w:szCs w:val="22"/>
        </w:rPr>
        <w:t>(iii)</w:t>
      </w:r>
      <w:r w:rsidR="00EF79C5">
        <w:rPr>
          <w:rFonts w:cstheme="minorHAnsi"/>
          <w:i/>
          <w:iCs/>
          <w:color w:val="000000"/>
          <w:szCs w:val="22"/>
        </w:rPr>
        <w:tab/>
      </w:r>
      <w:r w:rsidRPr="003E6891">
        <w:rPr>
          <w:rFonts w:cstheme="minorHAnsi"/>
          <w:i/>
          <w:iCs/>
          <w:color w:val="000000"/>
          <w:szCs w:val="22"/>
        </w:rPr>
        <w:t xml:space="preserve"> learning;</w:t>
      </w:r>
    </w:p>
    <w:p w14:paraId="1674045F" w14:textId="77777777" w:rsidR="00EF79C5" w:rsidRDefault="00FD3EEF" w:rsidP="00EF79C5">
      <w:pPr>
        <w:shd w:val="clear" w:color="auto" w:fill="FFFFFF"/>
        <w:ind w:left="2029"/>
        <w:jc w:val="both"/>
        <w:rPr>
          <w:rFonts w:cstheme="minorHAnsi"/>
          <w:i/>
          <w:iCs/>
          <w:color w:val="000000"/>
          <w:szCs w:val="22"/>
        </w:rPr>
      </w:pPr>
      <w:r w:rsidRPr="003E6891">
        <w:rPr>
          <w:rFonts w:cstheme="minorHAnsi"/>
          <w:i/>
          <w:iCs/>
          <w:color w:val="000000"/>
          <w:szCs w:val="22"/>
        </w:rPr>
        <w:t>(iv)</w:t>
      </w:r>
      <w:r w:rsidR="00EF79C5">
        <w:rPr>
          <w:rFonts w:cstheme="minorHAnsi"/>
          <w:i/>
          <w:iCs/>
          <w:color w:val="000000"/>
          <w:szCs w:val="22"/>
        </w:rPr>
        <w:tab/>
      </w:r>
      <w:r w:rsidRPr="003E6891">
        <w:rPr>
          <w:rFonts w:cstheme="minorHAnsi"/>
          <w:i/>
          <w:iCs/>
          <w:color w:val="000000"/>
          <w:szCs w:val="22"/>
        </w:rPr>
        <w:t xml:space="preserve"> mobility;</w:t>
      </w:r>
    </w:p>
    <w:p w14:paraId="3E52B0C0" w14:textId="77777777" w:rsidR="00EF79C5" w:rsidRDefault="00FD3EEF" w:rsidP="00EF79C5">
      <w:pPr>
        <w:shd w:val="clear" w:color="auto" w:fill="FFFFFF"/>
        <w:ind w:left="2029"/>
        <w:jc w:val="both"/>
        <w:rPr>
          <w:rFonts w:cstheme="minorHAnsi"/>
          <w:i/>
          <w:iCs/>
          <w:color w:val="000000"/>
          <w:szCs w:val="22"/>
        </w:rPr>
      </w:pPr>
      <w:r w:rsidRPr="003E6891">
        <w:rPr>
          <w:rFonts w:cstheme="minorHAnsi"/>
          <w:i/>
          <w:iCs/>
          <w:color w:val="000000"/>
          <w:szCs w:val="22"/>
        </w:rPr>
        <w:t>(v)</w:t>
      </w:r>
      <w:r w:rsidR="00EF79C5">
        <w:rPr>
          <w:rFonts w:cstheme="minorHAnsi"/>
          <w:i/>
          <w:iCs/>
          <w:color w:val="000000"/>
          <w:szCs w:val="22"/>
        </w:rPr>
        <w:tab/>
      </w:r>
      <w:r w:rsidRPr="003E6891">
        <w:rPr>
          <w:rFonts w:cstheme="minorHAnsi"/>
          <w:i/>
          <w:iCs/>
          <w:color w:val="000000"/>
          <w:szCs w:val="22"/>
        </w:rPr>
        <w:t xml:space="preserve"> self</w:t>
      </w:r>
      <w:r w:rsidRPr="003E6891">
        <w:rPr>
          <w:rFonts w:cstheme="minorHAnsi"/>
          <w:i/>
          <w:iCs/>
          <w:color w:val="000000"/>
          <w:szCs w:val="22"/>
        </w:rPr>
        <w:noBreakHyphen/>
        <w:t>care;</w:t>
      </w:r>
    </w:p>
    <w:p w14:paraId="31003D9E" w14:textId="3E286AF4" w:rsidR="00FD3EEF" w:rsidRPr="003E6891" w:rsidRDefault="00FD3EEF" w:rsidP="00EF79C5">
      <w:pPr>
        <w:shd w:val="clear" w:color="auto" w:fill="FFFFFF"/>
        <w:ind w:left="2029"/>
        <w:jc w:val="both"/>
        <w:rPr>
          <w:rFonts w:cstheme="minorHAnsi"/>
          <w:i/>
          <w:iCs/>
          <w:color w:val="000000"/>
          <w:szCs w:val="22"/>
        </w:rPr>
      </w:pPr>
      <w:r w:rsidRPr="003E6891">
        <w:rPr>
          <w:rFonts w:cstheme="minorHAnsi"/>
          <w:i/>
          <w:iCs/>
          <w:color w:val="000000"/>
          <w:szCs w:val="22"/>
        </w:rPr>
        <w:t>(vi)</w:t>
      </w:r>
      <w:r w:rsidR="00EF79C5">
        <w:rPr>
          <w:rFonts w:cstheme="minorHAnsi"/>
          <w:i/>
          <w:iCs/>
          <w:color w:val="000000"/>
          <w:szCs w:val="22"/>
        </w:rPr>
        <w:tab/>
      </w:r>
      <w:r w:rsidRPr="003E6891">
        <w:rPr>
          <w:rFonts w:cstheme="minorHAnsi"/>
          <w:i/>
          <w:iCs/>
          <w:color w:val="000000"/>
          <w:szCs w:val="22"/>
        </w:rPr>
        <w:t xml:space="preserve"> self</w:t>
      </w:r>
      <w:r w:rsidRPr="003E6891">
        <w:rPr>
          <w:rFonts w:cstheme="minorHAnsi"/>
          <w:i/>
          <w:iCs/>
          <w:color w:val="000000"/>
          <w:szCs w:val="22"/>
        </w:rPr>
        <w:noBreakHyphen/>
        <w:t>management; and</w:t>
      </w:r>
    </w:p>
    <w:p w14:paraId="265607FF" w14:textId="77777777" w:rsidR="00EF79C5" w:rsidRDefault="00FD3EEF" w:rsidP="00EF79C5">
      <w:pPr>
        <w:shd w:val="clear" w:color="auto" w:fill="FFFFFF"/>
        <w:ind w:left="2029" w:hanging="589"/>
        <w:jc w:val="both"/>
        <w:rPr>
          <w:rFonts w:cstheme="minorHAnsi"/>
          <w:i/>
          <w:iCs/>
          <w:color w:val="000000"/>
          <w:szCs w:val="22"/>
        </w:rPr>
      </w:pPr>
      <w:r w:rsidRPr="003E6891">
        <w:rPr>
          <w:rFonts w:cstheme="minorHAnsi"/>
          <w:i/>
          <w:iCs/>
          <w:color w:val="000000"/>
          <w:szCs w:val="22"/>
        </w:rPr>
        <w:t>(d)</w:t>
      </w:r>
      <w:r w:rsidR="00EF79C5">
        <w:rPr>
          <w:rFonts w:cstheme="minorHAnsi"/>
          <w:i/>
          <w:iCs/>
          <w:color w:val="000000"/>
          <w:szCs w:val="22"/>
        </w:rPr>
        <w:tab/>
      </w:r>
      <w:r w:rsidRPr="003E6891">
        <w:rPr>
          <w:rFonts w:cstheme="minorHAnsi"/>
          <w:i/>
          <w:iCs/>
          <w:color w:val="000000"/>
          <w:szCs w:val="22"/>
        </w:rPr>
        <w:t xml:space="preserve"> the impairment or impairments affect the person’s capacity for social or economic participation; and</w:t>
      </w:r>
    </w:p>
    <w:p w14:paraId="57BEE95C" w14:textId="77777777" w:rsidR="00EF79C5" w:rsidRDefault="00FD3EEF" w:rsidP="00EF79C5">
      <w:pPr>
        <w:shd w:val="clear" w:color="auto" w:fill="FFFFFF"/>
        <w:ind w:left="2029" w:hanging="589"/>
        <w:jc w:val="both"/>
        <w:rPr>
          <w:rFonts w:cstheme="minorHAnsi"/>
          <w:i/>
          <w:iCs/>
          <w:color w:val="000000"/>
          <w:szCs w:val="22"/>
        </w:rPr>
      </w:pPr>
      <w:r w:rsidRPr="003E6891">
        <w:rPr>
          <w:rFonts w:cstheme="minorHAnsi"/>
          <w:i/>
          <w:iCs/>
          <w:color w:val="000000"/>
          <w:szCs w:val="22"/>
        </w:rPr>
        <w:t>(e)</w:t>
      </w:r>
      <w:r w:rsidR="00EF79C5">
        <w:rPr>
          <w:rFonts w:cstheme="minorHAnsi"/>
          <w:i/>
          <w:iCs/>
          <w:color w:val="000000"/>
          <w:szCs w:val="22"/>
        </w:rPr>
        <w:tab/>
      </w:r>
      <w:r w:rsidRPr="003E6891">
        <w:rPr>
          <w:rFonts w:cstheme="minorHAnsi"/>
          <w:i/>
          <w:iCs/>
          <w:color w:val="000000"/>
          <w:szCs w:val="22"/>
        </w:rPr>
        <w:t xml:space="preserve"> the person is likely to require support under the National Disability Insurance Scheme for the person’s lifetime.</w:t>
      </w:r>
    </w:p>
    <w:p w14:paraId="0D43D2EB" w14:textId="4B8C12ED" w:rsidR="00FD3EEF" w:rsidRPr="003E6891" w:rsidRDefault="00FD3EEF" w:rsidP="00EF79C5">
      <w:pPr>
        <w:shd w:val="clear" w:color="auto" w:fill="FFFFFF"/>
        <w:ind w:left="1309" w:hanging="589"/>
        <w:jc w:val="both"/>
        <w:rPr>
          <w:rFonts w:cstheme="minorHAnsi"/>
          <w:i/>
          <w:iCs/>
          <w:color w:val="000000"/>
          <w:szCs w:val="22"/>
        </w:rPr>
      </w:pPr>
      <w:r w:rsidRPr="003E6891">
        <w:rPr>
          <w:rFonts w:cstheme="minorHAnsi"/>
          <w:i/>
          <w:iCs/>
          <w:color w:val="000000"/>
          <w:szCs w:val="22"/>
        </w:rPr>
        <w:t>(2)</w:t>
      </w:r>
      <w:r w:rsidR="00EF79C5">
        <w:rPr>
          <w:rFonts w:cstheme="minorHAnsi"/>
          <w:i/>
          <w:iCs/>
          <w:color w:val="000000"/>
          <w:szCs w:val="22"/>
        </w:rPr>
        <w:tab/>
      </w:r>
      <w:r w:rsidRPr="003E6891">
        <w:rPr>
          <w:rFonts w:cstheme="minorHAnsi"/>
          <w:i/>
          <w:iCs/>
          <w:color w:val="000000"/>
          <w:szCs w:val="22"/>
        </w:rPr>
        <w:t>For the purposes of subsection (1), an impairment or impairments that vary in intensity may be permanent, and the person is likely to require support under the National Disability Insurance Scheme for the person’s lifetime, despite the variation.</w:t>
      </w:r>
    </w:p>
    <w:p w14:paraId="14DC8BAE" w14:textId="6B7E917B" w:rsidR="00BF4005" w:rsidRPr="00BF4005" w:rsidRDefault="00BF4005" w:rsidP="00E658A2">
      <w:pPr>
        <w:keepNext/>
        <w:jc w:val="both"/>
        <w:rPr>
          <w:rFonts w:cstheme="minorHAnsi"/>
          <w:i/>
          <w:iCs/>
        </w:rPr>
      </w:pPr>
      <w:r w:rsidRPr="0073244A">
        <w:rPr>
          <w:rFonts w:cstheme="minorHAnsi"/>
          <w:b/>
          <w:bCs/>
          <w:i/>
          <w:iCs/>
        </w:rPr>
        <w:lastRenderedPageBreak/>
        <w:t>The funded supports decision</w:t>
      </w:r>
    </w:p>
    <w:p w14:paraId="70B06602" w14:textId="74703D22" w:rsidR="00660F64" w:rsidRPr="005A64CD" w:rsidRDefault="0073244A" w:rsidP="0022093C">
      <w:r w:rsidRPr="0073244A">
        <w:t xml:space="preserve">Once a person is a participant, the Agency must determine funded supports in accordance with the ‘second step’ in Chapter 3, Part 2 of the NDIS </w:t>
      </w:r>
      <w:proofErr w:type="gramStart"/>
      <w:r w:rsidRPr="0073244A">
        <w:t>Act</w:t>
      </w:r>
      <w:proofErr w:type="gramEnd"/>
      <w:r w:rsidRPr="0073244A">
        <w:t xml:space="preserve"> and the Supports Rules.</w:t>
      </w:r>
    </w:p>
    <w:p w14:paraId="212CC9C9" w14:textId="77777777" w:rsidR="00FD3EEF" w:rsidRPr="005A64CD" w:rsidRDefault="15E81EE4" w:rsidP="0022093C">
      <w:bookmarkStart w:id="0" w:name="_Ref113362708"/>
      <w:bookmarkStart w:id="1" w:name="_Ref113362884"/>
      <w:r w:rsidRPr="005A64CD">
        <w:t>Section 34(1) provides the criteria to determine the “reasonable and necessary supports that will be funded”.  It provides:</w:t>
      </w:r>
      <w:bookmarkEnd w:id="0"/>
      <w:bookmarkEnd w:id="1"/>
      <w:r w:rsidRPr="005A64CD">
        <w:t xml:space="preserve"> </w:t>
      </w:r>
    </w:p>
    <w:p w14:paraId="4E45D7CB" w14:textId="77777777" w:rsidR="00FD3EEF" w:rsidRPr="005A64CD" w:rsidRDefault="00FD3EEF" w:rsidP="0035614E">
      <w:pPr>
        <w:shd w:val="clear" w:color="auto" w:fill="FFFFFF"/>
        <w:ind w:left="851"/>
        <w:rPr>
          <w:rFonts w:eastAsia="Times New Roman" w:cstheme="minorHAnsi"/>
          <w:i/>
          <w:iCs/>
          <w:color w:val="000000"/>
          <w:szCs w:val="22"/>
          <w:lang w:eastAsia="en-AU"/>
        </w:rPr>
      </w:pPr>
      <w:r w:rsidRPr="005A64CD">
        <w:rPr>
          <w:rFonts w:eastAsia="Times New Roman" w:cstheme="minorHAnsi"/>
          <w:i/>
          <w:iCs/>
          <w:color w:val="000000"/>
          <w:szCs w:val="22"/>
          <w:lang w:eastAsia="en-AU"/>
        </w:rPr>
        <w:t xml:space="preserve">For the purposes of specifying, in a statement of participant supports, the general supports that will be provided, and the reasonable and necessary supports that will be funded, the CEO must be satisfied of </w:t>
      </w:r>
      <w:proofErr w:type="gramStart"/>
      <w:r w:rsidRPr="005A64CD">
        <w:rPr>
          <w:rFonts w:eastAsia="Times New Roman" w:cstheme="minorHAnsi"/>
          <w:i/>
          <w:iCs/>
          <w:color w:val="000000"/>
          <w:szCs w:val="22"/>
          <w:lang w:eastAsia="en-AU"/>
        </w:rPr>
        <w:t>all of</w:t>
      </w:r>
      <w:proofErr w:type="gramEnd"/>
      <w:r w:rsidRPr="005A64CD">
        <w:rPr>
          <w:rFonts w:eastAsia="Times New Roman" w:cstheme="minorHAnsi"/>
          <w:i/>
          <w:iCs/>
          <w:color w:val="000000"/>
          <w:szCs w:val="22"/>
          <w:lang w:eastAsia="en-AU"/>
        </w:rPr>
        <w:t xml:space="preserve"> the following in relation to the funding or provision of each such support:</w:t>
      </w:r>
    </w:p>
    <w:p w14:paraId="0F3821DB" w14:textId="77777777" w:rsidR="0022093C" w:rsidRDefault="00FD3EEF" w:rsidP="0022093C">
      <w:pPr>
        <w:shd w:val="clear" w:color="auto" w:fill="FFFFFF"/>
        <w:ind w:left="1440" w:hanging="589"/>
        <w:rPr>
          <w:rFonts w:eastAsia="Times New Roman" w:cstheme="minorHAnsi"/>
          <w:i/>
          <w:iCs/>
          <w:color w:val="000000"/>
          <w:szCs w:val="22"/>
          <w:lang w:eastAsia="en-AU"/>
        </w:rPr>
      </w:pPr>
      <w:r w:rsidRPr="005A64CD">
        <w:rPr>
          <w:rFonts w:eastAsia="Times New Roman" w:cstheme="minorHAnsi"/>
          <w:i/>
          <w:iCs/>
          <w:color w:val="000000"/>
          <w:szCs w:val="22"/>
          <w:lang w:eastAsia="en-AU"/>
        </w:rPr>
        <w:t>(a)</w:t>
      </w:r>
      <w:r w:rsidR="0022093C">
        <w:rPr>
          <w:rFonts w:eastAsia="Times New Roman" w:cstheme="minorHAnsi"/>
          <w:i/>
          <w:iCs/>
          <w:color w:val="000000"/>
          <w:szCs w:val="22"/>
          <w:lang w:eastAsia="en-AU"/>
        </w:rPr>
        <w:tab/>
      </w:r>
      <w:r w:rsidRPr="005A64CD">
        <w:rPr>
          <w:rFonts w:eastAsia="Times New Roman" w:cstheme="minorHAnsi"/>
          <w:i/>
          <w:iCs/>
          <w:color w:val="000000"/>
          <w:szCs w:val="22"/>
          <w:lang w:eastAsia="en-AU"/>
        </w:rPr>
        <w:t xml:space="preserve"> the support will assist the participant to pursue the goals, objectives and aspirations included in the participant’s statement of goals and aspirations;</w:t>
      </w:r>
    </w:p>
    <w:p w14:paraId="7CD6B3AE" w14:textId="77777777" w:rsidR="0022093C" w:rsidRDefault="00FD3EEF" w:rsidP="0022093C">
      <w:pPr>
        <w:shd w:val="clear" w:color="auto" w:fill="FFFFFF"/>
        <w:ind w:left="1440" w:hanging="589"/>
        <w:rPr>
          <w:rFonts w:eastAsia="Times New Roman" w:cstheme="minorHAnsi"/>
          <w:i/>
          <w:iCs/>
          <w:color w:val="000000"/>
          <w:szCs w:val="22"/>
          <w:lang w:eastAsia="en-AU"/>
        </w:rPr>
      </w:pPr>
      <w:r w:rsidRPr="005A64CD">
        <w:rPr>
          <w:rFonts w:eastAsia="Times New Roman" w:cstheme="minorHAnsi"/>
          <w:i/>
          <w:iCs/>
          <w:color w:val="000000"/>
          <w:szCs w:val="22"/>
          <w:lang w:eastAsia="en-AU"/>
        </w:rPr>
        <w:t>(b</w:t>
      </w:r>
      <w:r w:rsidR="0022093C">
        <w:rPr>
          <w:rFonts w:eastAsia="Times New Roman" w:cstheme="minorHAnsi"/>
          <w:i/>
          <w:iCs/>
          <w:color w:val="000000"/>
          <w:szCs w:val="22"/>
          <w:lang w:eastAsia="en-AU"/>
        </w:rPr>
        <w:t>)</w:t>
      </w:r>
      <w:r w:rsidR="0022093C">
        <w:rPr>
          <w:rFonts w:eastAsia="Times New Roman" w:cstheme="minorHAnsi"/>
          <w:i/>
          <w:iCs/>
          <w:color w:val="000000"/>
          <w:szCs w:val="22"/>
          <w:lang w:eastAsia="en-AU"/>
        </w:rPr>
        <w:tab/>
      </w:r>
      <w:r w:rsidRPr="005A64CD">
        <w:rPr>
          <w:rFonts w:eastAsia="Times New Roman" w:cstheme="minorHAnsi"/>
          <w:i/>
          <w:iCs/>
          <w:color w:val="000000"/>
          <w:szCs w:val="22"/>
          <w:lang w:eastAsia="en-AU"/>
        </w:rPr>
        <w:t xml:space="preserve"> the support will assist the participant</w:t>
      </w:r>
      <w:r w:rsidRPr="00BA5130">
        <w:rPr>
          <w:rFonts w:eastAsia="Times New Roman" w:cstheme="minorHAnsi"/>
          <w:i/>
          <w:iCs/>
          <w:color w:val="000000"/>
          <w:szCs w:val="22"/>
          <w:lang w:eastAsia="en-AU"/>
        </w:rPr>
        <w:t xml:space="preserve"> to undertake activities, </w:t>
      </w:r>
      <w:proofErr w:type="gramStart"/>
      <w:r w:rsidRPr="00BA5130">
        <w:rPr>
          <w:rFonts w:eastAsia="Times New Roman" w:cstheme="minorHAnsi"/>
          <w:i/>
          <w:iCs/>
          <w:color w:val="000000"/>
          <w:szCs w:val="22"/>
          <w:lang w:eastAsia="en-AU"/>
        </w:rPr>
        <w:t>so as to</w:t>
      </w:r>
      <w:proofErr w:type="gramEnd"/>
      <w:r w:rsidRPr="00BA5130">
        <w:rPr>
          <w:rFonts w:eastAsia="Times New Roman" w:cstheme="minorHAnsi"/>
          <w:i/>
          <w:iCs/>
          <w:color w:val="000000"/>
          <w:szCs w:val="22"/>
          <w:lang w:eastAsia="en-AU"/>
        </w:rPr>
        <w:t xml:space="preserve"> facilitate the participant’s social and economic participation;</w:t>
      </w:r>
    </w:p>
    <w:p w14:paraId="337589DC" w14:textId="77777777" w:rsidR="0022093C" w:rsidRDefault="00FD3EEF" w:rsidP="0022093C">
      <w:pPr>
        <w:shd w:val="clear" w:color="auto" w:fill="FFFFFF"/>
        <w:ind w:left="1440" w:hanging="589"/>
        <w:rPr>
          <w:rFonts w:eastAsia="Times New Roman" w:cstheme="minorHAnsi"/>
          <w:i/>
          <w:iCs/>
          <w:color w:val="000000"/>
          <w:szCs w:val="22"/>
          <w:lang w:eastAsia="en-AU"/>
        </w:rPr>
      </w:pPr>
      <w:r w:rsidRPr="00BA5130">
        <w:rPr>
          <w:rFonts w:eastAsia="Times New Roman" w:cstheme="minorHAnsi"/>
          <w:i/>
          <w:iCs/>
          <w:color w:val="000000"/>
          <w:szCs w:val="22"/>
          <w:lang w:eastAsia="en-AU"/>
        </w:rPr>
        <w:t>(c)</w:t>
      </w:r>
      <w:r w:rsidR="0022093C">
        <w:rPr>
          <w:rFonts w:eastAsia="Times New Roman" w:cstheme="minorHAnsi"/>
          <w:i/>
          <w:iCs/>
          <w:color w:val="000000"/>
          <w:szCs w:val="22"/>
          <w:lang w:eastAsia="en-AU"/>
        </w:rPr>
        <w:tab/>
      </w:r>
      <w:r w:rsidRPr="00BA5130">
        <w:rPr>
          <w:rFonts w:eastAsia="Times New Roman" w:cstheme="minorHAnsi"/>
          <w:i/>
          <w:iCs/>
          <w:color w:val="000000"/>
          <w:szCs w:val="22"/>
          <w:lang w:eastAsia="en-AU"/>
        </w:rPr>
        <w:t>the support represents value for money in that the costs of the support are reasonable, relative to both the benefits achieved and the cost of alternative support;</w:t>
      </w:r>
    </w:p>
    <w:p w14:paraId="26D06A63" w14:textId="77777777" w:rsidR="0022093C" w:rsidRDefault="00FD3EEF" w:rsidP="0022093C">
      <w:pPr>
        <w:shd w:val="clear" w:color="auto" w:fill="FFFFFF"/>
        <w:ind w:left="1440" w:hanging="589"/>
        <w:rPr>
          <w:rFonts w:eastAsia="Times New Roman" w:cstheme="minorHAnsi"/>
          <w:i/>
          <w:iCs/>
          <w:color w:val="000000"/>
          <w:szCs w:val="22"/>
          <w:lang w:eastAsia="en-AU"/>
        </w:rPr>
      </w:pPr>
      <w:r w:rsidRPr="00BA5130">
        <w:rPr>
          <w:rFonts w:eastAsia="Times New Roman" w:cstheme="minorHAnsi"/>
          <w:i/>
          <w:iCs/>
          <w:color w:val="000000"/>
          <w:szCs w:val="22"/>
          <w:lang w:eastAsia="en-AU"/>
        </w:rPr>
        <w:t>(d)</w:t>
      </w:r>
      <w:r w:rsidR="0022093C">
        <w:rPr>
          <w:rFonts w:eastAsia="Times New Roman" w:cstheme="minorHAnsi"/>
          <w:i/>
          <w:iCs/>
          <w:color w:val="000000"/>
          <w:szCs w:val="22"/>
          <w:lang w:eastAsia="en-AU"/>
        </w:rPr>
        <w:tab/>
      </w:r>
      <w:r w:rsidRPr="00BA5130">
        <w:rPr>
          <w:rFonts w:eastAsia="Times New Roman" w:cstheme="minorHAnsi"/>
          <w:i/>
          <w:iCs/>
          <w:color w:val="000000"/>
          <w:szCs w:val="22"/>
          <w:lang w:eastAsia="en-AU"/>
        </w:rPr>
        <w:t>the support will be, or is likely to be, effective and beneficial for the participant, having regard to current good practice;</w:t>
      </w:r>
    </w:p>
    <w:p w14:paraId="40A8C4FA" w14:textId="77777777" w:rsidR="0022093C" w:rsidRDefault="00FD3EEF" w:rsidP="0022093C">
      <w:pPr>
        <w:shd w:val="clear" w:color="auto" w:fill="FFFFFF"/>
        <w:ind w:left="1440" w:hanging="589"/>
        <w:rPr>
          <w:rFonts w:eastAsia="Times New Roman" w:cstheme="minorHAnsi"/>
          <w:i/>
          <w:iCs/>
          <w:color w:val="000000"/>
          <w:szCs w:val="22"/>
          <w:lang w:eastAsia="en-AU"/>
        </w:rPr>
      </w:pPr>
      <w:r w:rsidRPr="00BA5130">
        <w:rPr>
          <w:rFonts w:eastAsia="Times New Roman" w:cstheme="minorHAnsi"/>
          <w:i/>
          <w:iCs/>
          <w:color w:val="000000"/>
          <w:szCs w:val="22"/>
          <w:lang w:eastAsia="en-AU"/>
        </w:rPr>
        <w:t>(e)</w:t>
      </w:r>
      <w:r w:rsidR="0022093C">
        <w:rPr>
          <w:rFonts w:eastAsia="Times New Roman" w:cstheme="minorHAnsi"/>
          <w:i/>
          <w:iCs/>
          <w:color w:val="000000"/>
          <w:szCs w:val="22"/>
          <w:lang w:eastAsia="en-AU"/>
        </w:rPr>
        <w:tab/>
      </w:r>
      <w:r w:rsidRPr="00BA5130">
        <w:rPr>
          <w:rFonts w:eastAsia="Times New Roman" w:cstheme="minorHAnsi"/>
          <w:i/>
          <w:iCs/>
          <w:color w:val="000000"/>
          <w:szCs w:val="22"/>
          <w:lang w:eastAsia="en-AU"/>
        </w:rPr>
        <w:t xml:space="preserve"> the funding or provision of the support takes account of what it is reasonable to expect families, carers, informal </w:t>
      </w:r>
      <w:proofErr w:type="gramStart"/>
      <w:r w:rsidRPr="00BA5130">
        <w:rPr>
          <w:rFonts w:eastAsia="Times New Roman" w:cstheme="minorHAnsi"/>
          <w:i/>
          <w:iCs/>
          <w:color w:val="000000"/>
          <w:szCs w:val="22"/>
          <w:lang w:eastAsia="en-AU"/>
        </w:rPr>
        <w:t>networks</w:t>
      </w:r>
      <w:proofErr w:type="gramEnd"/>
      <w:r w:rsidRPr="00BA5130">
        <w:rPr>
          <w:rFonts w:eastAsia="Times New Roman" w:cstheme="minorHAnsi"/>
          <w:i/>
          <w:iCs/>
          <w:color w:val="000000"/>
          <w:szCs w:val="22"/>
          <w:lang w:eastAsia="en-AU"/>
        </w:rPr>
        <w:t xml:space="preserve"> and the community to provide;</w:t>
      </w:r>
    </w:p>
    <w:p w14:paraId="57573977" w14:textId="77777777" w:rsidR="0022093C" w:rsidRDefault="00FD3EEF" w:rsidP="0022093C">
      <w:pPr>
        <w:shd w:val="clear" w:color="auto" w:fill="FFFFFF"/>
        <w:ind w:left="1440" w:hanging="589"/>
        <w:rPr>
          <w:rFonts w:eastAsia="Times New Roman" w:cstheme="minorHAnsi"/>
          <w:i/>
          <w:iCs/>
          <w:color w:val="000000"/>
          <w:szCs w:val="22"/>
          <w:lang w:eastAsia="en-AU"/>
        </w:rPr>
      </w:pPr>
      <w:r w:rsidRPr="00BA5130">
        <w:rPr>
          <w:rFonts w:eastAsia="Times New Roman" w:cstheme="minorHAnsi"/>
          <w:i/>
          <w:iCs/>
          <w:color w:val="000000"/>
          <w:szCs w:val="22"/>
          <w:lang w:eastAsia="en-AU"/>
        </w:rPr>
        <w:t>(f)</w:t>
      </w:r>
      <w:r w:rsidR="0022093C">
        <w:rPr>
          <w:rFonts w:eastAsia="Times New Roman" w:cstheme="minorHAnsi"/>
          <w:i/>
          <w:iCs/>
          <w:color w:val="000000"/>
          <w:szCs w:val="22"/>
          <w:lang w:eastAsia="en-AU"/>
        </w:rPr>
        <w:tab/>
      </w:r>
      <w:r w:rsidRPr="00BA5130">
        <w:rPr>
          <w:rFonts w:eastAsia="Times New Roman" w:cstheme="minorHAnsi"/>
          <w:i/>
          <w:iCs/>
          <w:color w:val="000000"/>
          <w:szCs w:val="22"/>
          <w:lang w:eastAsia="en-AU"/>
        </w:rPr>
        <w:t xml:space="preserve"> the support is most appropriately funded or provided through the National Disability Insurance Scheme, and is not more appropriately funded or provided through other general systems of service delivery or support services offered by a person, agency or body, or systems of service delivery or support services offered:</w:t>
      </w:r>
    </w:p>
    <w:p w14:paraId="6E933201" w14:textId="77777777" w:rsidR="0022093C" w:rsidRDefault="00FD3EEF" w:rsidP="0022093C">
      <w:pPr>
        <w:shd w:val="clear" w:color="auto" w:fill="FFFFFF"/>
        <w:ind w:left="2029" w:hanging="589"/>
        <w:rPr>
          <w:rFonts w:eastAsia="Times New Roman" w:cstheme="minorHAnsi"/>
          <w:i/>
          <w:iCs/>
          <w:color w:val="000000"/>
          <w:szCs w:val="22"/>
          <w:lang w:eastAsia="en-AU"/>
        </w:rPr>
      </w:pPr>
      <w:r w:rsidRPr="00BA5130">
        <w:rPr>
          <w:rFonts w:eastAsia="Times New Roman" w:cstheme="minorHAnsi"/>
          <w:i/>
          <w:iCs/>
          <w:color w:val="000000"/>
          <w:szCs w:val="22"/>
          <w:lang w:eastAsia="en-AU"/>
        </w:rPr>
        <w:t>(i)</w:t>
      </w:r>
      <w:r w:rsidR="0022093C">
        <w:rPr>
          <w:rFonts w:eastAsia="Times New Roman" w:cstheme="minorHAnsi"/>
          <w:i/>
          <w:iCs/>
          <w:color w:val="000000"/>
          <w:szCs w:val="22"/>
          <w:lang w:eastAsia="en-AU"/>
        </w:rPr>
        <w:tab/>
      </w:r>
      <w:r w:rsidRPr="00BA5130">
        <w:rPr>
          <w:rFonts w:eastAsia="Times New Roman" w:cstheme="minorHAnsi"/>
          <w:i/>
          <w:iCs/>
          <w:color w:val="000000"/>
          <w:szCs w:val="22"/>
          <w:lang w:eastAsia="en-AU"/>
        </w:rPr>
        <w:t xml:space="preserve"> as part of a universal service obligation; or</w:t>
      </w:r>
    </w:p>
    <w:p w14:paraId="52F0B3DB" w14:textId="2A6C0611" w:rsidR="00FD3EEF" w:rsidRDefault="00FD3EEF" w:rsidP="0022093C">
      <w:pPr>
        <w:shd w:val="clear" w:color="auto" w:fill="FFFFFF"/>
        <w:ind w:left="2029" w:hanging="589"/>
        <w:rPr>
          <w:rFonts w:eastAsia="Times New Roman" w:cstheme="minorHAnsi"/>
          <w:i/>
          <w:iCs/>
          <w:color w:val="000000"/>
          <w:szCs w:val="22"/>
          <w:lang w:eastAsia="en-AU"/>
        </w:rPr>
      </w:pPr>
      <w:r w:rsidRPr="00BA5130">
        <w:rPr>
          <w:rFonts w:eastAsia="Times New Roman" w:cstheme="minorHAnsi"/>
          <w:i/>
          <w:iCs/>
          <w:color w:val="000000"/>
          <w:szCs w:val="22"/>
          <w:lang w:eastAsia="en-AU"/>
        </w:rPr>
        <w:t>(ii)</w:t>
      </w:r>
      <w:r w:rsidR="0022093C">
        <w:rPr>
          <w:rFonts w:eastAsia="Times New Roman" w:cstheme="minorHAnsi"/>
          <w:i/>
          <w:iCs/>
          <w:color w:val="000000"/>
          <w:szCs w:val="22"/>
          <w:lang w:eastAsia="en-AU"/>
        </w:rPr>
        <w:tab/>
      </w:r>
      <w:r w:rsidRPr="00BA5130">
        <w:rPr>
          <w:rFonts w:eastAsia="Times New Roman" w:cstheme="minorHAnsi"/>
          <w:i/>
          <w:iCs/>
          <w:color w:val="000000"/>
          <w:szCs w:val="22"/>
          <w:lang w:eastAsia="en-AU"/>
        </w:rPr>
        <w:t xml:space="preserve"> in accordance with reasonable adjustments required under a law dealing with discrimination </w:t>
      </w:r>
      <w:proofErr w:type="gramStart"/>
      <w:r w:rsidRPr="00BA5130">
        <w:rPr>
          <w:rFonts w:eastAsia="Times New Roman" w:cstheme="minorHAnsi"/>
          <w:i/>
          <w:iCs/>
          <w:color w:val="000000"/>
          <w:szCs w:val="22"/>
          <w:lang w:eastAsia="en-AU"/>
        </w:rPr>
        <w:t>on the basis of</w:t>
      </w:r>
      <w:proofErr w:type="gramEnd"/>
      <w:r w:rsidRPr="00BA5130">
        <w:rPr>
          <w:rFonts w:eastAsia="Times New Roman" w:cstheme="minorHAnsi"/>
          <w:i/>
          <w:iCs/>
          <w:color w:val="000000"/>
          <w:szCs w:val="22"/>
          <w:lang w:eastAsia="en-AU"/>
        </w:rPr>
        <w:t xml:space="preserve"> disability.</w:t>
      </w:r>
    </w:p>
    <w:p w14:paraId="0496917C" w14:textId="1079C380" w:rsidR="00FD3EEF" w:rsidRPr="004E3C8E" w:rsidRDefault="15E81EE4" w:rsidP="00E658A2">
      <w:r>
        <w:t xml:space="preserve">Support Rules also limit what can be funded by the Agency. </w:t>
      </w:r>
      <w:proofErr w:type="gramStart"/>
      <w:r>
        <w:t>In particular, rule</w:t>
      </w:r>
      <w:proofErr w:type="gramEnd"/>
      <w:r>
        <w:t xml:space="preserve"> 5.1 the relevant paragraph of which provides:</w:t>
      </w:r>
    </w:p>
    <w:p w14:paraId="1F57EF28" w14:textId="77777777" w:rsidR="00FD3EEF" w:rsidRPr="00BA5130" w:rsidRDefault="00FD3EEF" w:rsidP="0035614E">
      <w:pPr>
        <w:shd w:val="clear" w:color="auto" w:fill="FFFFFF"/>
        <w:ind w:left="851"/>
        <w:rPr>
          <w:rFonts w:eastAsia="Times New Roman" w:cstheme="minorHAnsi"/>
          <w:b/>
          <w:bCs/>
          <w:i/>
          <w:iCs/>
          <w:color w:val="000000"/>
          <w:szCs w:val="22"/>
          <w:lang w:eastAsia="en-AU"/>
        </w:rPr>
      </w:pPr>
      <w:bookmarkStart w:id="2" w:name="_Toc353462077"/>
      <w:r w:rsidRPr="00BA5130">
        <w:rPr>
          <w:rFonts w:eastAsia="Times New Roman" w:cstheme="minorHAnsi"/>
          <w:b/>
          <w:bCs/>
          <w:i/>
          <w:iCs/>
          <w:color w:val="000000"/>
          <w:szCs w:val="22"/>
          <w:lang w:eastAsia="en-AU"/>
        </w:rPr>
        <w:t xml:space="preserve">General criteria for </w:t>
      </w:r>
      <w:proofErr w:type="gramStart"/>
      <w:r w:rsidRPr="00BA5130">
        <w:rPr>
          <w:rFonts w:eastAsia="Times New Roman" w:cstheme="minorHAnsi"/>
          <w:b/>
          <w:bCs/>
          <w:i/>
          <w:iCs/>
          <w:color w:val="000000"/>
          <w:szCs w:val="22"/>
          <w:lang w:eastAsia="en-AU"/>
        </w:rPr>
        <w:t>supports</w:t>
      </w:r>
      <w:bookmarkEnd w:id="2"/>
      <w:proofErr w:type="gramEnd"/>
    </w:p>
    <w:p w14:paraId="0B7E9259" w14:textId="17DE03CC" w:rsidR="00FD3EEF" w:rsidRPr="00BA5130" w:rsidRDefault="00FD3EEF" w:rsidP="0035614E">
      <w:pPr>
        <w:shd w:val="clear" w:color="auto" w:fill="FFFFFF"/>
        <w:ind w:left="851"/>
        <w:rPr>
          <w:rFonts w:eastAsia="Times New Roman" w:cstheme="minorHAnsi"/>
          <w:i/>
          <w:iCs/>
          <w:color w:val="000000"/>
          <w:szCs w:val="22"/>
          <w:lang w:eastAsia="en-AU"/>
        </w:rPr>
      </w:pPr>
      <w:bookmarkStart w:id="3" w:name="_AGSRef81449002"/>
      <w:r w:rsidRPr="00BA5130">
        <w:rPr>
          <w:rFonts w:eastAsia="Times New Roman" w:cstheme="minorHAnsi"/>
          <w:i/>
          <w:iCs/>
          <w:color w:val="000000"/>
          <w:szCs w:val="22"/>
          <w:lang w:eastAsia="en-AU"/>
        </w:rPr>
        <w:t>5.1</w:t>
      </w:r>
      <w:r w:rsidR="00E658A2">
        <w:rPr>
          <w:rFonts w:eastAsia="Times New Roman" w:cstheme="minorHAnsi"/>
          <w:i/>
          <w:iCs/>
          <w:color w:val="000000"/>
          <w:szCs w:val="22"/>
          <w:lang w:eastAsia="en-AU"/>
        </w:rPr>
        <w:tab/>
      </w:r>
      <w:r w:rsidRPr="00BA5130">
        <w:rPr>
          <w:rFonts w:eastAsia="Times New Roman" w:cstheme="minorHAnsi"/>
          <w:i/>
          <w:iCs/>
          <w:color w:val="000000"/>
          <w:szCs w:val="22"/>
          <w:lang w:eastAsia="en-AU"/>
        </w:rPr>
        <w:t>A support will not be provided or funded under the NDIS if:</w:t>
      </w:r>
      <w:bookmarkEnd w:id="3"/>
    </w:p>
    <w:p w14:paraId="11C11862" w14:textId="1FFF643D" w:rsidR="00FD3EEF" w:rsidRPr="00BA5130" w:rsidRDefault="00FD3EEF" w:rsidP="0035614E">
      <w:pPr>
        <w:shd w:val="clear" w:color="auto" w:fill="FFFFFF"/>
        <w:ind w:left="1440"/>
        <w:rPr>
          <w:rFonts w:eastAsia="Times New Roman" w:cstheme="minorHAnsi"/>
          <w:i/>
          <w:iCs/>
          <w:color w:val="000000"/>
          <w:szCs w:val="22"/>
          <w:lang w:eastAsia="en-AU"/>
        </w:rPr>
      </w:pPr>
      <w:r w:rsidRPr="00BA5130">
        <w:rPr>
          <w:rFonts w:eastAsia="Times New Roman" w:cstheme="minorHAnsi"/>
          <w:i/>
          <w:iCs/>
          <w:color w:val="000000"/>
          <w:szCs w:val="22"/>
          <w:lang w:eastAsia="en-AU"/>
        </w:rPr>
        <w:t>(b)</w:t>
      </w:r>
      <w:r w:rsidR="00E658A2">
        <w:rPr>
          <w:rFonts w:eastAsia="Times New Roman" w:cstheme="minorHAnsi"/>
          <w:i/>
          <w:iCs/>
          <w:color w:val="000000"/>
          <w:szCs w:val="22"/>
          <w:lang w:eastAsia="en-AU"/>
        </w:rPr>
        <w:tab/>
      </w:r>
      <w:r w:rsidRPr="00BA5130">
        <w:rPr>
          <w:rFonts w:eastAsia="Times New Roman" w:cstheme="minorHAnsi"/>
          <w:i/>
          <w:iCs/>
          <w:color w:val="000000"/>
          <w:szCs w:val="22"/>
          <w:lang w:eastAsia="en-AU"/>
        </w:rPr>
        <w:t>it is not related to the participant’s disability</w:t>
      </w:r>
    </w:p>
    <w:p w14:paraId="6B4528BB" w14:textId="4C3BAB73" w:rsidR="00FD3EEF" w:rsidRDefault="00FD3EEF" w:rsidP="00E658A2">
      <w:pPr>
        <w:pStyle w:val="Heading1"/>
      </w:pPr>
      <w:bookmarkStart w:id="4" w:name="_Toc358793039"/>
      <w:bookmarkStart w:id="5" w:name="_Toc357071056"/>
      <w:bookmarkStart w:id="6" w:name="_Toc354065646"/>
      <w:bookmarkEnd w:id="4"/>
      <w:bookmarkEnd w:id="5"/>
      <w:bookmarkEnd w:id="6"/>
      <w:r w:rsidRPr="007044C5">
        <w:t>The case law</w:t>
      </w:r>
    </w:p>
    <w:p w14:paraId="282D3C8F" w14:textId="6587E853" w:rsidR="00C44459" w:rsidRPr="00C44459" w:rsidRDefault="00C44459" w:rsidP="00C44459">
      <w:r>
        <w:t xml:space="preserve">Since the Federal Court decision of Mulligan, there have been </w:t>
      </w:r>
      <w:proofErr w:type="gramStart"/>
      <w:r>
        <w:t>a number of</w:t>
      </w:r>
      <w:proofErr w:type="gramEnd"/>
      <w:r>
        <w:t xml:space="preserve"> AAT decisions considering whether the access decision flows through to the planning decision.  All but one (VGCP) find that it does not.</w:t>
      </w:r>
    </w:p>
    <w:tbl>
      <w:tblPr>
        <w:tblStyle w:val="TableGrid"/>
        <w:tblW w:w="0" w:type="auto"/>
        <w:tblLook w:val="04A0" w:firstRow="1" w:lastRow="0" w:firstColumn="1" w:lastColumn="0" w:noHBand="0" w:noVBand="1"/>
      </w:tblPr>
      <w:tblGrid>
        <w:gridCol w:w="2364"/>
        <w:gridCol w:w="6652"/>
      </w:tblGrid>
      <w:tr w:rsidR="00C32A2E" w:rsidRPr="00E658A2" w14:paraId="5DCE0594" w14:textId="77777777" w:rsidTr="00C44459">
        <w:trPr>
          <w:tblHeader/>
        </w:trPr>
        <w:tc>
          <w:tcPr>
            <w:tcW w:w="0" w:type="auto"/>
          </w:tcPr>
          <w:p w14:paraId="20141D80" w14:textId="77777777" w:rsidR="00C32A2E" w:rsidRPr="00E658A2" w:rsidRDefault="00C32A2E" w:rsidP="00C44459">
            <w:pPr>
              <w:rPr>
                <w:rFonts w:cstheme="minorHAnsi"/>
                <w:b/>
                <w:bCs/>
              </w:rPr>
            </w:pPr>
            <w:r w:rsidRPr="00E658A2">
              <w:rPr>
                <w:rFonts w:cstheme="minorHAnsi"/>
                <w:b/>
                <w:bCs/>
              </w:rPr>
              <w:lastRenderedPageBreak/>
              <w:t>Case</w:t>
            </w:r>
          </w:p>
        </w:tc>
        <w:tc>
          <w:tcPr>
            <w:tcW w:w="0" w:type="auto"/>
          </w:tcPr>
          <w:p w14:paraId="3EBC6DD3" w14:textId="77777777" w:rsidR="00C32A2E" w:rsidRPr="00E658A2" w:rsidRDefault="00C32A2E" w:rsidP="0035614E">
            <w:pPr>
              <w:jc w:val="both"/>
              <w:rPr>
                <w:rFonts w:cstheme="minorHAnsi"/>
                <w:b/>
                <w:bCs/>
              </w:rPr>
            </w:pPr>
            <w:r w:rsidRPr="00E658A2">
              <w:rPr>
                <w:rFonts w:cstheme="minorHAnsi"/>
                <w:b/>
                <w:bCs/>
              </w:rPr>
              <w:t>Finding</w:t>
            </w:r>
          </w:p>
        </w:tc>
      </w:tr>
      <w:tr w:rsidR="00C32A2E" w14:paraId="3F7484E5" w14:textId="77777777" w:rsidTr="00C44459">
        <w:tc>
          <w:tcPr>
            <w:tcW w:w="0" w:type="auto"/>
          </w:tcPr>
          <w:p w14:paraId="43B8D502" w14:textId="77777777" w:rsidR="00C32A2E" w:rsidRDefault="005874E7" w:rsidP="00C44459">
            <w:pPr>
              <w:rPr>
                <w:rFonts w:cstheme="minorHAnsi"/>
              </w:rPr>
            </w:pPr>
            <w:hyperlink r:id="rId15" w:history="1">
              <w:r w:rsidR="00C32A2E" w:rsidRPr="00E658A2">
                <w:rPr>
                  <w:rStyle w:val="Hyperlink"/>
                  <w:rFonts w:cstheme="minorHAnsi"/>
                </w:rPr>
                <w:t>Bradley and National Disability Insurance Agency [2022] AATA 2884</w:t>
              </w:r>
            </w:hyperlink>
          </w:p>
        </w:tc>
        <w:tc>
          <w:tcPr>
            <w:tcW w:w="0" w:type="auto"/>
          </w:tcPr>
          <w:p w14:paraId="24D08A31" w14:textId="77777777" w:rsidR="00C32A2E" w:rsidRDefault="00C32A2E" w:rsidP="00997E05">
            <w:r>
              <w:t xml:space="preserve">Not a final </w:t>
            </w:r>
            <w:proofErr w:type="gramStart"/>
            <w:r>
              <w:t>decision, but</w:t>
            </w:r>
            <w:proofErr w:type="gramEnd"/>
            <w:r>
              <w:t xml:space="preserve"> noting that Tribunal member’s view that the Act does not stipulate revisiting access criteria for the purposes of funded supports.</w:t>
            </w:r>
          </w:p>
          <w:p w14:paraId="6F5232D2" w14:textId="77777777" w:rsidR="00C32A2E" w:rsidRDefault="00C32A2E" w:rsidP="00997E05">
            <w:r w:rsidRPr="00E658A2">
              <w:rPr>
                <w:i/>
                <w:iCs/>
              </w:rPr>
              <w:t>[T]he Tribunal notes that the statute does not impose any express requirement, or indeed any mechanism, under Chapter 3 Part 1 or Chapter 3 Part 2 of the NDIS Act, by which a participant, having accessed the NDIS on the basis that the access criteria have been met, must re-establish those access criteria in order to access supports for impairments that were not considered at the time access was granted. However, it is open to the Respondent to make these submissions at the substantive hearing.</w:t>
            </w:r>
            <w:r w:rsidRPr="00E658A2">
              <w:t>”</w:t>
            </w:r>
            <w:r>
              <w:rPr>
                <w:rStyle w:val="FootnoteReference"/>
              </w:rPr>
              <w:footnoteReference w:id="14"/>
            </w:r>
          </w:p>
        </w:tc>
      </w:tr>
      <w:tr w:rsidR="00C32A2E" w14:paraId="00871A8F" w14:textId="77777777" w:rsidTr="00C44459">
        <w:tc>
          <w:tcPr>
            <w:tcW w:w="0" w:type="auto"/>
          </w:tcPr>
          <w:p w14:paraId="741B2087" w14:textId="77777777" w:rsidR="00C32A2E" w:rsidRDefault="005874E7" w:rsidP="00C44459">
            <w:pPr>
              <w:rPr>
                <w:rFonts w:cstheme="minorHAnsi"/>
              </w:rPr>
            </w:pPr>
            <w:hyperlink r:id="rId16" w:history="1">
              <w:proofErr w:type="spellStart"/>
              <w:r w:rsidR="00C32A2E" w:rsidRPr="0022093C">
                <w:rPr>
                  <w:rStyle w:val="Hyperlink"/>
                  <w:rFonts w:cstheme="minorHAnsi"/>
                </w:rPr>
                <w:t>Goodliff</w:t>
              </w:r>
              <w:proofErr w:type="spellEnd"/>
              <w:r w:rsidR="00C32A2E" w:rsidRPr="0022093C">
                <w:rPr>
                  <w:rStyle w:val="Hyperlink"/>
                  <w:rFonts w:cstheme="minorHAnsi"/>
                </w:rPr>
                <w:t xml:space="preserve"> and the National Disability Insurance Agency [2021] AATA 5022</w:t>
              </w:r>
            </w:hyperlink>
          </w:p>
        </w:tc>
        <w:tc>
          <w:tcPr>
            <w:tcW w:w="0" w:type="auto"/>
          </w:tcPr>
          <w:p w14:paraId="4FBBC4FE" w14:textId="77777777" w:rsidR="00C32A2E" w:rsidRDefault="00C32A2E" w:rsidP="00997E05">
            <w:r>
              <w:t xml:space="preserve">The AAT cannot review an Agency decision about what the “disability” is. </w:t>
            </w:r>
          </w:p>
          <w:p w14:paraId="7181181E" w14:textId="77777777" w:rsidR="00C32A2E" w:rsidRDefault="00C32A2E" w:rsidP="00997E05">
            <w:pPr>
              <w:jc w:val="both"/>
              <w:rPr>
                <w:rFonts w:cstheme="minorHAnsi"/>
              </w:rPr>
            </w:pPr>
            <w:r w:rsidRPr="70058CE9">
              <w:rPr>
                <w:rFonts w:cstheme="minorBidi"/>
                <w:i/>
                <w:iCs/>
              </w:rPr>
              <w:t>This is because of the way in which the NDIS operates. There is essentially a two-step process. In the first instance an applicant must be accepted as a ‘participant’ and thereafter the participant and the Agency must agree upon a Participant Plan.</w:t>
            </w:r>
            <w:r w:rsidRPr="70058CE9">
              <w:rPr>
                <w:rStyle w:val="FootnoteReference"/>
                <w:rFonts w:cstheme="minorBidi"/>
                <w:i/>
                <w:iCs/>
              </w:rPr>
              <w:footnoteReference w:id="15"/>
            </w:r>
          </w:p>
        </w:tc>
      </w:tr>
      <w:tr w:rsidR="00C32A2E" w14:paraId="49D503C6" w14:textId="77777777" w:rsidTr="00C44459">
        <w:tc>
          <w:tcPr>
            <w:tcW w:w="0" w:type="auto"/>
          </w:tcPr>
          <w:p w14:paraId="5A12838A" w14:textId="77777777" w:rsidR="00C32A2E" w:rsidRDefault="005874E7" w:rsidP="00C44459">
            <w:pPr>
              <w:rPr>
                <w:rFonts w:cstheme="minorHAnsi"/>
              </w:rPr>
            </w:pPr>
            <w:hyperlink r:id="rId17" w:history="1">
              <w:r w:rsidR="00C32A2E" w:rsidRPr="0022093C">
                <w:rPr>
                  <w:rStyle w:val="Hyperlink"/>
                  <w:rFonts w:cstheme="minorHAnsi"/>
                </w:rPr>
                <w:t>McLaughlin and National Disability Insurance Agency [2021] AATA 496 (12 March 2021)</w:t>
              </w:r>
            </w:hyperlink>
          </w:p>
        </w:tc>
        <w:tc>
          <w:tcPr>
            <w:tcW w:w="0" w:type="auto"/>
          </w:tcPr>
          <w:p w14:paraId="134D29B1" w14:textId="77777777" w:rsidR="00C32A2E" w:rsidRPr="0022093C" w:rsidRDefault="00C32A2E" w:rsidP="00997E05">
            <w:pPr>
              <w:rPr>
                <w:rFonts w:cstheme="minorHAnsi"/>
              </w:rPr>
            </w:pPr>
            <w:r>
              <w:rPr>
                <w:rFonts w:cstheme="minorHAnsi"/>
              </w:rPr>
              <w:t>“Disability” for planning purposes is not linked to access, but encompasses the disability as presently experienced by the participant.</w:t>
            </w:r>
          </w:p>
          <w:p w14:paraId="1245211A" w14:textId="77777777" w:rsidR="00C32A2E" w:rsidRPr="00997E05" w:rsidRDefault="00C32A2E" w:rsidP="00997E05">
            <w:pPr>
              <w:rPr>
                <w:rFonts w:cstheme="minorHAnsi"/>
                <w:i/>
                <w:iCs/>
              </w:rPr>
            </w:pPr>
            <w:r w:rsidRPr="00997E05">
              <w:rPr>
                <w:rFonts w:cstheme="minorHAnsi"/>
                <w:i/>
                <w:iCs/>
              </w:rPr>
              <w:t xml:space="preserve">Furthermore, nothing in ss 20, 21 or 24 envisages that a decision on a person’s access to the NDIS must be referenced back to a particular impairment. The decision required by s 20(1)(a) is </w:t>
            </w:r>
            <w:proofErr w:type="gramStart"/>
            <w:r w:rsidRPr="00997E05">
              <w:rPr>
                <w:rFonts w:cstheme="minorHAnsi"/>
                <w:i/>
                <w:iCs/>
              </w:rPr>
              <w:t>whether or not</w:t>
            </w:r>
            <w:proofErr w:type="gramEnd"/>
            <w:r w:rsidRPr="00997E05">
              <w:rPr>
                <w:rFonts w:cstheme="minorHAnsi"/>
                <w:i/>
                <w:iCs/>
              </w:rPr>
              <w:t xml:space="preserve"> a person meets the access criteria. Accordingly, any findings on specific impairments are merely part of the reasons of the decisionmaker for being satisfied that the disability requirements in s 24 are met. If it were intended that subsequent decisions under the Act – including the question of reasonable and necessary supports under s 33 – were intended to be governed by the specific impairments that had been determined to meet the requirements of s 24 in the access decision, one would expect that to have been made clear in this Part by way of specific nomenclature that was then employed in subsequent areas of the Act.</w:t>
            </w:r>
            <w:r>
              <w:rPr>
                <w:rStyle w:val="FootnoteReference"/>
                <w:rFonts w:cstheme="minorHAnsi"/>
                <w:i/>
                <w:iCs/>
              </w:rPr>
              <w:footnoteReference w:id="16"/>
            </w:r>
          </w:p>
          <w:p w14:paraId="0113A5F6" w14:textId="77777777" w:rsidR="00C32A2E" w:rsidRDefault="00C32A2E" w:rsidP="0022093C">
            <w:pPr>
              <w:rPr>
                <w:rFonts w:cstheme="minorHAnsi"/>
              </w:rPr>
            </w:pPr>
            <w:r w:rsidRPr="00E658A2">
              <w:rPr>
                <w:rFonts w:cstheme="minorHAnsi"/>
                <w:i/>
                <w:iCs/>
              </w:rPr>
              <w:t xml:space="preserve">It would be impractical if the supports that a participant can obtain through the NDIS were limited to supports which related to the impairments which qualified them for access to the NDIS under s 24. After all, one can expect that over a lifetime a person’s impairments </w:t>
            </w:r>
            <w:r w:rsidRPr="00E658A2">
              <w:rPr>
                <w:rFonts w:cstheme="minorHAnsi"/>
                <w:i/>
                <w:iCs/>
              </w:rPr>
              <w:lastRenderedPageBreak/>
              <w:t>may change, whereas their application for access to the NDIS occurs once, at a particular point in time</w:t>
            </w:r>
            <w:r w:rsidRPr="0022093C">
              <w:rPr>
                <w:rFonts w:cstheme="minorHAnsi"/>
              </w:rPr>
              <w:t>.</w:t>
            </w:r>
            <w:r>
              <w:rPr>
                <w:rStyle w:val="FootnoteReference"/>
                <w:rFonts w:cstheme="minorHAnsi"/>
              </w:rPr>
              <w:footnoteReference w:id="17"/>
            </w:r>
          </w:p>
          <w:p w14:paraId="69D274BA" w14:textId="77777777" w:rsidR="00C32A2E" w:rsidRDefault="00C32A2E" w:rsidP="00E658A2">
            <w:pPr>
              <w:tabs>
                <w:tab w:val="clear" w:pos="288"/>
              </w:tabs>
              <w:jc w:val="both"/>
              <w:rPr>
                <w:rFonts w:cstheme="minorHAnsi"/>
              </w:rPr>
            </w:pPr>
            <w:r w:rsidRPr="00BA5130">
              <w:rPr>
                <w:rFonts w:cstheme="minorHAnsi"/>
                <w:i/>
                <w:iCs/>
                <w:szCs w:val="22"/>
              </w:rPr>
              <w:t xml:space="preserve">Similarly, there is no basis in the text, </w:t>
            </w:r>
            <w:proofErr w:type="gramStart"/>
            <w:r w:rsidRPr="00BA5130">
              <w:rPr>
                <w:rFonts w:cstheme="minorHAnsi"/>
                <w:i/>
                <w:iCs/>
                <w:szCs w:val="22"/>
              </w:rPr>
              <w:t>context</w:t>
            </w:r>
            <w:proofErr w:type="gramEnd"/>
            <w:r w:rsidRPr="00BA5130">
              <w:rPr>
                <w:rFonts w:cstheme="minorHAnsi"/>
                <w:i/>
                <w:iCs/>
                <w:szCs w:val="22"/>
              </w:rPr>
              <w:t xml:space="preserve"> or purpose of the Act to warrant reading the term disability in rule 5.1(b) as being subject to any implied limitation that it cannot encompass impairments beyond the “inner circle” of impairments that met the s 24 criteria for access to the Scheme. On a proper construction of the Act and Rules, the broad approach is to be preferred</w:t>
            </w:r>
            <w:r>
              <w:rPr>
                <w:rFonts w:cstheme="minorHAnsi"/>
                <w:i/>
                <w:iCs/>
                <w:szCs w:val="22"/>
              </w:rPr>
              <w:t>.</w:t>
            </w:r>
            <w:r>
              <w:rPr>
                <w:rStyle w:val="FootnoteReference"/>
                <w:rFonts w:cstheme="minorHAnsi"/>
                <w:i/>
                <w:iCs/>
                <w:szCs w:val="22"/>
              </w:rPr>
              <w:footnoteReference w:id="18"/>
            </w:r>
          </w:p>
        </w:tc>
      </w:tr>
      <w:tr w:rsidR="00C32A2E" w14:paraId="77AD4344" w14:textId="77777777" w:rsidTr="006D513C">
        <w:tc>
          <w:tcPr>
            <w:tcW w:w="0" w:type="auto"/>
          </w:tcPr>
          <w:p w14:paraId="0BFEA012" w14:textId="77777777" w:rsidR="00C32A2E" w:rsidRDefault="00C32A2E" w:rsidP="006D513C">
            <w:pPr>
              <w:pStyle w:val="Default"/>
              <w:rPr>
                <w:sz w:val="22"/>
                <w:szCs w:val="22"/>
              </w:rPr>
            </w:pPr>
            <w:r>
              <w:rPr>
                <w:i/>
                <w:iCs/>
                <w:sz w:val="22"/>
                <w:szCs w:val="22"/>
              </w:rPr>
              <w:lastRenderedPageBreak/>
              <w:t xml:space="preserve">Mulligan v National Disability Insurance Agency </w:t>
            </w:r>
            <w:r>
              <w:t xml:space="preserve">[2015] FCA 544.  </w:t>
            </w:r>
          </w:p>
          <w:p w14:paraId="424F7D8C" w14:textId="77777777" w:rsidR="00C32A2E" w:rsidRDefault="00C32A2E" w:rsidP="006D513C"/>
        </w:tc>
        <w:tc>
          <w:tcPr>
            <w:tcW w:w="0" w:type="auto"/>
          </w:tcPr>
          <w:p w14:paraId="7E9047BC" w14:textId="77777777" w:rsidR="00C32A2E" w:rsidRDefault="00C32A2E" w:rsidP="006D513C">
            <w:pPr>
              <w:rPr>
                <w:rFonts w:cstheme="minorHAnsi"/>
              </w:rPr>
            </w:pPr>
            <w:r>
              <w:rPr>
                <w:rFonts w:cstheme="minorHAnsi"/>
              </w:rPr>
              <w:t>Is the lead Federal Court Decision on the structure of the NDIS Act.  The Court states:</w:t>
            </w:r>
          </w:p>
          <w:p w14:paraId="730A92C3" w14:textId="77777777" w:rsidR="00C32A2E" w:rsidRDefault="00C32A2E" w:rsidP="006D513C">
            <w:pPr>
              <w:rPr>
                <w:rFonts w:cstheme="minorHAnsi"/>
              </w:rPr>
            </w:pPr>
            <w:r>
              <w:rPr>
                <w:i/>
                <w:iCs/>
                <w:szCs w:val="22"/>
              </w:rPr>
              <w:t xml:space="preserve">It is clear from the legislative scheme that the decision whether a person is or is not a participant is the threshold decision under the scheme, and the decision which enables access to </w:t>
            </w:r>
            <w:proofErr w:type="gramStart"/>
            <w:r>
              <w:rPr>
                <w:i/>
                <w:iCs/>
                <w:szCs w:val="22"/>
              </w:rPr>
              <w:t>the majority of</w:t>
            </w:r>
            <w:proofErr w:type="gramEnd"/>
            <w:r>
              <w:rPr>
                <w:i/>
                <w:iCs/>
                <w:szCs w:val="22"/>
              </w:rPr>
              <w:t xml:space="preserve"> benefits and funding available under the NDIS. However, what benefits and supports are provided, and how they are funded is subject to a separate decision-making process [34].</w:t>
            </w:r>
          </w:p>
        </w:tc>
      </w:tr>
      <w:tr w:rsidR="00C32A2E" w14:paraId="75068E9B" w14:textId="77777777" w:rsidTr="00C44459">
        <w:tc>
          <w:tcPr>
            <w:tcW w:w="0" w:type="auto"/>
          </w:tcPr>
          <w:p w14:paraId="4CFA7CAA" w14:textId="77777777" w:rsidR="00C32A2E" w:rsidRDefault="005874E7" w:rsidP="00C44459">
            <w:pPr>
              <w:rPr>
                <w:rFonts w:cstheme="minorHAnsi"/>
              </w:rPr>
            </w:pPr>
            <w:hyperlink r:id="rId18">
              <w:r w:rsidR="00C32A2E">
                <w:rPr>
                  <w:rStyle w:val="Hyperlink"/>
                </w:rPr>
                <w:t>VGCP and National Disability Insurance Agency [2020] AATA 5107</w:t>
              </w:r>
            </w:hyperlink>
            <w:r w:rsidR="00C32A2E" w:rsidRPr="3A8D8421">
              <w:rPr>
                <w:color w:val="000000" w:themeColor="text1"/>
              </w:rPr>
              <w:t xml:space="preserve"> </w:t>
            </w:r>
          </w:p>
        </w:tc>
        <w:tc>
          <w:tcPr>
            <w:tcW w:w="0" w:type="auto"/>
          </w:tcPr>
          <w:p w14:paraId="408D746D" w14:textId="77777777" w:rsidR="00C32A2E" w:rsidRDefault="00C32A2E" w:rsidP="00997E05">
            <w:pPr>
              <w:rPr>
                <w:rFonts w:cstheme="minorHAnsi"/>
              </w:rPr>
            </w:pPr>
            <w:proofErr w:type="gramStart"/>
            <w:r>
              <w:rPr>
                <w:rFonts w:cstheme="minorHAnsi"/>
              </w:rPr>
              <w:t>Also</w:t>
            </w:r>
            <w:proofErr w:type="gramEnd"/>
            <w:r>
              <w:rPr>
                <w:rFonts w:cstheme="minorHAnsi"/>
              </w:rPr>
              <w:t xml:space="preserve"> not a final decision, but noting the Tribunal member’s view that supports are linked to access.</w:t>
            </w:r>
          </w:p>
          <w:p w14:paraId="0DB85E4E" w14:textId="77777777" w:rsidR="00C32A2E" w:rsidRPr="00E658A2" w:rsidRDefault="00C32A2E" w:rsidP="00997E05">
            <w:pPr>
              <w:rPr>
                <w:rFonts w:cstheme="minorHAnsi"/>
                <w:i/>
                <w:iCs/>
              </w:rPr>
            </w:pPr>
            <w:r w:rsidRPr="00E658A2">
              <w:rPr>
                <w:rFonts w:cstheme="minorHAnsi"/>
                <w:i/>
                <w:iCs/>
              </w:rPr>
              <w:t>[F]or the purpose of specifying a statement or participant supports, s 34 of the National Disability Insurance Agency Act 2013, reasonable and necessary supports are determined by reference to any impairment or impairments in relation to which a participant meets the disability requirements under s 24 or the early intervention requirements under s 25.</w:t>
            </w:r>
            <w:r>
              <w:rPr>
                <w:rStyle w:val="FootnoteReference"/>
                <w:rFonts w:cstheme="minorHAnsi"/>
                <w:i/>
                <w:iCs/>
              </w:rPr>
              <w:footnoteReference w:id="19"/>
            </w:r>
          </w:p>
        </w:tc>
      </w:tr>
    </w:tbl>
    <w:p w14:paraId="13ED1962" w14:textId="77777777" w:rsidR="00E27258" w:rsidRDefault="00E27258" w:rsidP="0035614E"/>
    <w:sectPr w:rsidR="00E272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7619" w14:textId="77777777" w:rsidR="00E9240E" w:rsidRDefault="00E9240E" w:rsidP="007B289E">
      <w:r>
        <w:separator/>
      </w:r>
    </w:p>
  </w:endnote>
  <w:endnote w:type="continuationSeparator" w:id="0">
    <w:p w14:paraId="7E2BE2C2" w14:textId="77777777" w:rsidR="00E9240E" w:rsidRDefault="00E9240E" w:rsidP="007B289E">
      <w:r>
        <w:continuationSeparator/>
      </w:r>
    </w:p>
  </w:endnote>
  <w:endnote w:type="continuationNotice" w:id="1">
    <w:p w14:paraId="4DEA859C" w14:textId="77777777" w:rsidR="00E9240E" w:rsidRDefault="00E92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5387416"/>
      <w:docPartObj>
        <w:docPartGallery w:val="Page Numbers (Bottom of Page)"/>
        <w:docPartUnique/>
      </w:docPartObj>
    </w:sdtPr>
    <w:sdtEndPr>
      <w:rPr>
        <w:noProof/>
      </w:rPr>
    </w:sdtEndPr>
    <w:sdtContent>
      <w:p w14:paraId="39EF34FE" w14:textId="394F44A6" w:rsidR="00151A99" w:rsidRPr="000D4518" w:rsidRDefault="00151A99">
        <w:pPr>
          <w:pStyle w:val="Footer"/>
          <w:jc w:val="right"/>
          <w:rPr>
            <w:sz w:val="18"/>
            <w:szCs w:val="18"/>
          </w:rPr>
        </w:pPr>
        <w:r w:rsidRPr="000D4518">
          <w:rPr>
            <w:sz w:val="18"/>
            <w:szCs w:val="18"/>
          </w:rPr>
          <w:fldChar w:fldCharType="begin"/>
        </w:r>
        <w:r w:rsidRPr="000D4518">
          <w:rPr>
            <w:sz w:val="18"/>
            <w:szCs w:val="18"/>
          </w:rPr>
          <w:instrText xml:space="preserve"> PAGE   \* MERGEFORMAT </w:instrText>
        </w:r>
        <w:r w:rsidRPr="000D4518">
          <w:rPr>
            <w:sz w:val="18"/>
            <w:szCs w:val="18"/>
          </w:rPr>
          <w:fldChar w:fldCharType="separate"/>
        </w:r>
        <w:r w:rsidRPr="000D4518">
          <w:rPr>
            <w:noProof/>
            <w:sz w:val="18"/>
            <w:szCs w:val="18"/>
          </w:rPr>
          <w:t>2</w:t>
        </w:r>
        <w:r w:rsidRPr="000D4518">
          <w:rPr>
            <w:noProof/>
            <w:sz w:val="18"/>
            <w:szCs w:val="18"/>
          </w:rPr>
          <w:fldChar w:fldCharType="end"/>
        </w:r>
      </w:p>
    </w:sdtContent>
  </w:sdt>
  <w:p w14:paraId="2221B6C1" w14:textId="7041FFF9" w:rsidR="00151A99" w:rsidRPr="000D4518" w:rsidRDefault="00867C70">
    <w:pPr>
      <w:pStyle w:val="Footer"/>
      <w:rPr>
        <w:sz w:val="18"/>
        <w:szCs w:val="18"/>
      </w:rPr>
    </w:pPr>
    <w:r w:rsidRPr="000D4518">
      <w:rPr>
        <w:sz w:val="18"/>
        <w:szCs w:val="18"/>
      </w:rPr>
      <w:t xml:space="preserve">Prepared by </w:t>
    </w:r>
    <w:proofErr w:type="spellStart"/>
    <w:r w:rsidRPr="000D4518">
      <w:rPr>
        <w:sz w:val="18"/>
        <w:szCs w:val="18"/>
      </w:rPr>
      <w:t>V</w:t>
    </w:r>
    <w:r w:rsidR="00FC4E8A" w:rsidRPr="000D4518">
      <w:rPr>
        <w:sz w:val="18"/>
        <w:szCs w:val="18"/>
      </w:rPr>
      <w:t>illamanta</w:t>
    </w:r>
    <w:proofErr w:type="spellEnd"/>
    <w:r w:rsidR="007B268F" w:rsidRPr="000D4518">
      <w:rPr>
        <w:sz w:val="18"/>
        <w:szCs w:val="18"/>
      </w:rPr>
      <w:t xml:space="preserve"> Disability </w:t>
    </w:r>
    <w:r w:rsidR="0064267B" w:rsidRPr="000D4518">
      <w:rPr>
        <w:sz w:val="18"/>
        <w:szCs w:val="18"/>
      </w:rPr>
      <w:t>Rights Legal Service, Queensland Advocacy for Inclusion</w:t>
    </w:r>
    <w:r w:rsidR="00414294" w:rsidRPr="000D4518">
      <w:rPr>
        <w:sz w:val="18"/>
        <w:szCs w:val="18"/>
      </w:rPr>
      <w:t xml:space="preserve"> (QAI)</w:t>
    </w:r>
    <w:r w:rsidR="0064267B" w:rsidRPr="000D4518">
      <w:rPr>
        <w:sz w:val="18"/>
        <w:szCs w:val="18"/>
      </w:rPr>
      <w:t xml:space="preserve">, Darwin Community Legal Service and </w:t>
    </w:r>
    <w:r w:rsidR="00290C73" w:rsidRPr="000D4518">
      <w:rPr>
        <w:sz w:val="18"/>
        <w:szCs w:val="18"/>
      </w:rPr>
      <w:t xml:space="preserve">Rights Information and Advocacy </w:t>
    </w:r>
    <w:r w:rsidR="00E07074" w:rsidRPr="000D4518">
      <w:rPr>
        <w:sz w:val="18"/>
        <w:szCs w:val="18"/>
      </w:rPr>
      <w:t>Centre (</w:t>
    </w:r>
    <w:r w:rsidR="00414294" w:rsidRPr="000D4518">
      <w:rPr>
        <w:sz w:val="18"/>
        <w:szCs w:val="18"/>
      </w:rPr>
      <w:t>RIAC)</w:t>
    </w:r>
    <w:r w:rsidR="00414294">
      <w:rPr>
        <w:sz w:val="18"/>
        <w:szCs w:val="18"/>
      </w:rPr>
      <w:t xml:space="preserve"> – 2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9D65" w14:textId="77777777" w:rsidR="00E9240E" w:rsidRDefault="00E9240E" w:rsidP="007B289E">
      <w:r>
        <w:separator/>
      </w:r>
    </w:p>
  </w:footnote>
  <w:footnote w:type="continuationSeparator" w:id="0">
    <w:p w14:paraId="201A7946" w14:textId="77777777" w:rsidR="00E9240E" w:rsidRDefault="00E9240E" w:rsidP="007B289E">
      <w:r>
        <w:continuationSeparator/>
      </w:r>
    </w:p>
  </w:footnote>
  <w:footnote w:type="continuationNotice" w:id="1">
    <w:p w14:paraId="6D554A5F" w14:textId="77777777" w:rsidR="00E9240E" w:rsidRDefault="00E9240E"/>
  </w:footnote>
  <w:footnote w:id="2">
    <w:p w14:paraId="7B47C294" w14:textId="544AEF73" w:rsidR="00047E69" w:rsidRDefault="00047E69">
      <w:pPr>
        <w:pStyle w:val="FootnoteText"/>
      </w:pPr>
      <w:r>
        <w:rPr>
          <w:rStyle w:val="FootnoteReference"/>
        </w:rPr>
        <w:footnoteRef/>
      </w:r>
      <w:r>
        <w:t xml:space="preserve"> [51]</w:t>
      </w:r>
    </w:p>
  </w:footnote>
  <w:footnote w:id="3">
    <w:p w14:paraId="6ED0CC27" w14:textId="77777777" w:rsidR="00EF79C5" w:rsidRPr="00D24861" w:rsidRDefault="00EF79C5" w:rsidP="00EF79C5">
      <w:pPr>
        <w:pStyle w:val="FootnoteText"/>
        <w:rPr>
          <w:rFonts w:cstheme="minorHAnsi"/>
          <w:lang w:val="en-US"/>
        </w:rPr>
      </w:pPr>
      <w:r w:rsidRPr="00D24861">
        <w:rPr>
          <w:rStyle w:val="FootnoteReference"/>
          <w:rFonts w:cstheme="minorHAnsi"/>
        </w:rPr>
        <w:footnoteRef/>
      </w:r>
      <w:r w:rsidRPr="00D24861">
        <w:rPr>
          <w:rFonts w:cstheme="minorHAnsi"/>
        </w:rPr>
        <w:t xml:space="preserve"> Ibid, [34].</w:t>
      </w:r>
    </w:p>
  </w:footnote>
  <w:footnote w:id="4">
    <w:p w14:paraId="1497AE5D" w14:textId="244511E4" w:rsidR="70058CE9" w:rsidRPr="00B113E2" w:rsidRDefault="70058CE9" w:rsidP="00A02091">
      <w:pPr>
        <w:pStyle w:val="FootnoteText"/>
        <w:rPr>
          <w:rFonts w:ascii="Calibri" w:eastAsia="Calibri" w:hAnsi="Calibri" w:cs="Calibri"/>
          <w:color w:val="000000" w:themeColor="text1"/>
        </w:rPr>
      </w:pPr>
      <w:r w:rsidRPr="70058CE9">
        <w:rPr>
          <w:rStyle w:val="FootnoteReference"/>
        </w:rPr>
        <w:footnoteRef/>
      </w:r>
      <w:r>
        <w:t xml:space="preserve"> </w:t>
      </w:r>
      <w:r w:rsidRPr="00B113E2">
        <w:rPr>
          <w:rFonts w:ascii="Calibri" w:eastAsia="Calibri" w:hAnsi="Calibri" w:cs="Calibri"/>
          <w:color w:val="000000" w:themeColor="text1"/>
          <w:lang w:val="en-US"/>
        </w:rPr>
        <w:t>However, the Agency has started to include reference to the person’s impairment on which they relied to gain access where access has been agreed via consent at the AAT. For example:</w:t>
      </w:r>
    </w:p>
    <w:p w14:paraId="27EC32B3" w14:textId="48BE86C5" w:rsidR="70058CE9" w:rsidRDefault="70058CE9" w:rsidP="00A02091">
      <w:pPr>
        <w:jc w:val="both"/>
        <w:rPr>
          <w:rFonts w:ascii="Calibri" w:eastAsia="Calibri" w:hAnsi="Calibri" w:cs="Calibri"/>
          <w:color w:val="000000" w:themeColor="text1"/>
          <w:szCs w:val="22"/>
        </w:rPr>
      </w:pPr>
      <w:r w:rsidRPr="00B113E2">
        <w:rPr>
          <w:rFonts w:ascii="Calibri" w:eastAsia="Calibri" w:hAnsi="Calibri" w:cs="Calibri"/>
          <w:i/>
          <w:iCs/>
          <w:color w:val="000000" w:themeColor="text1"/>
          <w:sz w:val="20"/>
          <w:szCs w:val="20"/>
        </w:rPr>
        <w:t>The terms of the agreement are:</w:t>
      </w:r>
      <w:r w:rsidR="007A565E">
        <w:rPr>
          <w:rFonts w:ascii="Calibri" w:eastAsia="Calibri" w:hAnsi="Calibri" w:cs="Calibri"/>
          <w:i/>
          <w:iCs/>
          <w:color w:val="000000" w:themeColor="text1"/>
          <w:sz w:val="20"/>
          <w:szCs w:val="20"/>
        </w:rPr>
        <w:t xml:space="preserve"> </w:t>
      </w:r>
      <w:r w:rsidRPr="00B113E2">
        <w:rPr>
          <w:rFonts w:ascii="Calibri" w:eastAsia="Calibri" w:hAnsi="Calibri" w:cs="Calibri"/>
          <w:i/>
          <w:iCs/>
          <w:color w:val="000000" w:themeColor="text1"/>
          <w:sz w:val="20"/>
          <w:szCs w:val="20"/>
        </w:rPr>
        <w:t>(a) the internal review decision of [date] under s100(6) to confirm the reviewable decision of [date] under s20, is set aside and in substitution, it is decided that the Applicant meets the access criteria pursuant to s21, on the basis that they meet:</w:t>
      </w:r>
      <w:r w:rsidR="007A565E">
        <w:rPr>
          <w:rFonts w:ascii="Calibri" w:eastAsia="Calibri" w:hAnsi="Calibri" w:cs="Calibri"/>
          <w:i/>
          <w:iCs/>
          <w:color w:val="000000" w:themeColor="text1"/>
          <w:sz w:val="20"/>
          <w:szCs w:val="20"/>
        </w:rPr>
        <w:t xml:space="preserve"> </w:t>
      </w:r>
      <w:r w:rsidRPr="00B113E2">
        <w:rPr>
          <w:rFonts w:ascii="Calibri" w:eastAsia="Calibri" w:hAnsi="Calibri" w:cs="Calibri"/>
          <w:i/>
          <w:iCs/>
          <w:color w:val="000000" w:themeColor="text1"/>
          <w:sz w:val="20"/>
          <w:szCs w:val="20"/>
        </w:rPr>
        <w:t>i. the age requirements pursuant to s22;</w:t>
      </w:r>
      <w:r w:rsidR="007A565E">
        <w:rPr>
          <w:rFonts w:ascii="Calibri" w:eastAsia="Calibri" w:hAnsi="Calibri" w:cs="Calibri"/>
          <w:i/>
          <w:iCs/>
          <w:color w:val="000000" w:themeColor="text1"/>
          <w:sz w:val="20"/>
          <w:szCs w:val="20"/>
        </w:rPr>
        <w:t xml:space="preserve"> </w:t>
      </w:r>
      <w:r w:rsidRPr="00B113E2">
        <w:rPr>
          <w:rFonts w:ascii="Calibri" w:eastAsia="Calibri" w:hAnsi="Calibri" w:cs="Calibri"/>
          <w:i/>
          <w:iCs/>
          <w:color w:val="000000" w:themeColor="text1"/>
          <w:sz w:val="20"/>
          <w:szCs w:val="20"/>
        </w:rPr>
        <w:t>ii. the residence requirements pursuant to s23; and</w:t>
      </w:r>
      <w:r w:rsidR="007A565E">
        <w:rPr>
          <w:rFonts w:ascii="Calibri" w:eastAsia="Calibri" w:hAnsi="Calibri" w:cs="Calibri"/>
          <w:i/>
          <w:iCs/>
          <w:color w:val="000000" w:themeColor="text1"/>
          <w:sz w:val="20"/>
          <w:szCs w:val="20"/>
        </w:rPr>
        <w:t xml:space="preserve"> </w:t>
      </w:r>
      <w:r w:rsidRPr="00B113E2">
        <w:rPr>
          <w:rFonts w:ascii="Calibri" w:eastAsia="Calibri" w:hAnsi="Calibri" w:cs="Calibri"/>
          <w:i/>
          <w:iCs/>
          <w:color w:val="000000" w:themeColor="text1"/>
          <w:sz w:val="20"/>
          <w:szCs w:val="20"/>
        </w:rPr>
        <w:t>iii. the disability requirements pursuant to s24,</w:t>
      </w:r>
      <w:r w:rsidR="007A565E">
        <w:rPr>
          <w:rFonts w:ascii="Calibri" w:eastAsia="Calibri" w:hAnsi="Calibri" w:cs="Calibri"/>
          <w:i/>
          <w:iCs/>
          <w:color w:val="000000" w:themeColor="text1"/>
          <w:sz w:val="20"/>
          <w:szCs w:val="20"/>
        </w:rPr>
        <w:t xml:space="preserve"> </w:t>
      </w:r>
      <w:r w:rsidRPr="00B113E2">
        <w:rPr>
          <w:rFonts w:ascii="Calibri" w:eastAsia="Calibri" w:hAnsi="Calibri" w:cs="Calibri"/>
          <w:i/>
          <w:iCs/>
          <w:color w:val="000000" w:themeColor="text1"/>
          <w:sz w:val="20"/>
          <w:szCs w:val="20"/>
          <w:u w:val="single"/>
        </w:rPr>
        <w:t>with respect to their diagnosis of autism spectrum disorder (level 2).</w:t>
      </w:r>
    </w:p>
  </w:footnote>
  <w:footnote w:id="5">
    <w:p w14:paraId="4506B207" w14:textId="2FCC232A" w:rsidR="70058CE9" w:rsidRPr="007B3D66" w:rsidRDefault="70058CE9" w:rsidP="00A02091">
      <w:pPr>
        <w:pStyle w:val="FootnoteText"/>
        <w:rPr>
          <w:rFonts w:cstheme="minorHAnsi"/>
        </w:rPr>
      </w:pPr>
      <w:r w:rsidRPr="007B3D66">
        <w:rPr>
          <w:rStyle w:val="FootnoteReference"/>
          <w:rFonts w:cstheme="minorHAnsi"/>
        </w:rPr>
        <w:footnoteRef/>
      </w:r>
      <w:r w:rsidRPr="007B3D66">
        <w:rPr>
          <w:rFonts w:cstheme="minorHAnsi"/>
        </w:rPr>
        <w:t xml:space="preserve"> See Commonwealth Ombudsman complaint, and evidence to the Joint Standing Committee for further information</w:t>
      </w:r>
      <w:r w:rsidR="007B3D66" w:rsidRPr="007B3D66">
        <w:rPr>
          <w:rFonts w:cstheme="minorHAnsi"/>
        </w:rPr>
        <w:t>.</w:t>
      </w:r>
    </w:p>
  </w:footnote>
  <w:footnote w:id="6">
    <w:p w14:paraId="0984A36F" w14:textId="787347B8" w:rsidR="00C44459" w:rsidRDefault="00C44459">
      <w:pPr>
        <w:pStyle w:val="FootnoteText"/>
      </w:pPr>
      <w:r>
        <w:rPr>
          <w:rStyle w:val="FootnoteReference"/>
        </w:rPr>
        <w:footnoteRef/>
      </w:r>
      <w:r>
        <w:t xml:space="preserve"> See attachment for case law </w:t>
      </w:r>
      <w:proofErr w:type="gramStart"/>
      <w:r>
        <w:t>summary</w:t>
      </w:r>
      <w:proofErr w:type="gramEnd"/>
    </w:p>
  </w:footnote>
  <w:footnote w:id="7">
    <w:p w14:paraId="43E712DD" w14:textId="4347E890" w:rsidR="00CF0701" w:rsidRDefault="00CF0701">
      <w:pPr>
        <w:pStyle w:val="FootnoteText"/>
      </w:pPr>
      <w:r>
        <w:rPr>
          <w:rStyle w:val="FootnoteReference"/>
        </w:rPr>
        <w:footnoteRef/>
      </w:r>
      <w:r>
        <w:t xml:space="preserve"> Discussed </w:t>
      </w:r>
      <w:proofErr w:type="gramStart"/>
      <w:r>
        <w:t>below</w:t>
      </w:r>
      <w:proofErr w:type="gramEnd"/>
    </w:p>
  </w:footnote>
  <w:footnote w:id="8">
    <w:p w14:paraId="062A2356" w14:textId="11FF86B4" w:rsidR="00A14FF2" w:rsidRDefault="00A14FF2">
      <w:pPr>
        <w:pStyle w:val="FootnoteText"/>
      </w:pPr>
      <w:r>
        <w:rPr>
          <w:rStyle w:val="FootnoteReference"/>
        </w:rPr>
        <w:footnoteRef/>
      </w:r>
      <w:r>
        <w:t xml:space="preserve"> </w:t>
      </w:r>
      <w:r w:rsidRPr="00A14FF2">
        <w:t>Productivity Commission Inquiry Report No 54 dated 31 July 2011</w:t>
      </w:r>
    </w:p>
  </w:footnote>
  <w:footnote w:id="9">
    <w:p w14:paraId="0CDEF6D9" w14:textId="6D720144" w:rsidR="0069184B" w:rsidRDefault="0069184B">
      <w:pPr>
        <w:pStyle w:val="FootnoteText"/>
      </w:pPr>
      <w:r>
        <w:rPr>
          <w:rStyle w:val="FootnoteReference"/>
        </w:rPr>
        <w:footnoteRef/>
      </w:r>
      <w:r>
        <w:t xml:space="preserve"> </w:t>
      </w:r>
      <w:hyperlink r:id="rId1" w:history="1">
        <w:r w:rsidRPr="0069184B">
          <w:rPr>
            <w:rStyle w:val="Hyperlink"/>
          </w:rPr>
          <w:t>National Disability Insurance Agency v Davis [2022] FCA 1002 (29 August 2022)</w:t>
        </w:r>
      </w:hyperlink>
    </w:p>
  </w:footnote>
  <w:footnote w:id="10">
    <w:p w14:paraId="23EBF694" w14:textId="056F6F96" w:rsidR="00C44459" w:rsidRPr="00456797" w:rsidRDefault="00C44459" w:rsidP="00C44459">
      <w:pPr>
        <w:pStyle w:val="FootnoteText"/>
        <w:rPr>
          <w:rFonts w:cstheme="minorHAnsi"/>
          <w:lang w:val="en-US"/>
        </w:rPr>
      </w:pPr>
      <w:r w:rsidRPr="00456797">
        <w:rPr>
          <w:rStyle w:val="FootnoteReference"/>
          <w:rFonts w:cstheme="minorHAnsi"/>
        </w:rPr>
        <w:footnoteRef/>
      </w:r>
      <w:r w:rsidRPr="00456797">
        <w:rPr>
          <w:rFonts w:cstheme="minorHAnsi"/>
        </w:rPr>
        <w:t xml:space="preserve"> </w:t>
      </w:r>
      <w:r>
        <w:rPr>
          <w:rFonts w:cstheme="minorHAnsi"/>
        </w:rPr>
        <w:t xml:space="preserve">Justice Mortimer </w:t>
      </w:r>
      <w:r w:rsidR="00104D6A">
        <w:rPr>
          <w:rFonts w:cstheme="minorHAnsi"/>
        </w:rPr>
        <w:t xml:space="preserve">in the Federal Court decision of </w:t>
      </w:r>
      <w:r w:rsidRPr="00104D6A">
        <w:rPr>
          <w:rFonts w:cstheme="minorHAnsi"/>
          <w:i/>
          <w:iCs/>
          <w:lang w:val="en-US"/>
        </w:rPr>
        <w:t>National Disability Insurance Agency v Davis</w:t>
      </w:r>
      <w:r w:rsidRPr="00C44459">
        <w:rPr>
          <w:rFonts w:cstheme="minorHAnsi"/>
          <w:lang w:val="en-US"/>
        </w:rPr>
        <w:t xml:space="preserve"> [2022] FCA 1002</w:t>
      </w:r>
      <w:r w:rsidRPr="00456797">
        <w:rPr>
          <w:rFonts w:cstheme="minorHAnsi"/>
          <w:lang w:val="en-US"/>
        </w:rPr>
        <w:t xml:space="preserve"> [142].</w:t>
      </w:r>
    </w:p>
  </w:footnote>
  <w:footnote w:id="11">
    <w:p w14:paraId="04BCDFF0" w14:textId="0E02D48B" w:rsidR="00104D6A" w:rsidRDefault="00104D6A">
      <w:pPr>
        <w:pStyle w:val="FootnoteText"/>
      </w:pPr>
      <w:r>
        <w:rPr>
          <w:rStyle w:val="FootnoteReference"/>
        </w:rPr>
        <w:footnoteRef/>
      </w:r>
      <w:r>
        <w:t xml:space="preserve"> </w:t>
      </w:r>
      <w:hyperlink r:id="rId2" w:history="1">
        <w:r>
          <w:rPr>
            <w:rStyle w:val="Hyperlink"/>
          </w:rPr>
          <w:t>McLaughlin and National Disability Insurance Agency [2021] AATA 496</w:t>
        </w:r>
      </w:hyperlink>
      <w:r>
        <w:t xml:space="preserve"> [60]</w:t>
      </w:r>
    </w:p>
  </w:footnote>
  <w:footnote w:id="12">
    <w:p w14:paraId="1A3CDC15" w14:textId="66D9E619" w:rsidR="00452146" w:rsidRDefault="00452146">
      <w:pPr>
        <w:pStyle w:val="FootnoteText"/>
      </w:pPr>
      <w:r>
        <w:rPr>
          <w:rStyle w:val="FootnoteReference"/>
        </w:rPr>
        <w:footnoteRef/>
      </w:r>
      <w:r>
        <w:t xml:space="preserve"> </w:t>
      </w:r>
      <w:hyperlink r:id="rId3" w:anchor="Court_and_Administrative_Appeals_Tribunal_decisions" w:history="1">
        <w:r w:rsidRPr="00A5384A">
          <w:rPr>
            <w:rStyle w:val="Hyperlink"/>
          </w:rPr>
          <w:t>https://www.ato.gov.au/Business/Business-activity-statements-(BAS)/In-detail/Boosting-cash-flow-for-employers/?page=6#Court_and_Administrative_Appeals_Tribunal_decisions</w:t>
        </w:r>
      </w:hyperlink>
      <w:r w:rsidRPr="00452146">
        <w:t>.</w:t>
      </w:r>
      <w:r>
        <w:t xml:space="preserve"> </w:t>
      </w:r>
    </w:p>
  </w:footnote>
  <w:footnote w:id="13">
    <w:p w14:paraId="2C8556A3" w14:textId="77777777" w:rsidR="00FD3EEF" w:rsidRPr="00FA22A5" w:rsidRDefault="00FD3EEF" w:rsidP="00FD3EEF">
      <w:pPr>
        <w:pStyle w:val="FootnoteText"/>
        <w:rPr>
          <w:lang w:val="en-US"/>
        </w:rPr>
      </w:pPr>
      <w:r w:rsidRPr="003A345C">
        <w:rPr>
          <w:rStyle w:val="FootnoteReference"/>
          <w:rFonts w:cstheme="minorHAnsi"/>
        </w:rPr>
        <w:footnoteRef/>
      </w:r>
      <w:r w:rsidRPr="003A345C">
        <w:rPr>
          <w:rFonts w:cstheme="minorHAnsi"/>
        </w:rPr>
        <w:t xml:space="preserve"> </w:t>
      </w:r>
      <w:r w:rsidRPr="003A345C">
        <w:rPr>
          <w:rFonts w:cstheme="minorHAnsi"/>
          <w:lang w:val="en-US"/>
        </w:rPr>
        <w:t>See section 20 of the NDIS Act.</w:t>
      </w:r>
      <w:r>
        <w:rPr>
          <w:lang w:val="en-US"/>
        </w:rPr>
        <w:t xml:space="preserve"> </w:t>
      </w:r>
    </w:p>
  </w:footnote>
  <w:footnote w:id="14">
    <w:p w14:paraId="1799B9F6" w14:textId="77777777" w:rsidR="00C32A2E" w:rsidRDefault="00C32A2E">
      <w:pPr>
        <w:pStyle w:val="FootnoteText"/>
      </w:pPr>
      <w:r>
        <w:rPr>
          <w:rStyle w:val="FootnoteReference"/>
        </w:rPr>
        <w:footnoteRef/>
      </w:r>
      <w:r>
        <w:t xml:space="preserve"> [9]</w:t>
      </w:r>
    </w:p>
  </w:footnote>
  <w:footnote w:id="15">
    <w:p w14:paraId="7F7FCA56" w14:textId="5F9C6939" w:rsidR="00C32A2E" w:rsidRPr="00D24861" w:rsidRDefault="00C32A2E" w:rsidP="00997E05">
      <w:pPr>
        <w:pStyle w:val="FootnoteText"/>
        <w:rPr>
          <w:rFonts w:cstheme="minorHAnsi"/>
        </w:rPr>
      </w:pPr>
      <w:r w:rsidRPr="00D24861">
        <w:rPr>
          <w:rStyle w:val="FootnoteReference"/>
          <w:rFonts w:cstheme="minorHAnsi"/>
        </w:rPr>
        <w:footnoteRef/>
      </w:r>
      <w:r w:rsidRPr="00D24861">
        <w:rPr>
          <w:rFonts w:cstheme="minorHAnsi"/>
        </w:rPr>
        <w:t xml:space="preserve"> [8]</w:t>
      </w:r>
    </w:p>
  </w:footnote>
  <w:footnote w:id="16">
    <w:p w14:paraId="64823961" w14:textId="77777777" w:rsidR="00C32A2E" w:rsidRDefault="00C32A2E">
      <w:pPr>
        <w:pStyle w:val="FootnoteText"/>
      </w:pPr>
      <w:r>
        <w:rPr>
          <w:rStyle w:val="FootnoteReference"/>
        </w:rPr>
        <w:footnoteRef/>
      </w:r>
      <w:r>
        <w:t xml:space="preserve"> [46]</w:t>
      </w:r>
    </w:p>
  </w:footnote>
  <w:footnote w:id="17">
    <w:p w14:paraId="72E02D0E" w14:textId="77777777" w:rsidR="00C32A2E" w:rsidRDefault="00C32A2E">
      <w:pPr>
        <w:pStyle w:val="FootnoteText"/>
      </w:pPr>
      <w:r>
        <w:rPr>
          <w:rStyle w:val="FootnoteReference"/>
        </w:rPr>
        <w:footnoteRef/>
      </w:r>
      <w:r>
        <w:t xml:space="preserve"> [53]</w:t>
      </w:r>
    </w:p>
  </w:footnote>
  <w:footnote w:id="18">
    <w:p w14:paraId="1D2D64BB" w14:textId="77777777" w:rsidR="00C32A2E" w:rsidRDefault="00C32A2E">
      <w:pPr>
        <w:pStyle w:val="FootnoteText"/>
      </w:pPr>
      <w:r>
        <w:rPr>
          <w:rStyle w:val="FootnoteReference"/>
        </w:rPr>
        <w:footnoteRef/>
      </w:r>
      <w:r>
        <w:t xml:space="preserve"> [59]</w:t>
      </w:r>
    </w:p>
  </w:footnote>
  <w:footnote w:id="19">
    <w:p w14:paraId="717E0A1C" w14:textId="77777777" w:rsidR="00C32A2E" w:rsidRPr="00E658A2" w:rsidRDefault="00C32A2E" w:rsidP="00E658A2">
      <w:pPr>
        <w:rPr>
          <w:sz w:val="20"/>
          <w:szCs w:val="20"/>
        </w:rPr>
      </w:pPr>
      <w:r>
        <w:rPr>
          <w:rStyle w:val="FootnoteReference"/>
        </w:rPr>
        <w:footnoteRef/>
      </w:r>
      <w:r>
        <w:t xml:space="preserve"> [47</w:t>
      </w:r>
      <w:proofErr w:type="gramStart"/>
      <w:r>
        <w:t xml:space="preserve">]  </w:t>
      </w:r>
      <w:proofErr w:type="spellStart"/>
      <w:r w:rsidRPr="00E658A2">
        <w:rPr>
          <w:sz w:val="20"/>
          <w:szCs w:val="20"/>
        </w:rPr>
        <w:t>Villamanta</w:t>
      </w:r>
      <w:proofErr w:type="spellEnd"/>
      <w:proofErr w:type="gramEnd"/>
      <w:r w:rsidRPr="00E658A2">
        <w:rPr>
          <w:sz w:val="20"/>
          <w:szCs w:val="20"/>
        </w:rPr>
        <w:t xml:space="preserve"> Disability Rights Legal Service Inc. acted for the Applicant in that case and notes that this decision resulted from an interlocutory hearing in which the issue in dispute had already been resolved.  The parties did not put their positions to the Tribunal, rather the Tribunal published what is extensively a lengthy opinion piece and not a decision based on the facts of a matter before the </w:t>
      </w:r>
      <w:proofErr w:type="gramStart"/>
      <w:r w:rsidRPr="00E658A2">
        <w:rPr>
          <w:sz w:val="20"/>
          <w:szCs w:val="20"/>
        </w:rPr>
        <w:t>Tribunal</w:t>
      </w:r>
      <w:proofErr w:type="gramEnd"/>
    </w:p>
    <w:p w14:paraId="0B56CC83" w14:textId="77777777" w:rsidR="00C32A2E" w:rsidRDefault="00C32A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058CE9" w14:paraId="23F04A93" w14:textId="77777777" w:rsidTr="00A02091">
      <w:trPr>
        <w:trHeight w:val="300"/>
      </w:trPr>
      <w:tc>
        <w:tcPr>
          <w:tcW w:w="3005" w:type="dxa"/>
        </w:tcPr>
        <w:p w14:paraId="319CFC0A" w14:textId="54066F8D" w:rsidR="70058CE9" w:rsidRDefault="70058CE9" w:rsidP="00A02091">
          <w:pPr>
            <w:pStyle w:val="Header"/>
            <w:ind w:left="-115"/>
          </w:pPr>
        </w:p>
      </w:tc>
      <w:tc>
        <w:tcPr>
          <w:tcW w:w="3005" w:type="dxa"/>
        </w:tcPr>
        <w:p w14:paraId="3DA25463" w14:textId="1E2DBBF8" w:rsidR="70058CE9" w:rsidRDefault="70058CE9" w:rsidP="00A02091">
          <w:pPr>
            <w:pStyle w:val="Header"/>
            <w:jc w:val="center"/>
          </w:pPr>
        </w:p>
      </w:tc>
      <w:tc>
        <w:tcPr>
          <w:tcW w:w="3005" w:type="dxa"/>
        </w:tcPr>
        <w:p w14:paraId="6A9DF43C" w14:textId="24ED3D49" w:rsidR="70058CE9" w:rsidRDefault="70058CE9" w:rsidP="00A02091">
          <w:pPr>
            <w:pStyle w:val="Header"/>
            <w:ind w:right="-115"/>
            <w:jc w:val="right"/>
          </w:pPr>
        </w:p>
      </w:tc>
    </w:tr>
  </w:tbl>
  <w:p w14:paraId="770D0103" w14:textId="314D29A6" w:rsidR="70058CE9" w:rsidRPr="000D4518" w:rsidRDefault="70058CE9" w:rsidP="00414294">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DE62" w14:textId="77777777" w:rsidR="00414294" w:rsidRPr="00680030" w:rsidRDefault="00414294" w:rsidP="00414294">
    <w:pPr>
      <w:pStyle w:val="Header"/>
      <w:rPr>
        <w:sz w:val="18"/>
        <w:szCs w:val="18"/>
      </w:rPr>
    </w:pPr>
    <w:r w:rsidRPr="00680030">
      <w:rPr>
        <w:sz w:val="18"/>
        <w:szCs w:val="18"/>
      </w:rPr>
      <w:t>Briefing Paper for the NDIS Review Panel: 2 March 2023</w:t>
    </w:r>
  </w:p>
  <w:p w14:paraId="6A92F0A0" w14:textId="77777777" w:rsidR="00414294" w:rsidRDefault="00414294">
    <w:pPr>
      <w:pStyle w:val="Header"/>
    </w:pPr>
  </w:p>
</w:hdr>
</file>

<file path=word/intelligence2.xml><?xml version="1.0" encoding="utf-8"?>
<int2:intelligence xmlns:int2="http://schemas.microsoft.com/office/intelligence/2020/intelligence" xmlns:oel="http://schemas.microsoft.com/office/2019/extlst">
  <int2:observations>
    <int2:textHash int2:hashCode="xQy+KnIliT8rxm" int2:id="IoHRQHF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36"/>
    <w:multiLevelType w:val="hybridMultilevel"/>
    <w:tmpl w:val="53625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AFE4B90"/>
    <w:multiLevelType w:val="hybridMultilevel"/>
    <w:tmpl w:val="139EDF5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DDE794A"/>
    <w:multiLevelType w:val="hybridMultilevel"/>
    <w:tmpl w:val="96C6C55C"/>
    <w:lvl w:ilvl="0" w:tplc="FFFFFFFF">
      <w:start w:val="9"/>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10B07FA"/>
    <w:multiLevelType w:val="hybridMultilevel"/>
    <w:tmpl w:val="45AAFE42"/>
    <w:lvl w:ilvl="0" w:tplc="D0F86B06">
      <w:start w:val="1"/>
      <w:numFmt w:val="decimal"/>
      <w:lvlText w:val="%1."/>
      <w:lvlJc w:val="left"/>
      <w:pPr>
        <w:ind w:left="720" w:hanging="360"/>
      </w:pPr>
    </w:lvl>
    <w:lvl w:ilvl="1" w:tplc="1F2AE76E">
      <w:start w:val="1"/>
      <w:numFmt w:val="lowerLetter"/>
      <w:lvlText w:val="%2."/>
      <w:lvlJc w:val="left"/>
      <w:pPr>
        <w:ind w:left="1440" w:hanging="360"/>
      </w:pPr>
    </w:lvl>
    <w:lvl w:ilvl="2" w:tplc="1FAA00D0">
      <w:start w:val="1"/>
      <w:numFmt w:val="lowerRoman"/>
      <w:lvlText w:val="%3."/>
      <w:lvlJc w:val="right"/>
      <w:pPr>
        <w:ind w:left="2160" w:hanging="180"/>
      </w:pPr>
    </w:lvl>
    <w:lvl w:ilvl="3" w:tplc="AB5ED110">
      <w:start w:val="1"/>
      <w:numFmt w:val="decimal"/>
      <w:lvlText w:val="%4."/>
      <w:lvlJc w:val="left"/>
      <w:pPr>
        <w:ind w:left="2880" w:hanging="360"/>
      </w:pPr>
    </w:lvl>
    <w:lvl w:ilvl="4" w:tplc="CE8A3B40">
      <w:start w:val="1"/>
      <w:numFmt w:val="lowerLetter"/>
      <w:lvlText w:val="%5."/>
      <w:lvlJc w:val="left"/>
      <w:pPr>
        <w:ind w:left="3600" w:hanging="360"/>
      </w:pPr>
    </w:lvl>
    <w:lvl w:ilvl="5" w:tplc="8A3CB7A4">
      <w:start w:val="1"/>
      <w:numFmt w:val="lowerRoman"/>
      <w:lvlText w:val="%6."/>
      <w:lvlJc w:val="right"/>
      <w:pPr>
        <w:ind w:left="4320" w:hanging="180"/>
      </w:pPr>
    </w:lvl>
    <w:lvl w:ilvl="6" w:tplc="986E3AB8">
      <w:start w:val="1"/>
      <w:numFmt w:val="decimal"/>
      <w:lvlText w:val="%7."/>
      <w:lvlJc w:val="left"/>
      <w:pPr>
        <w:ind w:left="5040" w:hanging="360"/>
      </w:pPr>
    </w:lvl>
    <w:lvl w:ilvl="7" w:tplc="27F08E62">
      <w:start w:val="1"/>
      <w:numFmt w:val="lowerLetter"/>
      <w:lvlText w:val="%8."/>
      <w:lvlJc w:val="left"/>
      <w:pPr>
        <w:ind w:left="5760" w:hanging="360"/>
      </w:pPr>
    </w:lvl>
    <w:lvl w:ilvl="8" w:tplc="E2462E7E">
      <w:start w:val="1"/>
      <w:numFmt w:val="lowerRoman"/>
      <w:lvlText w:val="%9."/>
      <w:lvlJc w:val="right"/>
      <w:pPr>
        <w:ind w:left="6480" w:hanging="180"/>
      </w:pPr>
    </w:lvl>
  </w:abstractNum>
  <w:abstractNum w:abstractNumId="4" w15:restartNumberingAfterBreak="0">
    <w:nsid w:val="288E1CCD"/>
    <w:multiLevelType w:val="multilevel"/>
    <w:tmpl w:val="FEEAF1F4"/>
    <w:lvl w:ilvl="0">
      <w:start w:val="1"/>
      <w:numFmt w:val="decimal"/>
      <w:lvlText w:val="%1."/>
      <w:lvlJc w:val="left"/>
      <w:pPr>
        <w:tabs>
          <w:tab w:val="num" w:pos="720"/>
        </w:tabs>
        <w:ind w:left="720" w:hanging="360"/>
      </w:pPr>
    </w:lvl>
    <w:lvl w:ilvl="1">
      <w:start w:val="52"/>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CE7C86"/>
    <w:multiLevelType w:val="hybridMultilevel"/>
    <w:tmpl w:val="0C902C4A"/>
    <w:lvl w:ilvl="0" w:tplc="9B2C786A">
      <w:start w:val="1"/>
      <w:numFmt w:val="decimal"/>
      <w:lvlText w:val="%1."/>
      <w:lvlJc w:val="left"/>
      <w:pPr>
        <w:ind w:left="720" w:hanging="360"/>
      </w:pPr>
    </w:lvl>
    <w:lvl w:ilvl="1" w:tplc="DDAE1F5E">
      <w:start w:val="1"/>
      <w:numFmt w:val="lowerLetter"/>
      <w:lvlText w:val="%2."/>
      <w:lvlJc w:val="left"/>
      <w:pPr>
        <w:ind w:left="1440" w:hanging="360"/>
      </w:pPr>
    </w:lvl>
    <w:lvl w:ilvl="2" w:tplc="AFAE2258">
      <w:start w:val="1"/>
      <w:numFmt w:val="lowerRoman"/>
      <w:lvlText w:val="%3."/>
      <w:lvlJc w:val="right"/>
      <w:pPr>
        <w:ind w:left="2160" w:hanging="180"/>
      </w:pPr>
    </w:lvl>
    <w:lvl w:ilvl="3" w:tplc="E11EF24A">
      <w:start w:val="1"/>
      <w:numFmt w:val="decimal"/>
      <w:lvlText w:val="%4."/>
      <w:lvlJc w:val="left"/>
      <w:pPr>
        <w:ind w:left="2880" w:hanging="360"/>
      </w:pPr>
    </w:lvl>
    <w:lvl w:ilvl="4" w:tplc="AB5675D2">
      <w:start w:val="1"/>
      <w:numFmt w:val="lowerLetter"/>
      <w:lvlText w:val="%5."/>
      <w:lvlJc w:val="left"/>
      <w:pPr>
        <w:ind w:left="3600" w:hanging="360"/>
      </w:pPr>
    </w:lvl>
    <w:lvl w:ilvl="5" w:tplc="545CCA68">
      <w:start w:val="1"/>
      <w:numFmt w:val="lowerRoman"/>
      <w:lvlText w:val="%6."/>
      <w:lvlJc w:val="right"/>
      <w:pPr>
        <w:ind w:left="4320" w:hanging="180"/>
      </w:pPr>
    </w:lvl>
    <w:lvl w:ilvl="6" w:tplc="8C80A2B4">
      <w:start w:val="1"/>
      <w:numFmt w:val="decimal"/>
      <w:lvlText w:val="%7."/>
      <w:lvlJc w:val="left"/>
      <w:pPr>
        <w:ind w:left="5040" w:hanging="360"/>
      </w:pPr>
    </w:lvl>
    <w:lvl w:ilvl="7" w:tplc="6984535A">
      <w:start w:val="1"/>
      <w:numFmt w:val="lowerLetter"/>
      <w:lvlText w:val="%8."/>
      <w:lvlJc w:val="left"/>
      <w:pPr>
        <w:ind w:left="5760" w:hanging="360"/>
      </w:pPr>
    </w:lvl>
    <w:lvl w:ilvl="8" w:tplc="FBC65D66">
      <w:start w:val="1"/>
      <w:numFmt w:val="lowerRoman"/>
      <w:lvlText w:val="%9."/>
      <w:lvlJc w:val="right"/>
      <w:pPr>
        <w:ind w:left="6480" w:hanging="180"/>
      </w:pPr>
    </w:lvl>
  </w:abstractNum>
  <w:abstractNum w:abstractNumId="6" w15:restartNumberingAfterBreak="0">
    <w:nsid w:val="2F73096A"/>
    <w:multiLevelType w:val="hybridMultilevel"/>
    <w:tmpl w:val="9E7A443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7" w15:restartNumberingAfterBreak="0">
    <w:nsid w:val="32A468DA"/>
    <w:multiLevelType w:val="multilevel"/>
    <w:tmpl w:val="785E1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967536"/>
    <w:multiLevelType w:val="multilevel"/>
    <w:tmpl w:val="FEEAF1F4"/>
    <w:lvl w:ilvl="0">
      <w:start w:val="1"/>
      <w:numFmt w:val="decimal"/>
      <w:lvlText w:val="%1."/>
      <w:lvlJc w:val="left"/>
      <w:pPr>
        <w:tabs>
          <w:tab w:val="num" w:pos="720"/>
        </w:tabs>
        <w:ind w:left="720" w:hanging="360"/>
      </w:pPr>
    </w:lvl>
    <w:lvl w:ilvl="1">
      <w:start w:val="52"/>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7808A1"/>
    <w:multiLevelType w:val="hybridMultilevel"/>
    <w:tmpl w:val="5798D2AA"/>
    <w:lvl w:ilvl="0" w:tplc="5DB432B4">
      <w:start w:val="1"/>
      <w:numFmt w:val="decimal"/>
      <w:lvlText w:val="%1."/>
      <w:lvlJc w:val="left"/>
      <w:pPr>
        <w:ind w:left="720" w:hanging="360"/>
      </w:pPr>
    </w:lvl>
    <w:lvl w:ilvl="1" w:tplc="730E3E36">
      <w:start w:val="1"/>
      <w:numFmt w:val="lowerLetter"/>
      <w:lvlText w:val="%2."/>
      <w:lvlJc w:val="left"/>
      <w:pPr>
        <w:ind w:left="1440" w:hanging="360"/>
      </w:pPr>
    </w:lvl>
    <w:lvl w:ilvl="2" w:tplc="E7567924">
      <w:start w:val="1"/>
      <w:numFmt w:val="lowerRoman"/>
      <w:lvlText w:val="%3."/>
      <w:lvlJc w:val="right"/>
      <w:pPr>
        <w:ind w:left="2160" w:hanging="180"/>
      </w:pPr>
    </w:lvl>
    <w:lvl w:ilvl="3" w:tplc="CA92C940">
      <w:start w:val="1"/>
      <w:numFmt w:val="decimal"/>
      <w:lvlText w:val="%4."/>
      <w:lvlJc w:val="left"/>
      <w:pPr>
        <w:ind w:left="2880" w:hanging="360"/>
      </w:pPr>
    </w:lvl>
    <w:lvl w:ilvl="4" w:tplc="3014BA56">
      <w:start w:val="1"/>
      <w:numFmt w:val="lowerLetter"/>
      <w:lvlText w:val="%5."/>
      <w:lvlJc w:val="left"/>
      <w:pPr>
        <w:ind w:left="3600" w:hanging="360"/>
      </w:pPr>
    </w:lvl>
    <w:lvl w:ilvl="5" w:tplc="2806F98E">
      <w:start w:val="1"/>
      <w:numFmt w:val="lowerRoman"/>
      <w:lvlText w:val="%6."/>
      <w:lvlJc w:val="right"/>
      <w:pPr>
        <w:ind w:left="4320" w:hanging="180"/>
      </w:pPr>
    </w:lvl>
    <w:lvl w:ilvl="6" w:tplc="68761480">
      <w:start w:val="1"/>
      <w:numFmt w:val="decimal"/>
      <w:lvlText w:val="%7."/>
      <w:lvlJc w:val="left"/>
      <w:pPr>
        <w:ind w:left="5040" w:hanging="360"/>
      </w:pPr>
    </w:lvl>
    <w:lvl w:ilvl="7" w:tplc="DAD26DCA">
      <w:start w:val="1"/>
      <w:numFmt w:val="lowerLetter"/>
      <w:lvlText w:val="%8."/>
      <w:lvlJc w:val="left"/>
      <w:pPr>
        <w:ind w:left="5760" w:hanging="360"/>
      </w:pPr>
    </w:lvl>
    <w:lvl w:ilvl="8" w:tplc="4336DFFE">
      <w:start w:val="1"/>
      <w:numFmt w:val="lowerRoman"/>
      <w:lvlText w:val="%9."/>
      <w:lvlJc w:val="right"/>
      <w:pPr>
        <w:ind w:left="6480" w:hanging="180"/>
      </w:pPr>
    </w:lvl>
  </w:abstractNum>
  <w:abstractNum w:abstractNumId="10" w15:restartNumberingAfterBreak="0">
    <w:nsid w:val="43681E1D"/>
    <w:multiLevelType w:val="hybridMultilevel"/>
    <w:tmpl w:val="D326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59B4B8"/>
    <w:multiLevelType w:val="hybridMultilevel"/>
    <w:tmpl w:val="5262D680"/>
    <w:lvl w:ilvl="0" w:tplc="A8880D62">
      <w:start w:val="1"/>
      <w:numFmt w:val="decimal"/>
      <w:lvlText w:val="%1."/>
      <w:lvlJc w:val="left"/>
      <w:pPr>
        <w:ind w:left="720" w:hanging="360"/>
      </w:pPr>
    </w:lvl>
    <w:lvl w:ilvl="1" w:tplc="D0DAB178">
      <w:start w:val="1"/>
      <w:numFmt w:val="lowerLetter"/>
      <w:lvlText w:val="%2."/>
      <w:lvlJc w:val="left"/>
      <w:pPr>
        <w:ind w:left="1440" w:hanging="360"/>
      </w:pPr>
    </w:lvl>
    <w:lvl w:ilvl="2" w:tplc="E89417AE">
      <w:start w:val="1"/>
      <w:numFmt w:val="lowerRoman"/>
      <w:lvlText w:val="%3."/>
      <w:lvlJc w:val="right"/>
      <w:pPr>
        <w:ind w:left="2160" w:hanging="180"/>
      </w:pPr>
    </w:lvl>
    <w:lvl w:ilvl="3" w:tplc="E932D254">
      <w:start w:val="1"/>
      <w:numFmt w:val="decimal"/>
      <w:lvlText w:val="%4."/>
      <w:lvlJc w:val="left"/>
      <w:pPr>
        <w:ind w:left="2880" w:hanging="360"/>
      </w:pPr>
    </w:lvl>
    <w:lvl w:ilvl="4" w:tplc="8CA8A38E">
      <w:start w:val="1"/>
      <w:numFmt w:val="lowerLetter"/>
      <w:lvlText w:val="%5."/>
      <w:lvlJc w:val="left"/>
      <w:pPr>
        <w:ind w:left="3600" w:hanging="360"/>
      </w:pPr>
    </w:lvl>
    <w:lvl w:ilvl="5" w:tplc="F154C74E">
      <w:start w:val="1"/>
      <w:numFmt w:val="lowerRoman"/>
      <w:lvlText w:val="%6."/>
      <w:lvlJc w:val="right"/>
      <w:pPr>
        <w:ind w:left="4320" w:hanging="180"/>
      </w:pPr>
    </w:lvl>
    <w:lvl w:ilvl="6" w:tplc="8F00952E">
      <w:start w:val="1"/>
      <w:numFmt w:val="decimal"/>
      <w:lvlText w:val="%7."/>
      <w:lvlJc w:val="left"/>
      <w:pPr>
        <w:ind w:left="5040" w:hanging="360"/>
      </w:pPr>
    </w:lvl>
    <w:lvl w:ilvl="7" w:tplc="6E924110">
      <w:start w:val="1"/>
      <w:numFmt w:val="lowerLetter"/>
      <w:lvlText w:val="%8."/>
      <w:lvlJc w:val="left"/>
      <w:pPr>
        <w:ind w:left="5760" w:hanging="360"/>
      </w:pPr>
    </w:lvl>
    <w:lvl w:ilvl="8" w:tplc="57D89562">
      <w:start w:val="1"/>
      <w:numFmt w:val="lowerRoman"/>
      <w:lvlText w:val="%9."/>
      <w:lvlJc w:val="right"/>
      <w:pPr>
        <w:ind w:left="6480" w:hanging="180"/>
      </w:pPr>
    </w:lvl>
  </w:abstractNum>
  <w:abstractNum w:abstractNumId="12" w15:restartNumberingAfterBreak="0">
    <w:nsid w:val="4755C7B5"/>
    <w:multiLevelType w:val="multilevel"/>
    <w:tmpl w:val="53F4290C"/>
    <w:lvl w:ilvl="0">
      <w:start w:val="44"/>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D8724F"/>
    <w:multiLevelType w:val="multilevel"/>
    <w:tmpl w:val="C7E63924"/>
    <w:lvl w:ilvl="0">
      <w:start w:val="6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F890BC4"/>
    <w:multiLevelType w:val="hybridMultilevel"/>
    <w:tmpl w:val="1A2ECE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47A1D16"/>
    <w:multiLevelType w:val="hybridMultilevel"/>
    <w:tmpl w:val="E45C4AB2"/>
    <w:lvl w:ilvl="0" w:tplc="27206DEE">
      <w:start w:val="2"/>
      <w:numFmt w:val="lowerLetter"/>
      <w:lvlText w:val="(%1)"/>
      <w:lvlJc w:val="left"/>
      <w:pPr>
        <w:ind w:left="1440" w:hanging="360"/>
      </w:pPr>
      <w:rPr>
        <w:rFonts w:cstheme="minorHAnsi" w:hint="default"/>
        <w:i/>
        <w:color w:val="00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4CA7E17"/>
    <w:multiLevelType w:val="multilevel"/>
    <w:tmpl w:val="463242F4"/>
    <w:lvl w:ilvl="0">
      <w:start w:val="1"/>
      <w:numFmt w:val="bullet"/>
      <w:lvlText w:val=""/>
      <w:lvlJc w:val="left"/>
      <w:pPr>
        <w:ind w:left="720" w:hanging="360"/>
      </w:pPr>
      <w:rPr>
        <w:rFonts w:ascii="Symbol" w:hAnsi="Symbol" w:hint="default"/>
        <w:b w:val="0"/>
        <w:i w:val="0"/>
        <w:sz w:val="22"/>
        <w:szCs w:val="22"/>
      </w:rPr>
    </w:lvl>
    <w:lvl w:ilvl="1">
      <w:start w:val="1"/>
      <w:numFmt w:val="lowerRoman"/>
      <w:lvlText w:val="%2."/>
      <w:lvlJc w:val="right"/>
      <w:pPr>
        <w:ind w:left="1080" w:hanging="360"/>
      </w:pPr>
      <w:rPr>
        <w:b w:val="0"/>
        <w:bCs w:val="0"/>
        <w:i w:val="0"/>
        <w:iCs w:val="0"/>
      </w:rPr>
    </w:lvl>
    <w:lvl w:ilvl="2">
      <w:start w:val="1"/>
      <w:numFmt w:val="decimal"/>
      <w:lvlText w:val="%3)"/>
      <w:lvlJc w:val="left"/>
      <w:pPr>
        <w:ind w:left="1440" w:hanging="360"/>
      </w:pPr>
      <w:rPr>
        <w:b w:val="0"/>
        <w:bCs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614B4525"/>
    <w:multiLevelType w:val="hybridMultilevel"/>
    <w:tmpl w:val="160E9C8E"/>
    <w:lvl w:ilvl="0" w:tplc="A028BC52">
      <w:start w:val="2"/>
      <w:numFmt w:val="lowerLetter"/>
      <w:lvlText w:val="(%1)"/>
      <w:lvlJc w:val="left"/>
      <w:pPr>
        <w:ind w:left="1440" w:hanging="360"/>
      </w:pPr>
      <w:rPr>
        <w:rFonts w:cstheme="minorHAnsi" w:hint="default"/>
        <w:i/>
        <w:color w:val="00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6C88B06"/>
    <w:multiLevelType w:val="hybridMultilevel"/>
    <w:tmpl w:val="8FECDB9E"/>
    <w:lvl w:ilvl="0" w:tplc="BA98E4D8">
      <w:start w:val="1"/>
      <w:numFmt w:val="decimal"/>
      <w:lvlText w:val="%1."/>
      <w:lvlJc w:val="left"/>
      <w:pPr>
        <w:ind w:left="720" w:hanging="360"/>
      </w:pPr>
    </w:lvl>
    <w:lvl w:ilvl="1" w:tplc="B1CA01A4">
      <w:start w:val="1"/>
      <w:numFmt w:val="lowerLetter"/>
      <w:lvlText w:val="%2."/>
      <w:lvlJc w:val="left"/>
      <w:pPr>
        <w:ind w:left="1440" w:hanging="360"/>
      </w:pPr>
    </w:lvl>
    <w:lvl w:ilvl="2" w:tplc="340647B2">
      <w:start w:val="1"/>
      <w:numFmt w:val="lowerRoman"/>
      <w:lvlText w:val="%3."/>
      <w:lvlJc w:val="right"/>
      <w:pPr>
        <w:ind w:left="2160" w:hanging="180"/>
      </w:pPr>
    </w:lvl>
    <w:lvl w:ilvl="3" w:tplc="DE32A69A">
      <w:start w:val="1"/>
      <w:numFmt w:val="decimal"/>
      <w:lvlText w:val="%4."/>
      <w:lvlJc w:val="left"/>
      <w:pPr>
        <w:ind w:left="2880" w:hanging="360"/>
      </w:pPr>
    </w:lvl>
    <w:lvl w:ilvl="4" w:tplc="EF5AF9C0">
      <w:start w:val="1"/>
      <w:numFmt w:val="lowerLetter"/>
      <w:lvlText w:val="%5."/>
      <w:lvlJc w:val="left"/>
      <w:pPr>
        <w:ind w:left="3600" w:hanging="360"/>
      </w:pPr>
    </w:lvl>
    <w:lvl w:ilvl="5" w:tplc="D1425B34">
      <w:start w:val="1"/>
      <w:numFmt w:val="lowerRoman"/>
      <w:lvlText w:val="%6."/>
      <w:lvlJc w:val="right"/>
      <w:pPr>
        <w:ind w:left="4320" w:hanging="180"/>
      </w:pPr>
    </w:lvl>
    <w:lvl w:ilvl="6" w:tplc="57FCDF80">
      <w:start w:val="1"/>
      <w:numFmt w:val="decimal"/>
      <w:lvlText w:val="%7."/>
      <w:lvlJc w:val="left"/>
      <w:pPr>
        <w:ind w:left="5040" w:hanging="360"/>
      </w:pPr>
    </w:lvl>
    <w:lvl w:ilvl="7" w:tplc="B4DCFAA2">
      <w:start w:val="1"/>
      <w:numFmt w:val="lowerLetter"/>
      <w:lvlText w:val="%8."/>
      <w:lvlJc w:val="left"/>
      <w:pPr>
        <w:ind w:left="5760" w:hanging="360"/>
      </w:pPr>
    </w:lvl>
    <w:lvl w:ilvl="8" w:tplc="D67E47EA">
      <w:start w:val="1"/>
      <w:numFmt w:val="lowerRoman"/>
      <w:lvlText w:val="%9."/>
      <w:lvlJc w:val="right"/>
      <w:pPr>
        <w:ind w:left="6480" w:hanging="180"/>
      </w:pPr>
    </w:lvl>
  </w:abstractNum>
  <w:abstractNum w:abstractNumId="19" w15:restartNumberingAfterBreak="0">
    <w:nsid w:val="711055F7"/>
    <w:multiLevelType w:val="multilevel"/>
    <w:tmpl w:val="2D86EA28"/>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267F03"/>
    <w:multiLevelType w:val="hybridMultilevel"/>
    <w:tmpl w:val="C3343700"/>
    <w:lvl w:ilvl="0" w:tplc="56DEDA0E">
      <w:start w:val="1"/>
      <w:numFmt w:val="decimal"/>
      <w:lvlText w:val="%1."/>
      <w:lvlJc w:val="left"/>
      <w:pPr>
        <w:ind w:left="720" w:hanging="360"/>
      </w:pPr>
    </w:lvl>
    <w:lvl w:ilvl="1" w:tplc="F6582884">
      <w:start w:val="1"/>
      <w:numFmt w:val="lowerLetter"/>
      <w:lvlText w:val="%2."/>
      <w:lvlJc w:val="left"/>
      <w:pPr>
        <w:ind w:left="1440" w:hanging="360"/>
      </w:pPr>
    </w:lvl>
    <w:lvl w:ilvl="2" w:tplc="95962932">
      <w:start w:val="1"/>
      <w:numFmt w:val="lowerRoman"/>
      <w:lvlText w:val="%3."/>
      <w:lvlJc w:val="right"/>
      <w:pPr>
        <w:ind w:left="2160" w:hanging="180"/>
      </w:pPr>
    </w:lvl>
    <w:lvl w:ilvl="3" w:tplc="DB807320">
      <w:start w:val="1"/>
      <w:numFmt w:val="decimal"/>
      <w:lvlText w:val="%4."/>
      <w:lvlJc w:val="left"/>
      <w:pPr>
        <w:ind w:left="2880" w:hanging="360"/>
      </w:pPr>
    </w:lvl>
    <w:lvl w:ilvl="4" w:tplc="15E41B48">
      <w:start w:val="1"/>
      <w:numFmt w:val="lowerLetter"/>
      <w:lvlText w:val="%5."/>
      <w:lvlJc w:val="left"/>
      <w:pPr>
        <w:ind w:left="3600" w:hanging="360"/>
      </w:pPr>
    </w:lvl>
    <w:lvl w:ilvl="5" w:tplc="ECECD372">
      <w:start w:val="1"/>
      <w:numFmt w:val="lowerRoman"/>
      <w:lvlText w:val="%6."/>
      <w:lvlJc w:val="right"/>
      <w:pPr>
        <w:ind w:left="4320" w:hanging="180"/>
      </w:pPr>
    </w:lvl>
    <w:lvl w:ilvl="6" w:tplc="7C72926C">
      <w:start w:val="1"/>
      <w:numFmt w:val="decimal"/>
      <w:lvlText w:val="%7."/>
      <w:lvlJc w:val="left"/>
      <w:pPr>
        <w:ind w:left="5040" w:hanging="360"/>
      </w:pPr>
    </w:lvl>
    <w:lvl w:ilvl="7" w:tplc="D6285F94">
      <w:start w:val="1"/>
      <w:numFmt w:val="lowerLetter"/>
      <w:lvlText w:val="%8."/>
      <w:lvlJc w:val="left"/>
      <w:pPr>
        <w:ind w:left="5760" w:hanging="360"/>
      </w:pPr>
    </w:lvl>
    <w:lvl w:ilvl="8" w:tplc="13F4D1B6">
      <w:start w:val="1"/>
      <w:numFmt w:val="lowerRoman"/>
      <w:lvlText w:val="%9."/>
      <w:lvlJc w:val="right"/>
      <w:pPr>
        <w:ind w:left="6480" w:hanging="180"/>
      </w:pPr>
    </w:lvl>
  </w:abstractNum>
  <w:abstractNum w:abstractNumId="21" w15:restartNumberingAfterBreak="0">
    <w:nsid w:val="72C83587"/>
    <w:multiLevelType w:val="hybridMultilevel"/>
    <w:tmpl w:val="6D304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944B59"/>
    <w:multiLevelType w:val="hybridMultilevel"/>
    <w:tmpl w:val="96C6C55C"/>
    <w:lvl w:ilvl="0" w:tplc="C81A4442">
      <w:start w:val="9"/>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7B65474"/>
    <w:multiLevelType w:val="multilevel"/>
    <w:tmpl w:val="41328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1072B1"/>
    <w:multiLevelType w:val="multilevel"/>
    <w:tmpl w:val="641E3222"/>
    <w:lvl w:ilvl="0">
      <w:start w:val="1"/>
      <w:numFmt w:val="decimal"/>
      <w:lvlText w:val="%1."/>
      <w:lvlJc w:val="left"/>
      <w:pPr>
        <w:ind w:left="720" w:hanging="360"/>
      </w:pPr>
      <w:rPr>
        <w:b w:val="0"/>
        <w:i w:val="0"/>
        <w:sz w:val="22"/>
        <w:szCs w:val="22"/>
      </w:rPr>
    </w:lvl>
    <w:lvl w:ilvl="1">
      <w:start w:val="1"/>
      <w:numFmt w:val="lowerRoman"/>
      <w:lvlText w:val="%2."/>
      <w:lvlJc w:val="right"/>
      <w:pPr>
        <w:ind w:left="1080" w:hanging="360"/>
      </w:pPr>
      <w:rPr>
        <w:b w:val="0"/>
        <w:bCs w:val="0"/>
        <w:i w:val="0"/>
        <w:iCs w:val="0"/>
      </w:rPr>
    </w:lvl>
    <w:lvl w:ilvl="2">
      <w:start w:val="1"/>
      <w:numFmt w:val="decimal"/>
      <w:lvlText w:val="%3)"/>
      <w:lvlJc w:val="left"/>
      <w:pPr>
        <w:ind w:left="1440" w:hanging="360"/>
      </w:pPr>
      <w:rPr>
        <w:b w:val="0"/>
        <w:bCs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949431661">
    <w:abstractNumId w:val="9"/>
  </w:num>
  <w:num w:numId="2" w16cid:durableId="823205921">
    <w:abstractNumId w:val="20"/>
  </w:num>
  <w:num w:numId="3" w16cid:durableId="1664777721">
    <w:abstractNumId w:val="3"/>
  </w:num>
  <w:num w:numId="4" w16cid:durableId="1204170143">
    <w:abstractNumId w:val="11"/>
  </w:num>
  <w:num w:numId="5" w16cid:durableId="958682590">
    <w:abstractNumId w:val="18"/>
  </w:num>
  <w:num w:numId="6" w16cid:durableId="756370247">
    <w:abstractNumId w:val="5"/>
  </w:num>
  <w:num w:numId="7" w16cid:durableId="641155956">
    <w:abstractNumId w:val="19"/>
  </w:num>
  <w:num w:numId="8" w16cid:durableId="1650284313">
    <w:abstractNumId w:val="12"/>
  </w:num>
  <w:num w:numId="9" w16cid:durableId="1780249778">
    <w:abstractNumId w:val="7"/>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4464358">
    <w:abstractNumId w:val="7"/>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6867049">
    <w:abstractNumId w:val="7"/>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296152">
    <w:abstractNumId w:val="8"/>
    <w:lvlOverride w:ilvl="0">
      <w:startOverride w:val="59"/>
    </w:lvlOverride>
  </w:num>
  <w:num w:numId="13" w16cid:durableId="512692780">
    <w:abstractNumId w:val="13"/>
  </w:num>
  <w:num w:numId="14" w16cid:durableId="1247350261">
    <w:abstractNumId w:val="24"/>
  </w:num>
  <w:num w:numId="15" w16cid:durableId="369189805">
    <w:abstractNumId w:val="17"/>
  </w:num>
  <w:num w:numId="16" w16cid:durableId="796530796">
    <w:abstractNumId w:val="15"/>
  </w:num>
  <w:num w:numId="17" w16cid:durableId="741028107">
    <w:abstractNumId w:val="6"/>
  </w:num>
  <w:num w:numId="18" w16cid:durableId="2046364739">
    <w:abstractNumId w:val="0"/>
  </w:num>
  <w:num w:numId="19" w16cid:durableId="28263075">
    <w:abstractNumId w:val="16"/>
  </w:num>
  <w:num w:numId="20" w16cid:durableId="353193674">
    <w:abstractNumId w:val="22"/>
  </w:num>
  <w:num w:numId="21" w16cid:durableId="1654020308">
    <w:abstractNumId w:val="0"/>
  </w:num>
  <w:num w:numId="22" w16cid:durableId="1474835249">
    <w:abstractNumId w:val="2"/>
  </w:num>
  <w:num w:numId="23" w16cid:durableId="695619542">
    <w:abstractNumId w:val="14"/>
  </w:num>
  <w:num w:numId="24" w16cid:durableId="1742292678">
    <w:abstractNumId w:val="23"/>
  </w:num>
  <w:num w:numId="25" w16cid:durableId="203031695">
    <w:abstractNumId w:val="1"/>
  </w:num>
  <w:num w:numId="26" w16cid:durableId="117380321">
    <w:abstractNumId w:val="10"/>
  </w:num>
  <w:num w:numId="27" w16cid:durableId="267810652">
    <w:abstractNumId w:val="4"/>
  </w:num>
  <w:num w:numId="28" w16cid:durableId="2144399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9E"/>
    <w:rsid w:val="00002411"/>
    <w:rsid w:val="0000490C"/>
    <w:rsid w:val="00011230"/>
    <w:rsid w:val="000163D3"/>
    <w:rsid w:val="0001648C"/>
    <w:rsid w:val="00023690"/>
    <w:rsid w:val="0003178A"/>
    <w:rsid w:val="00040056"/>
    <w:rsid w:val="00047E69"/>
    <w:rsid w:val="00053809"/>
    <w:rsid w:val="000553AD"/>
    <w:rsid w:val="0006255F"/>
    <w:rsid w:val="00083332"/>
    <w:rsid w:val="000977E5"/>
    <w:rsid w:val="000A19EF"/>
    <w:rsid w:val="000C6136"/>
    <w:rsid w:val="000D05F2"/>
    <w:rsid w:val="000D4518"/>
    <w:rsid w:val="000D52BB"/>
    <w:rsid w:val="000E35C8"/>
    <w:rsid w:val="000E498E"/>
    <w:rsid w:val="000E61F6"/>
    <w:rsid w:val="000F751C"/>
    <w:rsid w:val="0010250E"/>
    <w:rsid w:val="00104D6A"/>
    <w:rsid w:val="0010728F"/>
    <w:rsid w:val="001122F5"/>
    <w:rsid w:val="00125943"/>
    <w:rsid w:val="0013283C"/>
    <w:rsid w:val="00142757"/>
    <w:rsid w:val="00142BBF"/>
    <w:rsid w:val="00143AEB"/>
    <w:rsid w:val="00144CDC"/>
    <w:rsid w:val="001463DB"/>
    <w:rsid w:val="00151A99"/>
    <w:rsid w:val="001674AE"/>
    <w:rsid w:val="00176E25"/>
    <w:rsid w:val="00182478"/>
    <w:rsid w:val="00184116"/>
    <w:rsid w:val="001972B3"/>
    <w:rsid w:val="001B096B"/>
    <w:rsid w:val="001B29B7"/>
    <w:rsid w:val="001C2463"/>
    <w:rsid w:val="001D1CCC"/>
    <w:rsid w:val="001E6A22"/>
    <w:rsid w:val="001E7C07"/>
    <w:rsid w:val="001F2A4A"/>
    <w:rsid w:val="001F4E73"/>
    <w:rsid w:val="00200F7D"/>
    <w:rsid w:val="00211243"/>
    <w:rsid w:val="002157DB"/>
    <w:rsid w:val="0022093C"/>
    <w:rsid w:val="002244B2"/>
    <w:rsid w:val="0022565C"/>
    <w:rsid w:val="00227512"/>
    <w:rsid w:val="0025166C"/>
    <w:rsid w:val="00257AE3"/>
    <w:rsid w:val="0026289D"/>
    <w:rsid w:val="002710A7"/>
    <w:rsid w:val="002759A3"/>
    <w:rsid w:val="00290C73"/>
    <w:rsid w:val="002942C1"/>
    <w:rsid w:val="0029E96C"/>
    <w:rsid w:val="002A1E9E"/>
    <w:rsid w:val="002A602B"/>
    <w:rsid w:val="002A7267"/>
    <w:rsid w:val="002B5B8C"/>
    <w:rsid w:val="002C527B"/>
    <w:rsid w:val="002D23B5"/>
    <w:rsid w:val="002D3522"/>
    <w:rsid w:val="002D669E"/>
    <w:rsid w:val="002F6251"/>
    <w:rsid w:val="002F687F"/>
    <w:rsid w:val="00313B36"/>
    <w:rsid w:val="0032318F"/>
    <w:rsid w:val="003330A5"/>
    <w:rsid w:val="0033427A"/>
    <w:rsid w:val="003369DD"/>
    <w:rsid w:val="0033798C"/>
    <w:rsid w:val="00340254"/>
    <w:rsid w:val="00350C88"/>
    <w:rsid w:val="0035614E"/>
    <w:rsid w:val="003569B5"/>
    <w:rsid w:val="00371F76"/>
    <w:rsid w:val="00385743"/>
    <w:rsid w:val="00385831"/>
    <w:rsid w:val="00386D10"/>
    <w:rsid w:val="00391553"/>
    <w:rsid w:val="003A0362"/>
    <w:rsid w:val="003A672A"/>
    <w:rsid w:val="003C1C59"/>
    <w:rsid w:val="003D729C"/>
    <w:rsid w:val="003E0CDB"/>
    <w:rsid w:val="003E57B4"/>
    <w:rsid w:val="003E6203"/>
    <w:rsid w:val="003E7599"/>
    <w:rsid w:val="004004D6"/>
    <w:rsid w:val="00402160"/>
    <w:rsid w:val="00402BE0"/>
    <w:rsid w:val="00414294"/>
    <w:rsid w:val="00414B38"/>
    <w:rsid w:val="0041588C"/>
    <w:rsid w:val="004206FF"/>
    <w:rsid w:val="00424AC6"/>
    <w:rsid w:val="00425330"/>
    <w:rsid w:val="004305D7"/>
    <w:rsid w:val="00441BFF"/>
    <w:rsid w:val="00451858"/>
    <w:rsid w:val="00452146"/>
    <w:rsid w:val="004559F1"/>
    <w:rsid w:val="004578AF"/>
    <w:rsid w:val="004710B3"/>
    <w:rsid w:val="004743E3"/>
    <w:rsid w:val="004775B3"/>
    <w:rsid w:val="004815C3"/>
    <w:rsid w:val="00490BF2"/>
    <w:rsid w:val="00493C02"/>
    <w:rsid w:val="004958E6"/>
    <w:rsid w:val="004A15F6"/>
    <w:rsid w:val="004A3C52"/>
    <w:rsid w:val="004C07C0"/>
    <w:rsid w:val="004C2CF5"/>
    <w:rsid w:val="004C3447"/>
    <w:rsid w:val="004C4801"/>
    <w:rsid w:val="004C4C37"/>
    <w:rsid w:val="004D01BA"/>
    <w:rsid w:val="004F4F30"/>
    <w:rsid w:val="00504193"/>
    <w:rsid w:val="00513F12"/>
    <w:rsid w:val="00525F11"/>
    <w:rsid w:val="005312A5"/>
    <w:rsid w:val="0053248D"/>
    <w:rsid w:val="005340CC"/>
    <w:rsid w:val="00536902"/>
    <w:rsid w:val="005409EE"/>
    <w:rsid w:val="00543032"/>
    <w:rsid w:val="005449F9"/>
    <w:rsid w:val="00544EE7"/>
    <w:rsid w:val="00553BD8"/>
    <w:rsid w:val="005636F2"/>
    <w:rsid w:val="00567C55"/>
    <w:rsid w:val="005775D7"/>
    <w:rsid w:val="00581A5D"/>
    <w:rsid w:val="0058696F"/>
    <w:rsid w:val="005A030B"/>
    <w:rsid w:val="005A2359"/>
    <w:rsid w:val="005A64CD"/>
    <w:rsid w:val="005B3799"/>
    <w:rsid w:val="005B3E93"/>
    <w:rsid w:val="005B4958"/>
    <w:rsid w:val="005B5EA6"/>
    <w:rsid w:val="005B6CA5"/>
    <w:rsid w:val="005C482B"/>
    <w:rsid w:val="005C66CD"/>
    <w:rsid w:val="005D1F5B"/>
    <w:rsid w:val="005D50EA"/>
    <w:rsid w:val="005D786B"/>
    <w:rsid w:val="005F19F2"/>
    <w:rsid w:val="005F4648"/>
    <w:rsid w:val="005F5167"/>
    <w:rsid w:val="005F7782"/>
    <w:rsid w:val="005F79E8"/>
    <w:rsid w:val="0060142D"/>
    <w:rsid w:val="00601F5C"/>
    <w:rsid w:val="006020B3"/>
    <w:rsid w:val="00604D2C"/>
    <w:rsid w:val="00606075"/>
    <w:rsid w:val="00623DBE"/>
    <w:rsid w:val="00635AE6"/>
    <w:rsid w:val="0064170E"/>
    <w:rsid w:val="0064267B"/>
    <w:rsid w:val="00643078"/>
    <w:rsid w:val="00643EC2"/>
    <w:rsid w:val="0064453E"/>
    <w:rsid w:val="00651ABD"/>
    <w:rsid w:val="00660F64"/>
    <w:rsid w:val="00661722"/>
    <w:rsid w:val="0066356B"/>
    <w:rsid w:val="00666D66"/>
    <w:rsid w:val="00672541"/>
    <w:rsid w:val="00684F30"/>
    <w:rsid w:val="0069034B"/>
    <w:rsid w:val="0069184B"/>
    <w:rsid w:val="00691E23"/>
    <w:rsid w:val="00693427"/>
    <w:rsid w:val="00694133"/>
    <w:rsid w:val="006965B4"/>
    <w:rsid w:val="006A24A0"/>
    <w:rsid w:val="006A6EA7"/>
    <w:rsid w:val="006D2788"/>
    <w:rsid w:val="006D513C"/>
    <w:rsid w:val="006F1EFC"/>
    <w:rsid w:val="006F2967"/>
    <w:rsid w:val="0070206E"/>
    <w:rsid w:val="007044C5"/>
    <w:rsid w:val="00704E6D"/>
    <w:rsid w:val="00710E71"/>
    <w:rsid w:val="00714FF4"/>
    <w:rsid w:val="0071568A"/>
    <w:rsid w:val="00723C5E"/>
    <w:rsid w:val="00723D1E"/>
    <w:rsid w:val="0073244A"/>
    <w:rsid w:val="007479FD"/>
    <w:rsid w:val="007529E2"/>
    <w:rsid w:val="00760F57"/>
    <w:rsid w:val="00770AFB"/>
    <w:rsid w:val="00773778"/>
    <w:rsid w:val="00780F6E"/>
    <w:rsid w:val="00784AE2"/>
    <w:rsid w:val="007877BC"/>
    <w:rsid w:val="007903B2"/>
    <w:rsid w:val="00793347"/>
    <w:rsid w:val="007A40B3"/>
    <w:rsid w:val="007A52A2"/>
    <w:rsid w:val="007A565E"/>
    <w:rsid w:val="007B268F"/>
    <w:rsid w:val="007B289E"/>
    <w:rsid w:val="007B3D66"/>
    <w:rsid w:val="007F011C"/>
    <w:rsid w:val="007F232E"/>
    <w:rsid w:val="007F3B02"/>
    <w:rsid w:val="008152B3"/>
    <w:rsid w:val="00817945"/>
    <w:rsid w:val="00821BBF"/>
    <w:rsid w:val="00822221"/>
    <w:rsid w:val="00822DDC"/>
    <w:rsid w:val="00822DF6"/>
    <w:rsid w:val="00825B78"/>
    <w:rsid w:val="00834810"/>
    <w:rsid w:val="00836804"/>
    <w:rsid w:val="00861B53"/>
    <w:rsid w:val="00865EC4"/>
    <w:rsid w:val="00867301"/>
    <w:rsid w:val="00867C70"/>
    <w:rsid w:val="00871B48"/>
    <w:rsid w:val="008728F6"/>
    <w:rsid w:val="00873735"/>
    <w:rsid w:val="00873CDE"/>
    <w:rsid w:val="00873E70"/>
    <w:rsid w:val="00877211"/>
    <w:rsid w:val="00884349"/>
    <w:rsid w:val="008906A1"/>
    <w:rsid w:val="00894F75"/>
    <w:rsid w:val="008A2DFC"/>
    <w:rsid w:val="008A400C"/>
    <w:rsid w:val="008A5B8B"/>
    <w:rsid w:val="008B1271"/>
    <w:rsid w:val="008C2F06"/>
    <w:rsid w:val="008C37E9"/>
    <w:rsid w:val="008E266B"/>
    <w:rsid w:val="008EFD12"/>
    <w:rsid w:val="008F2E5E"/>
    <w:rsid w:val="008F569B"/>
    <w:rsid w:val="009236C8"/>
    <w:rsid w:val="0093395C"/>
    <w:rsid w:val="009553AA"/>
    <w:rsid w:val="009859C1"/>
    <w:rsid w:val="009907AF"/>
    <w:rsid w:val="00990E7B"/>
    <w:rsid w:val="00992E2D"/>
    <w:rsid w:val="009945A3"/>
    <w:rsid w:val="0099583F"/>
    <w:rsid w:val="00996801"/>
    <w:rsid w:val="00997E05"/>
    <w:rsid w:val="009A32F4"/>
    <w:rsid w:val="009B1625"/>
    <w:rsid w:val="009B7C72"/>
    <w:rsid w:val="009B7D5B"/>
    <w:rsid w:val="009C34DA"/>
    <w:rsid w:val="009D0A03"/>
    <w:rsid w:val="009D2B5A"/>
    <w:rsid w:val="009D644B"/>
    <w:rsid w:val="009D745E"/>
    <w:rsid w:val="009F6859"/>
    <w:rsid w:val="00A02091"/>
    <w:rsid w:val="00A03314"/>
    <w:rsid w:val="00A14FF2"/>
    <w:rsid w:val="00A2273E"/>
    <w:rsid w:val="00A26A81"/>
    <w:rsid w:val="00A27641"/>
    <w:rsid w:val="00A32FED"/>
    <w:rsid w:val="00A34D71"/>
    <w:rsid w:val="00A52FE1"/>
    <w:rsid w:val="00A625D3"/>
    <w:rsid w:val="00A6304E"/>
    <w:rsid w:val="00A64FD2"/>
    <w:rsid w:val="00A66BE2"/>
    <w:rsid w:val="00A73294"/>
    <w:rsid w:val="00A747F6"/>
    <w:rsid w:val="00A74EA5"/>
    <w:rsid w:val="00A755F7"/>
    <w:rsid w:val="00A77F36"/>
    <w:rsid w:val="00A815D5"/>
    <w:rsid w:val="00A85B61"/>
    <w:rsid w:val="00A87FFC"/>
    <w:rsid w:val="00A90D25"/>
    <w:rsid w:val="00A97D07"/>
    <w:rsid w:val="00AA38E0"/>
    <w:rsid w:val="00AA3BAC"/>
    <w:rsid w:val="00AA6959"/>
    <w:rsid w:val="00AB2488"/>
    <w:rsid w:val="00AC235E"/>
    <w:rsid w:val="00AC367B"/>
    <w:rsid w:val="00AC517A"/>
    <w:rsid w:val="00AE1831"/>
    <w:rsid w:val="00AE3705"/>
    <w:rsid w:val="00B113E2"/>
    <w:rsid w:val="00B13992"/>
    <w:rsid w:val="00B31018"/>
    <w:rsid w:val="00B328CF"/>
    <w:rsid w:val="00B33402"/>
    <w:rsid w:val="00B50D4B"/>
    <w:rsid w:val="00B52E9A"/>
    <w:rsid w:val="00B53AFB"/>
    <w:rsid w:val="00B6336D"/>
    <w:rsid w:val="00B65F14"/>
    <w:rsid w:val="00B67F5F"/>
    <w:rsid w:val="00B81260"/>
    <w:rsid w:val="00B9147B"/>
    <w:rsid w:val="00B97DC6"/>
    <w:rsid w:val="00BA3B34"/>
    <w:rsid w:val="00BA4D70"/>
    <w:rsid w:val="00BA5C6F"/>
    <w:rsid w:val="00BB5D7D"/>
    <w:rsid w:val="00BB7BCB"/>
    <w:rsid w:val="00BC0642"/>
    <w:rsid w:val="00BC2B59"/>
    <w:rsid w:val="00BC3984"/>
    <w:rsid w:val="00BD1274"/>
    <w:rsid w:val="00BE08E3"/>
    <w:rsid w:val="00BE2CAB"/>
    <w:rsid w:val="00BE4DE3"/>
    <w:rsid w:val="00BF3002"/>
    <w:rsid w:val="00BF33D6"/>
    <w:rsid w:val="00BF4005"/>
    <w:rsid w:val="00C03405"/>
    <w:rsid w:val="00C11C9F"/>
    <w:rsid w:val="00C32A2E"/>
    <w:rsid w:val="00C42748"/>
    <w:rsid w:val="00C44459"/>
    <w:rsid w:val="00C50770"/>
    <w:rsid w:val="00C53EF2"/>
    <w:rsid w:val="00C61659"/>
    <w:rsid w:val="00C71147"/>
    <w:rsid w:val="00C72B34"/>
    <w:rsid w:val="00C83EBD"/>
    <w:rsid w:val="00C84CAA"/>
    <w:rsid w:val="00C95561"/>
    <w:rsid w:val="00CA1D64"/>
    <w:rsid w:val="00CA6DCB"/>
    <w:rsid w:val="00CB63CF"/>
    <w:rsid w:val="00CB6D5A"/>
    <w:rsid w:val="00CC3FF8"/>
    <w:rsid w:val="00CC47E8"/>
    <w:rsid w:val="00CD75B1"/>
    <w:rsid w:val="00CD7E32"/>
    <w:rsid w:val="00CE58CA"/>
    <w:rsid w:val="00CF0701"/>
    <w:rsid w:val="00CF1BCF"/>
    <w:rsid w:val="00CF5D47"/>
    <w:rsid w:val="00CF7256"/>
    <w:rsid w:val="00D002F6"/>
    <w:rsid w:val="00D10FD5"/>
    <w:rsid w:val="00D17063"/>
    <w:rsid w:val="00D23ED9"/>
    <w:rsid w:val="00D32E5B"/>
    <w:rsid w:val="00D40E40"/>
    <w:rsid w:val="00D515F1"/>
    <w:rsid w:val="00D53A19"/>
    <w:rsid w:val="00D54A8B"/>
    <w:rsid w:val="00D54D0C"/>
    <w:rsid w:val="00D56FD6"/>
    <w:rsid w:val="00D66F91"/>
    <w:rsid w:val="00D71D11"/>
    <w:rsid w:val="00D736A4"/>
    <w:rsid w:val="00D73F50"/>
    <w:rsid w:val="00D80D27"/>
    <w:rsid w:val="00DB1B41"/>
    <w:rsid w:val="00DB327C"/>
    <w:rsid w:val="00DB3C6D"/>
    <w:rsid w:val="00DD6209"/>
    <w:rsid w:val="00DF1D3D"/>
    <w:rsid w:val="00DF27F0"/>
    <w:rsid w:val="00DF5EF9"/>
    <w:rsid w:val="00E06AB2"/>
    <w:rsid w:val="00E07074"/>
    <w:rsid w:val="00E20FF8"/>
    <w:rsid w:val="00E2350C"/>
    <w:rsid w:val="00E27258"/>
    <w:rsid w:val="00E335A2"/>
    <w:rsid w:val="00E339EA"/>
    <w:rsid w:val="00E3402B"/>
    <w:rsid w:val="00E46CF7"/>
    <w:rsid w:val="00E47E15"/>
    <w:rsid w:val="00E56EDA"/>
    <w:rsid w:val="00E6479A"/>
    <w:rsid w:val="00E658A2"/>
    <w:rsid w:val="00E66437"/>
    <w:rsid w:val="00E76FFC"/>
    <w:rsid w:val="00E86531"/>
    <w:rsid w:val="00E9240E"/>
    <w:rsid w:val="00E94F5C"/>
    <w:rsid w:val="00EA0219"/>
    <w:rsid w:val="00EA43A0"/>
    <w:rsid w:val="00EA4643"/>
    <w:rsid w:val="00EA6ECC"/>
    <w:rsid w:val="00EC491B"/>
    <w:rsid w:val="00EC64F5"/>
    <w:rsid w:val="00EC6FFA"/>
    <w:rsid w:val="00ED2355"/>
    <w:rsid w:val="00EE533A"/>
    <w:rsid w:val="00EE57BF"/>
    <w:rsid w:val="00EE70E6"/>
    <w:rsid w:val="00EF79C5"/>
    <w:rsid w:val="00F01963"/>
    <w:rsid w:val="00F24194"/>
    <w:rsid w:val="00F3077E"/>
    <w:rsid w:val="00F34FDB"/>
    <w:rsid w:val="00F35C17"/>
    <w:rsid w:val="00F40656"/>
    <w:rsid w:val="00F407FA"/>
    <w:rsid w:val="00F40A15"/>
    <w:rsid w:val="00F459EC"/>
    <w:rsid w:val="00F51A8D"/>
    <w:rsid w:val="00F51F44"/>
    <w:rsid w:val="00F530EF"/>
    <w:rsid w:val="00F53902"/>
    <w:rsid w:val="00F5409B"/>
    <w:rsid w:val="00F54AD0"/>
    <w:rsid w:val="00F6352E"/>
    <w:rsid w:val="00F64D36"/>
    <w:rsid w:val="00F658C0"/>
    <w:rsid w:val="00F7394F"/>
    <w:rsid w:val="00F73E7A"/>
    <w:rsid w:val="00F75A57"/>
    <w:rsid w:val="00F765FD"/>
    <w:rsid w:val="00F80324"/>
    <w:rsid w:val="00F8756B"/>
    <w:rsid w:val="00F9438E"/>
    <w:rsid w:val="00F957CF"/>
    <w:rsid w:val="00FB3437"/>
    <w:rsid w:val="00FC00CE"/>
    <w:rsid w:val="00FC4E8A"/>
    <w:rsid w:val="00FC77DF"/>
    <w:rsid w:val="00FD3EEF"/>
    <w:rsid w:val="00FE10FF"/>
    <w:rsid w:val="00FE298C"/>
    <w:rsid w:val="0113CBC8"/>
    <w:rsid w:val="01FB71B5"/>
    <w:rsid w:val="022C93DB"/>
    <w:rsid w:val="0273DA86"/>
    <w:rsid w:val="02978CA6"/>
    <w:rsid w:val="02AAC161"/>
    <w:rsid w:val="03533444"/>
    <w:rsid w:val="0353879A"/>
    <w:rsid w:val="04129679"/>
    <w:rsid w:val="041FB23E"/>
    <w:rsid w:val="04A6BE5B"/>
    <w:rsid w:val="04E1A1EB"/>
    <w:rsid w:val="051AF034"/>
    <w:rsid w:val="059B4C3E"/>
    <w:rsid w:val="06A4FA7C"/>
    <w:rsid w:val="06A6A6AA"/>
    <w:rsid w:val="073D0D45"/>
    <w:rsid w:val="07802380"/>
    <w:rsid w:val="07FB7FE3"/>
    <w:rsid w:val="083195E4"/>
    <w:rsid w:val="0844C026"/>
    <w:rsid w:val="08D3408C"/>
    <w:rsid w:val="092F2DB2"/>
    <w:rsid w:val="092F5E35"/>
    <w:rsid w:val="0935EBDC"/>
    <w:rsid w:val="0963A8F1"/>
    <w:rsid w:val="0A3B9EFE"/>
    <w:rsid w:val="0A6BBAB5"/>
    <w:rsid w:val="0AD5CE1B"/>
    <w:rsid w:val="0B1B3E68"/>
    <w:rsid w:val="0B4D8452"/>
    <w:rsid w:val="0BAE833C"/>
    <w:rsid w:val="0BEE2355"/>
    <w:rsid w:val="0C3171EA"/>
    <w:rsid w:val="0C614941"/>
    <w:rsid w:val="0CE28D8E"/>
    <w:rsid w:val="0CE64CA3"/>
    <w:rsid w:val="0D25BB91"/>
    <w:rsid w:val="0D3CCDCE"/>
    <w:rsid w:val="0D59E0C0"/>
    <w:rsid w:val="0DCE12C5"/>
    <w:rsid w:val="0E02F1EB"/>
    <w:rsid w:val="0E3DB302"/>
    <w:rsid w:val="0E66977A"/>
    <w:rsid w:val="0EA39F01"/>
    <w:rsid w:val="0EACEC5D"/>
    <w:rsid w:val="0F491922"/>
    <w:rsid w:val="0F946EC2"/>
    <w:rsid w:val="0F98EA03"/>
    <w:rsid w:val="0FD79D2E"/>
    <w:rsid w:val="0FDE80FF"/>
    <w:rsid w:val="0FF3DF20"/>
    <w:rsid w:val="107D68D8"/>
    <w:rsid w:val="10D2377B"/>
    <w:rsid w:val="113C08E9"/>
    <w:rsid w:val="11438246"/>
    <w:rsid w:val="11A5EF08"/>
    <w:rsid w:val="125938D1"/>
    <w:rsid w:val="1279F97F"/>
    <w:rsid w:val="12B7DB70"/>
    <w:rsid w:val="12C6DAAC"/>
    <w:rsid w:val="1309787A"/>
    <w:rsid w:val="13589637"/>
    <w:rsid w:val="13CF2AE4"/>
    <w:rsid w:val="13DF797D"/>
    <w:rsid w:val="14060784"/>
    <w:rsid w:val="144980D1"/>
    <w:rsid w:val="1533B17B"/>
    <w:rsid w:val="15C018FD"/>
    <w:rsid w:val="15DA6994"/>
    <w:rsid w:val="15E55132"/>
    <w:rsid w:val="15E5FE56"/>
    <w:rsid w:val="15E81EE4"/>
    <w:rsid w:val="15F0E81D"/>
    <w:rsid w:val="1698575F"/>
    <w:rsid w:val="1698D953"/>
    <w:rsid w:val="16C1E3B1"/>
    <w:rsid w:val="176A30E4"/>
    <w:rsid w:val="17D1A35C"/>
    <w:rsid w:val="17E83B7A"/>
    <w:rsid w:val="17EAD196"/>
    <w:rsid w:val="17FEAF96"/>
    <w:rsid w:val="182E1363"/>
    <w:rsid w:val="1885B5AB"/>
    <w:rsid w:val="1890533C"/>
    <w:rsid w:val="18CE1EC7"/>
    <w:rsid w:val="191788BB"/>
    <w:rsid w:val="198D5ECC"/>
    <w:rsid w:val="19AB054B"/>
    <w:rsid w:val="19AEAF5E"/>
    <w:rsid w:val="19BD2A7A"/>
    <w:rsid w:val="19FA781C"/>
    <w:rsid w:val="1A12D506"/>
    <w:rsid w:val="1AB8C255"/>
    <w:rsid w:val="1AE5FC32"/>
    <w:rsid w:val="1B760839"/>
    <w:rsid w:val="1B765A4F"/>
    <w:rsid w:val="1BA15D84"/>
    <w:rsid w:val="1BC7C376"/>
    <w:rsid w:val="1C1B8461"/>
    <w:rsid w:val="1C1E29E9"/>
    <w:rsid w:val="1CA8B9D7"/>
    <w:rsid w:val="1CC797B4"/>
    <w:rsid w:val="1CCA72B1"/>
    <w:rsid w:val="1CDEE16B"/>
    <w:rsid w:val="1D8F4F42"/>
    <w:rsid w:val="1DFD2281"/>
    <w:rsid w:val="1DFF1586"/>
    <w:rsid w:val="1E88BFB4"/>
    <w:rsid w:val="1F04DF1F"/>
    <w:rsid w:val="1F05E2A2"/>
    <w:rsid w:val="1F55CAAB"/>
    <w:rsid w:val="1FB8878C"/>
    <w:rsid w:val="1FF18234"/>
    <w:rsid w:val="205EE088"/>
    <w:rsid w:val="20B9E141"/>
    <w:rsid w:val="20D61C6D"/>
    <w:rsid w:val="21A67D94"/>
    <w:rsid w:val="21A97081"/>
    <w:rsid w:val="21B1E0ED"/>
    <w:rsid w:val="222578C4"/>
    <w:rsid w:val="2245ECE5"/>
    <w:rsid w:val="225864C4"/>
    <w:rsid w:val="22843363"/>
    <w:rsid w:val="231BA91D"/>
    <w:rsid w:val="23617E73"/>
    <w:rsid w:val="23A900E3"/>
    <w:rsid w:val="23ADABE3"/>
    <w:rsid w:val="23F2943C"/>
    <w:rsid w:val="2434B3C0"/>
    <w:rsid w:val="24D936C2"/>
    <w:rsid w:val="2508B2A0"/>
    <w:rsid w:val="2510ABC8"/>
    <w:rsid w:val="25494AB6"/>
    <w:rsid w:val="2562F1CF"/>
    <w:rsid w:val="25777B4A"/>
    <w:rsid w:val="25F1C8CA"/>
    <w:rsid w:val="25F6F5E9"/>
    <w:rsid w:val="262D007A"/>
    <w:rsid w:val="2683A9BE"/>
    <w:rsid w:val="269448BE"/>
    <w:rsid w:val="2821AB20"/>
    <w:rsid w:val="283A0E7F"/>
    <w:rsid w:val="28404186"/>
    <w:rsid w:val="284EF4A8"/>
    <w:rsid w:val="2858B796"/>
    <w:rsid w:val="289A9291"/>
    <w:rsid w:val="28AC4233"/>
    <w:rsid w:val="28EAB02F"/>
    <w:rsid w:val="28F1AAA4"/>
    <w:rsid w:val="29A1032F"/>
    <w:rsid w:val="29F28CED"/>
    <w:rsid w:val="29F88220"/>
    <w:rsid w:val="2A08A745"/>
    <w:rsid w:val="2A5EEE1C"/>
    <w:rsid w:val="2A7452A8"/>
    <w:rsid w:val="2A9497E6"/>
    <w:rsid w:val="2ABBF913"/>
    <w:rsid w:val="2BDE11AE"/>
    <w:rsid w:val="2C3E824C"/>
    <w:rsid w:val="2C95B848"/>
    <w:rsid w:val="2CE16459"/>
    <w:rsid w:val="2D1348D6"/>
    <w:rsid w:val="2D2A810A"/>
    <w:rsid w:val="2D6DD947"/>
    <w:rsid w:val="2DC7B881"/>
    <w:rsid w:val="2EB44534"/>
    <w:rsid w:val="2EF1BE3A"/>
    <w:rsid w:val="2F1F5A29"/>
    <w:rsid w:val="2F33B9B1"/>
    <w:rsid w:val="2F771B33"/>
    <w:rsid w:val="2FEA8043"/>
    <w:rsid w:val="303D433B"/>
    <w:rsid w:val="30993887"/>
    <w:rsid w:val="30E63452"/>
    <w:rsid w:val="316C3E18"/>
    <w:rsid w:val="31B47029"/>
    <w:rsid w:val="31C8F000"/>
    <w:rsid w:val="31FE8CD2"/>
    <w:rsid w:val="31FF99DC"/>
    <w:rsid w:val="3221FA9A"/>
    <w:rsid w:val="3244A812"/>
    <w:rsid w:val="3282723C"/>
    <w:rsid w:val="32E026DB"/>
    <w:rsid w:val="3307D843"/>
    <w:rsid w:val="330C852C"/>
    <w:rsid w:val="332F99BB"/>
    <w:rsid w:val="333FB3C4"/>
    <w:rsid w:val="3345DE54"/>
    <w:rsid w:val="336FF8E1"/>
    <w:rsid w:val="33763E4C"/>
    <w:rsid w:val="3394A96C"/>
    <w:rsid w:val="33F84159"/>
    <w:rsid w:val="34306BD4"/>
    <w:rsid w:val="34465004"/>
    <w:rsid w:val="347EEA41"/>
    <w:rsid w:val="3505756F"/>
    <w:rsid w:val="3549F61A"/>
    <w:rsid w:val="3580825B"/>
    <w:rsid w:val="36124F2E"/>
    <w:rsid w:val="3651310A"/>
    <w:rsid w:val="36A12C35"/>
    <w:rsid w:val="36B32507"/>
    <w:rsid w:val="36C760D6"/>
    <w:rsid w:val="36D30AFF"/>
    <w:rsid w:val="36D6576E"/>
    <w:rsid w:val="36EC6288"/>
    <w:rsid w:val="374F7309"/>
    <w:rsid w:val="3755E35F"/>
    <w:rsid w:val="378B984D"/>
    <w:rsid w:val="3845BC24"/>
    <w:rsid w:val="39078C94"/>
    <w:rsid w:val="3919C127"/>
    <w:rsid w:val="3999E699"/>
    <w:rsid w:val="3A760CFC"/>
    <w:rsid w:val="3A8D8421"/>
    <w:rsid w:val="3AB59188"/>
    <w:rsid w:val="3B4358D4"/>
    <w:rsid w:val="3BB334CE"/>
    <w:rsid w:val="3BB72F71"/>
    <w:rsid w:val="3C11DD5D"/>
    <w:rsid w:val="3C86CA47"/>
    <w:rsid w:val="3CE3C1CD"/>
    <w:rsid w:val="3E1626B7"/>
    <w:rsid w:val="3E338CAB"/>
    <w:rsid w:val="3E73999C"/>
    <w:rsid w:val="3E9970F5"/>
    <w:rsid w:val="3EC5EC31"/>
    <w:rsid w:val="3EE60A6A"/>
    <w:rsid w:val="3F466F2E"/>
    <w:rsid w:val="3FD68FE1"/>
    <w:rsid w:val="400D1B80"/>
    <w:rsid w:val="40A902D4"/>
    <w:rsid w:val="410CA7C9"/>
    <w:rsid w:val="4110251F"/>
    <w:rsid w:val="4142757C"/>
    <w:rsid w:val="41E18D21"/>
    <w:rsid w:val="41E95A4A"/>
    <w:rsid w:val="41FF06E5"/>
    <w:rsid w:val="4243C118"/>
    <w:rsid w:val="4270110B"/>
    <w:rsid w:val="42A73EE7"/>
    <w:rsid w:val="42A8C890"/>
    <w:rsid w:val="42A94FFE"/>
    <w:rsid w:val="4361B2BE"/>
    <w:rsid w:val="43EAB079"/>
    <w:rsid w:val="4427362D"/>
    <w:rsid w:val="459AADA4"/>
    <w:rsid w:val="45B64007"/>
    <w:rsid w:val="45FC87A2"/>
    <w:rsid w:val="4632FE86"/>
    <w:rsid w:val="463C57C8"/>
    <w:rsid w:val="46EE701F"/>
    <w:rsid w:val="4778A095"/>
    <w:rsid w:val="48398172"/>
    <w:rsid w:val="483AF76F"/>
    <w:rsid w:val="484D6665"/>
    <w:rsid w:val="4867D028"/>
    <w:rsid w:val="498689DF"/>
    <w:rsid w:val="4A13BFE2"/>
    <w:rsid w:val="4AAB9571"/>
    <w:rsid w:val="4ACA9E1D"/>
    <w:rsid w:val="4AD1C938"/>
    <w:rsid w:val="4AEF5A49"/>
    <w:rsid w:val="4B2BCF8A"/>
    <w:rsid w:val="4BFB672C"/>
    <w:rsid w:val="4C75050A"/>
    <w:rsid w:val="4C77548A"/>
    <w:rsid w:val="4D0D665A"/>
    <w:rsid w:val="4D187FBE"/>
    <w:rsid w:val="4D23EF24"/>
    <w:rsid w:val="4E58D706"/>
    <w:rsid w:val="4E689305"/>
    <w:rsid w:val="4F0192F1"/>
    <w:rsid w:val="4F6324E9"/>
    <w:rsid w:val="4FF76893"/>
    <w:rsid w:val="5002E5B4"/>
    <w:rsid w:val="50BD351C"/>
    <w:rsid w:val="50F9E67D"/>
    <w:rsid w:val="5142E45C"/>
    <w:rsid w:val="5146C5EE"/>
    <w:rsid w:val="514C6B32"/>
    <w:rsid w:val="516E0DD0"/>
    <w:rsid w:val="5223B00C"/>
    <w:rsid w:val="528A7C85"/>
    <w:rsid w:val="52BB25C6"/>
    <w:rsid w:val="52C71E7E"/>
    <w:rsid w:val="52F93DE0"/>
    <w:rsid w:val="53D95133"/>
    <w:rsid w:val="53DCEF5C"/>
    <w:rsid w:val="53F3815E"/>
    <w:rsid w:val="5525DA3C"/>
    <w:rsid w:val="55300731"/>
    <w:rsid w:val="55CD9E0F"/>
    <w:rsid w:val="55E96333"/>
    <w:rsid w:val="561E641E"/>
    <w:rsid w:val="5682C537"/>
    <w:rsid w:val="56DE39E9"/>
    <w:rsid w:val="571B5DE1"/>
    <w:rsid w:val="57292A30"/>
    <w:rsid w:val="573406B7"/>
    <w:rsid w:val="57CBB04D"/>
    <w:rsid w:val="57E5C13F"/>
    <w:rsid w:val="57F311DC"/>
    <w:rsid w:val="582E740C"/>
    <w:rsid w:val="5838F59B"/>
    <w:rsid w:val="585C908C"/>
    <w:rsid w:val="58B7BA37"/>
    <w:rsid w:val="594CC163"/>
    <w:rsid w:val="59A08565"/>
    <w:rsid w:val="59DF0451"/>
    <w:rsid w:val="5A42BD77"/>
    <w:rsid w:val="5A9918EA"/>
    <w:rsid w:val="5B197B71"/>
    <w:rsid w:val="5B7A2E06"/>
    <w:rsid w:val="5BD827AE"/>
    <w:rsid w:val="5C285839"/>
    <w:rsid w:val="5CCA4B35"/>
    <w:rsid w:val="5CD9F621"/>
    <w:rsid w:val="5CED2E96"/>
    <w:rsid w:val="5CF14E84"/>
    <w:rsid w:val="5CFE70A6"/>
    <w:rsid w:val="5D08382F"/>
    <w:rsid w:val="5D47F27F"/>
    <w:rsid w:val="5DF3E0F9"/>
    <w:rsid w:val="5EFC01FA"/>
    <w:rsid w:val="5F7B27C5"/>
    <w:rsid w:val="5F86F768"/>
    <w:rsid w:val="5F996AD7"/>
    <w:rsid w:val="5FA27F55"/>
    <w:rsid w:val="5FB1E0C6"/>
    <w:rsid w:val="600FC6E9"/>
    <w:rsid w:val="609F72A9"/>
    <w:rsid w:val="61505416"/>
    <w:rsid w:val="617F7547"/>
    <w:rsid w:val="6188BCF5"/>
    <w:rsid w:val="620B9555"/>
    <w:rsid w:val="622FF8A9"/>
    <w:rsid w:val="6258A125"/>
    <w:rsid w:val="62779D02"/>
    <w:rsid w:val="6329DCEB"/>
    <w:rsid w:val="634767AB"/>
    <w:rsid w:val="63CBC90A"/>
    <w:rsid w:val="645760AA"/>
    <w:rsid w:val="648CB957"/>
    <w:rsid w:val="64A67C38"/>
    <w:rsid w:val="650D2077"/>
    <w:rsid w:val="65123A01"/>
    <w:rsid w:val="6552FCD5"/>
    <w:rsid w:val="6605EF0D"/>
    <w:rsid w:val="6636F5E3"/>
    <w:rsid w:val="66DF0678"/>
    <w:rsid w:val="672A70C2"/>
    <w:rsid w:val="672FA089"/>
    <w:rsid w:val="674430EE"/>
    <w:rsid w:val="680D2549"/>
    <w:rsid w:val="6847BF0A"/>
    <w:rsid w:val="6892E132"/>
    <w:rsid w:val="68D21022"/>
    <w:rsid w:val="68FDC378"/>
    <w:rsid w:val="692EFD2D"/>
    <w:rsid w:val="692F5795"/>
    <w:rsid w:val="69498A18"/>
    <w:rsid w:val="6960DE44"/>
    <w:rsid w:val="696E96A5"/>
    <w:rsid w:val="6970B6E5"/>
    <w:rsid w:val="6978A4D8"/>
    <w:rsid w:val="6993CEDA"/>
    <w:rsid w:val="69F2BEF6"/>
    <w:rsid w:val="6A0CD649"/>
    <w:rsid w:val="6B04BE24"/>
    <w:rsid w:val="6B48412D"/>
    <w:rsid w:val="6B9B5D11"/>
    <w:rsid w:val="6B9F4106"/>
    <w:rsid w:val="6BC4F574"/>
    <w:rsid w:val="6C4631B0"/>
    <w:rsid w:val="6C6C8702"/>
    <w:rsid w:val="6C809458"/>
    <w:rsid w:val="6D1A76C1"/>
    <w:rsid w:val="6D415B5E"/>
    <w:rsid w:val="6D7A98D6"/>
    <w:rsid w:val="6DBAF3C1"/>
    <w:rsid w:val="6ED6E1C8"/>
    <w:rsid w:val="6EEEF4D8"/>
    <w:rsid w:val="6F3C9614"/>
    <w:rsid w:val="70058CE9"/>
    <w:rsid w:val="7059555A"/>
    <w:rsid w:val="70958A29"/>
    <w:rsid w:val="70D9AECC"/>
    <w:rsid w:val="70EC84D2"/>
    <w:rsid w:val="710CC59D"/>
    <w:rsid w:val="712416E6"/>
    <w:rsid w:val="716A560E"/>
    <w:rsid w:val="724E09F9"/>
    <w:rsid w:val="72B57E07"/>
    <w:rsid w:val="737D1568"/>
    <w:rsid w:val="739395E4"/>
    <w:rsid w:val="73AD84B5"/>
    <w:rsid w:val="73AFD965"/>
    <w:rsid w:val="744C93FC"/>
    <w:rsid w:val="745E9C8C"/>
    <w:rsid w:val="75011618"/>
    <w:rsid w:val="7582C80E"/>
    <w:rsid w:val="75E5ACC1"/>
    <w:rsid w:val="75E8645D"/>
    <w:rsid w:val="7637AFF6"/>
    <w:rsid w:val="7678E49C"/>
    <w:rsid w:val="76CBF185"/>
    <w:rsid w:val="76D7BFC2"/>
    <w:rsid w:val="770B77BE"/>
    <w:rsid w:val="770C3B56"/>
    <w:rsid w:val="784100B0"/>
    <w:rsid w:val="796B8D17"/>
    <w:rsid w:val="797A85F6"/>
    <w:rsid w:val="798DF55F"/>
    <w:rsid w:val="79EED3B8"/>
    <w:rsid w:val="7B3ED7A7"/>
    <w:rsid w:val="7B7E7A54"/>
    <w:rsid w:val="7C1D3F19"/>
    <w:rsid w:val="7C1D961C"/>
    <w:rsid w:val="7C205D9B"/>
    <w:rsid w:val="7CACDC97"/>
    <w:rsid w:val="7CB55F32"/>
    <w:rsid w:val="7CCB4362"/>
    <w:rsid w:val="7D6B54C8"/>
    <w:rsid w:val="7DA93690"/>
    <w:rsid w:val="7DFF55A9"/>
    <w:rsid w:val="7E278F37"/>
    <w:rsid w:val="7FDBDFF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ADC5"/>
  <w15:chartTrackingRefBased/>
  <w15:docId w15:val="{F489F99C-F11D-493E-AE60-CD71BC36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5E"/>
    <w:pPr>
      <w:tabs>
        <w:tab w:val="left" w:pos="288"/>
      </w:tabs>
      <w:spacing w:before="120" w:after="120" w:line="240" w:lineRule="auto"/>
    </w:pPr>
    <w:rPr>
      <w:rFonts w:eastAsiaTheme="minorEastAsia" w:cs="Times New Roman"/>
      <w:szCs w:val="24"/>
      <w:lang w:eastAsia="ja-JP"/>
    </w:rPr>
  </w:style>
  <w:style w:type="paragraph" w:styleId="Heading1">
    <w:name w:val="heading 1"/>
    <w:basedOn w:val="Normal"/>
    <w:next w:val="Normal"/>
    <w:link w:val="Heading1Char"/>
    <w:uiPriority w:val="9"/>
    <w:qFormat/>
    <w:rsid w:val="007A565E"/>
    <w:pPr>
      <w:keepNext/>
      <w:keepLines/>
      <w:spacing w:before="240"/>
      <w:outlineLvl w:val="0"/>
    </w:pPr>
    <w:rPr>
      <w:rFonts w:asciiTheme="majorHAnsi" w:eastAsiaTheme="majorEastAsia" w:hAnsiTheme="majorHAnsi" w:cstheme="majorBidi"/>
      <w:b/>
      <w:caps/>
      <w:sz w:val="24"/>
      <w:szCs w:val="32"/>
    </w:rPr>
  </w:style>
  <w:style w:type="paragraph" w:styleId="Heading2">
    <w:name w:val="heading 2"/>
    <w:basedOn w:val="Normal"/>
    <w:next w:val="Normal"/>
    <w:link w:val="Heading2Char"/>
    <w:uiPriority w:val="9"/>
    <w:unhideWhenUsed/>
    <w:qFormat/>
    <w:rsid w:val="003A0362"/>
    <w:pPr>
      <w:keepNext/>
      <w:outlineLvl w:val="1"/>
    </w:pPr>
    <w:rPr>
      <w:b/>
      <w:bCs/>
    </w:rPr>
  </w:style>
  <w:style w:type="paragraph" w:styleId="Heading3">
    <w:name w:val="heading 3"/>
    <w:basedOn w:val="Normal"/>
    <w:next w:val="Normal"/>
    <w:link w:val="Heading3Char"/>
    <w:uiPriority w:val="9"/>
    <w:semiHidden/>
    <w:unhideWhenUsed/>
    <w:qFormat/>
    <w:rsid w:val="005A235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65E"/>
    <w:rPr>
      <w:rFonts w:asciiTheme="majorHAnsi" w:eastAsiaTheme="majorEastAsia" w:hAnsiTheme="majorHAnsi" w:cstheme="majorBidi"/>
      <w:b/>
      <w:caps/>
      <w:sz w:val="24"/>
      <w:szCs w:val="32"/>
      <w:lang w:eastAsia="ja-JP"/>
    </w:rPr>
  </w:style>
  <w:style w:type="character" w:styleId="Hyperlink">
    <w:name w:val="Hyperlink"/>
    <w:basedOn w:val="DefaultParagraphFont"/>
    <w:uiPriority w:val="99"/>
    <w:unhideWhenUsed/>
    <w:rsid w:val="007B289E"/>
    <w:rPr>
      <w:color w:val="0563C1" w:themeColor="hyperlink"/>
      <w:u w:val="single"/>
    </w:rPr>
  </w:style>
  <w:style w:type="paragraph" w:styleId="ListParagraph">
    <w:name w:val="List Paragraph"/>
    <w:basedOn w:val="Normal"/>
    <w:uiPriority w:val="34"/>
    <w:qFormat/>
    <w:rsid w:val="007B289E"/>
    <w:pPr>
      <w:tabs>
        <w:tab w:val="clear" w:pos="288"/>
      </w:tabs>
      <w:spacing w:after="160" w:line="259" w:lineRule="auto"/>
      <w:ind w:left="720"/>
      <w:contextualSpacing/>
    </w:pPr>
    <w:rPr>
      <w:rFonts w:eastAsiaTheme="minorHAnsi" w:cstheme="minorBidi"/>
      <w:szCs w:val="22"/>
      <w:lang w:val="en-US" w:eastAsia="en-US"/>
    </w:rPr>
  </w:style>
  <w:style w:type="paragraph" w:customStyle="1" w:styleId="paragraph">
    <w:name w:val="paragraph"/>
    <w:basedOn w:val="Normal"/>
    <w:rsid w:val="007B289E"/>
    <w:pPr>
      <w:tabs>
        <w:tab w:val="clear" w:pos="288"/>
      </w:tabs>
      <w:spacing w:before="100" w:beforeAutospacing="1" w:after="100" w:afterAutospacing="1"/>
    </w:pPr>
    <w:rPr>
      <w:rFonts w:ascii="Times New Roman" w:eastAsia="Times New Roman" w:hAnsi="Times New Roman"/>
      <w:sz w:val="24"/>
      <w:lang w:eastAsia="en-AU"/>
    </w:rPr>
  </w:style>
  <w:style w:type="paragraph" w:customStyle="1" w:styleId="ndissubsection">
    <w:name w:val="ndissubsection"/>
    <w:basedOn w:val="Normal"/>
    <w:rsid w:val="007B289E"/>
    <w:pPr>
      <w:tabs>
        <w:tab w:val="clear" w:pos="288"/>
      </w:tabs>
      <w:spacing w:before="100" w:beforeAutospacing="1" w:after="100" w:afterAutospacing="1"/>
    </w:pPr>
    <w:rPr>
      <w:rFonts w:ascii="Times New Roman" w:eastAsia="Times New Roman" w:hAnsi="Times New Roman"/>
      <w:sz w:val="24"/>
      <w:lang w:eastAsia="en-AU"/>
    </w:rPr>
  </w:style>
  <w:style w:type="paragraph" w:customStyle="1" w:styleId="ndisparagraph">
    <w:name w:val="ndisparagraph"/>
    <w:basedOn w:val="Normal"/>
    <w:rsid w:val="007B289E"/>
    <w:pPr>
      <w:tabs>
        <w:tab w:val="clear" w:pos="288"/>
      </w:tabs>
      <w:spacing w:before="100" w:beforeAutospacing="1" w:after="100" w:afterAutospacing="1"/>
    </w:pPr>
    <w:rPr>
      <w:rFonts w:ascii="Times New Roman" w:eastAsia="Times New Roman" w:hAnsi="Times New Roman"/>
      <w:sz w:val="24"/>
      <w:lang w:eastAsia="en-AU"/>
    </w:rPr>
  </w:style>
  <w:style w:type="paragraph" w:styleId="FootnoteText">
    <w:name w:val="footnote text"/>
    <w:basedOn w:val="Normal"/>
    <w:link w:val="FootnoteTextChar"/>
    <w:uiPriority w:val="99"/>
    <w:semiHidden/>
    <w:unhideWhenUsed/>
    <w:rsid w:val="007B289E"/>
    <w:rPr>
      <w:sz w:val="20"/>
      <w:szCs w:val="20"/>
    </w:rPr>
  </w:style>
  <w:style w:type="character" w:customStyle="1" w:styleId="FootnoteTextChar">
    <w:name w:val="Footnote Text Char"/>
    <w:basedOn w:val="DefaultParagraphFont"/>
    <w:link w:val="FootnoteText"/>
    <w:uiPriority w:val="99"/>
    <w:semiHidden/>
    <w:rsid w:val="007B289E"/>
    <w:rPr>
      <w:rFonts w:ascii="Arial" w:eastAsiaTheme="minorEastAsia" w:hAnsi="Arial" w:cs="Times New Roman"/>
      <w:sz w:val="20"/>
      <w:szCs w:val="20"/>
      <w:lang w:eastAsia="ja-JP"/>
    </w:rPr>
  </w:style>
  <w:style w:type="character" w:styleId="FootnoteReference">
    <w:name w:val="footnote reference"/>
    <w:basedOn w:val="DefaultParagraphFont"/>
    <w:uiPriority w:val="99"/>
    <w:semiHidden/>
    <w:unhideWhenUsed/>
    <w:rsid w:val="007B289E"/>
    <w:rPr>
      <w:vertAlign w:val="superscript"/>
    </w:rPr>
  </w:style>
  <w:style w:type="paragraph" w:styleId="NormalWeb">
    <w:name w:val="Normal (Web)"/>
    <w:basedOn w:val="Normal"/>
    <w:uiPriority w:val="99"/>
    <w:semiHidden/>
    <w:unhideWhenUsed/>
    <w:rsid w:val="007B289E"/>
    <w:pPr>
      <w:tabs>
        <w:tab w:val="clear" w:pos="288"/>
      </w:tabs>
      <w:spacing w:before="100" w:beforeAutospacing="1" w:after="100" w:afterAutospacing="1"/>
    </w:pPr>
    <w:rPr>
      <w:rFonts w:ascii="Times New Roman" w:eastAsia="Times New Roman" w:hAnsi="Times New Roman"/>
      <w:sz w:val="24"/>
      <w:lang w:eastAsia="en-AU"/>
    </w:rPr>
  </w:style>
  <w:style w:type="paragraph" w:customStyle="1" w:styleId="paragraphsub">
    <w:name w:val="paragraphsub"/>
    <w:basedOn w:val="Normal"/>
    <w:rsid w:val="007B289E"/>
    <w:pPr>
      <w:tabs>
        <w:tab w:val="clear" w:pos="288"/>
      </w:tabs>
      <w:spacing w:before="100" w:beforeAutospacing="1" w:after="100" w:afterAutospacing="1"/>
    </w:pPr>
    <w:rPr>
      <w:rFonts w:ascii="Times New Roman" w:eastAsia="Times New Roman" w:hAnsi="Times New Roman"/>
      <w:sz w:val="24"/>
      <w:lang w:eastAsia="en-AU"/>
    </w:rPr>
  </w:style>
  <w:style w:type="paragraph" w:customStyle="1" w:styleId="jade-noverticalmargins">
    <w:name w:val="jade-noverticalmargins"/>
    <w:basedOn w:val="Normal"/>
    <w:rsid w:val="007B289E"/>
    <w:pPr>
      <w:tabs>
        <w:tab w:val="clear" w:pos="288"/>
      </w:tabs>
      <w:spacing w:before="100" w:beforeAutospacing="1" w:after="100" w:afterAutospacing="1"/>
    </w:pPr>
    <w:rPr>
      <w:rFonts w:ascii="Times New Roman" w:eastAsia="Times New Roman" w:hAnsi="Times New Roman"/>
      <w:sz w:val="24"/>
      <w:lang w:eastAsia="en-AU"/>
    </w:rPr>
  </w:style>
  <w:style w:type="character" w:customStyle="1" w:styleId="Heading3Char">
    <w:name w:val="Heading 3 Char"/>
    <w:basedOn w:val="DefaultParagraphFont"/>
    <w:link w:val="Heading3"/>
    <w:uiPriority w:val="9"/>
    <w:semiHidden/>
    <w:rsid w:val="005A2359"/>
    <w:rPr>
      <w:rFonts w:asciiTheme="majorHAnsi" w:eastAsiaTheme="majorEastAsia" w:hAnsiTheme="majorHAnsi" w:cstheme="majorBidi"/>
      <w:color w:val="1F3763" w:themeColor="accent1" w:themeShade="7F"/>
      <w:sz w:val="24"/>
      <w:szCs w:val="24"/>
      <w:lang w:eastAsia="ja-JP"/>
    </w:rPr>
  </w:style>
  <w:style w:type="character" w:styleId="UnresolvedMention">
    <w:name w:val="Unresolved Mention"/>
    <w:basedOn w:val="DefaultParagraphFont"/>
    <w:uiPriority w:val="99"/>
    <w:semiHidden/>
    <w:unhideWhenUsed/>
    <w:rsid w:val="000D05F2"/>
    <w:rPr>
      <w:color w:val="605E5C"/>
      <w:shd w:val="clear" w:color="auto" w:fill="E1DFDD"/>
    </w:rPr>
  </w:style>
  <w:style w:type="character" w:styleId="FollowedHyperlink">
    <w:name w:val="FollowedHyperlink"/>
    <w:basedOn w:val="DefaultParagraphFont"/>
    <w:uiPriority w:val="99"/>
    <w:semiHidden/>
    <w:unhideWhenUsed/>
    <w:rsid w:val="002244B2"/>
    <w:rPr>
      <w:color w:val="954F72" w:themeColor="followedHyperlink"/>
      <w:u w:val="single"/>
    </w:rPr>
  </w:style>
  <w:style w:type="paragraph" w:styleId="PlainText">
    <w:name w:val="Plain Text"/>
    <w:basedOn w:val="Normal"/>
    <w:link w:val="PlainTextChar"/>
    <w:uiPriority w:val="99"/>
    <w:semiHidden/>
    <w:unhideWhenUsed/>
    <w:rsid w:val="00FE10FF"/>
    <w:pPr>
      <w:tabs>
        <w:tab w:val="clear" w:pos="288"/>
      </w:tabs>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FE10FF"/>
    <w:rPr>
      <w:rFonts w:ascii="Calibri" w:hAnsi="Calibri"/>
      <w:szCs w:val="21"/>
    </w:rPr>
  </w:style>
  <w:style w:type="character" w:customStyle="1" w:styleId="apple-converted-space">
    <w:name w:val="apple-converted-space"/>
    <w:basedOn w:val="DefaultParagraphFont"/>
    <w:rsid w:val="009945A3"/>
  </w:style>
  <w:style w:type="paragraph" w:styleId="Revision">
    <w:name w:val="Revision"/>
    <w:hidden/>
    <w:uiPriority w:val="99"/>
    <w:semiHidden/>
    <w:rsid w:val="005C482B"/>
    <w:pPr>
      <w:spacing w:after="0" w:line="240" w:lineRule="auto"/>
    </w:pPr>
    <w:rPr>
      <w:rFonts w:ascii="Arial" w:eastAsiaTheme="minorEastAsia" w:hAnsi="Arial" w:cs="Times New Roman"/>
      <w:szCs w:val="24"/>
      <w:lang w:eastAsia="ja-JP"/>
    </w:rPr>
  </w:style>
  <w:style w:type="paragraph" w:styleId="Header">
    <w:name w:val="header"/>
    <w:basedOn w:val="Normal"/>
    <w:link w:val="HeaderChar"/>
    <w:uiPriority w:val="99"/>
    <w:unhideWhenUsed/>
    <w:rsid w:val="00151A99"/>
    <w:pPr>
      <w:tabs>
        <w:tab w:val="clear" w:pos="288"/>
        <w:tab w:val="center" w:pos="4513"/>
        <w:tab w:val="right" w:pos="9026"/>
      </w:tabs>
    </w:pPr>
  </w:style>
  <w:style w:type="character" w:customStyle="1" w:styleId="HeaderChar">
    <w:name w:val="Header Char"/>
    <w:basedOn w:val="DefaultParagraphFont"/>
    <w:link w:val="Header"/>
    <w:uiPriority w:val="99"/>
    <w:rsid w:val="00151A99"/>
    <w:rPr>
      <w:rFonts w:ascii="Arial" w:eastAsiaTheme="minorEastAsia" w:hAnsi="Arial" w:cs="Times New Roman"/>
      <w:szCs w:val="24"/>
      <w:lang w:eastAsia="ja-JP"/>
    </w:rPr>
  </w:style>
  <w:style w:type="paragraph" w:styleId="Footer">
    <w:name w:val="footer"/>
    <w:basedOn w:val="Normal"/>
    <w:link w:val="FooterChar"/>
    <w:uiPriority w:val="99"/>
    <w:unhideWhenUsed/>
    <w:rsid w:val="00151A99"/>
    <w:pPr>
      <w:tabs>
        <w:tab w:val="clear" w:pos="288"/>
        <w:tab w:val="center" w:pos="4513"/>
        <w:tab w:val="right" w:pos="9026"/>
      </w:tabs>
    </w:pPr>
  </w:style>
  <w:style w:type="character" w:customStyle="1" w:styleId="FooterChar">
    <w:name w:val="Footer Char"/>
    <w:basedOn w:val="DefaultParagraphFont"/>
    <w:link w:val="Footer"/>
    <w:uiPriority w:val="99"/>
    <w:rsid w:val="00151A99"/>
    <w:rPr>
      <w:rFonts w:ascii="Arial" w:eastAsiaTheme="minorEastAsia" w:hAnsi="Arial" w:cs="Times New Roman"/>
      <w:szCs w:val="24"/>
      <w:lang w:eastAsia="ja-JP"/>
    </w:rPr>
  </w:style>
  <w:style w:type="character" w:styleId="CommentReference">
    <w:name w:val="annotation reference"/>
    <w:basedOn w:val="DefaultParagraphFont"/>
    <w:uiPriority w:val="99"/>
    <w:semiHidden/>
    <w:unhideWhenUsed/>
    <w:rsid w:val="0032318F"/>
    <w:rPr>
      <w:sz w:val="16"/>
      <w:szCs w:val="16"/>
    </w:rPr>
  </w:style>
  <w:style w:type="paragraph" w:styleId="CommentText">
    <w:name w:val="annotation text"/>
    <w:basedOn w:val="Normal"/>
    <w:link w:val="CommentTextChar"/>
    <w:uiPriority w:val="99"/>
    <w:unhideWhenUsed/>
    <w:rsid w:val="0032318F"/>
    <w:rPr>
      <w:sz w:val="20"/>
      <w:szCs w:val="20"/>
    </w:rPr>
  </w:style>
  <w:style w:type="character" w:customStyle="1" w:styleId="CommentTextChar">
    <w:name w:val="Comment Text Char"/>
    <w:basedOn w:val="DefaultParagraphFont"/>
    <w:link w:val="CommentText"/>
    <w:uiPriority w:val="99"/>
    <w:rsid w:val="0032318F"/>
    <w:rPr>
      <w:rFonts w:ascii="Arial" w:eastAsiaTheme="minorEastAsia"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2318F"/>
    <w:rPr>
      <w:b/>
      <w:bCs/>
    </w:rPr>
  </w:style>
  <w:style w:type="character" w:customStyle="1" w:styleId="CommentSubjectChar">
    <w:name w:val="Comment Subject Char"/>
    <w:basedOn w:val="CommentTextChar"/>
    <w:link w:val="CommentSubject"/>
    <w:uiPriority w:val="99"/>
    <w:semiHidden/>
    <w:rsid w:val="0032318F"/>
    <w:rPr>
      <w:rFonts w:ascii="Arial" w:eastAsiaTheme="minorEastAsia" w:hAnsi="Arial" w:cs="Times New Roman"/>
      <w:b/>
      <w:bCs/>
      <w:sz w:val="20"/>
      <w:szCs w:val="20"/>
      <w:lang w:eastAsia="ja-JP"/>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3A0362"/>
    <w:rPr>
      <w:rFonts w:eastAsiaTheme="minorEastAsia" w:cs="Times New Roman"/>
      <w:b/>
      <w:bCs/>
      <w:szCs w:val="24"/>
      <w:lang w:eastAsia="ja-JP"/>
    </w:rPr>
  </w:style>
  <w:style w:type="paragraph" w:customStyle="1" w:styleId="Default">
    <w:name w:val="Default"/>
    <w:rsid w:val="002C52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289">
      <w:bodyDiv w:val="1"/>
      <w:marLeft w:val="0"/>
      <w:marRight w:val="0"/>
      <w:marTop w:val="0"/>
      <w:marBottom w:val="0"/>
      <w:divBdr>
        <w:top w:val="none" w:sz="0" w:space="0" w:color="auto"/>
        <w:left w:val="none" w:sz="0" w:space="0" w:color="auto"/>
        <w:bottom w:val="none" w:sz="0" w:space="0" w:color="auto"/>
        <w:right w:val="none" w:sz="0" w:space="0" w:color="auto"/>
      </w:divBdr>
    </w:div>
    <w:div w:id="242767641">
      <w:bodyDiv w:val="1"/>
      <w:marLeft w:val="0"/>
      <w:marRight w:val="0"/>
      <w:marTop w:val="0"/>
      <w:marBottom w:val="0"/>
      <w:divBdr>
        <w:top w:val="none" w:sz="0" w:space="0" w:color="auto"/>
        <w:left w:val="none" w:sz="0" w:space="0" w:color="auto"/>
        <w:bottom w:val="none" w:sz="0" w:space="0" w:color="auto"/>
        <w:right w:val="none" w:sz="0" w:space="0" w:color="auto"/>
      </w:divBdr>
    </w:div>
    <w:div w:id="262614165">
      <w:bodyDiv w:val="1"/>
      <w:marLeft w:val="0"/>
      <w:marRight w:val="0"/>
      <w:marTop w:val="0"/>
      <w:marBottom w:val="0"/>
      <w:divBdr>
        <w:top w:val="none" w:sz="0" w:space="0" w:color="auto"/>
        <w:left w:val="none" w:sz="0" w:space="0" w:color="auto"/>
        <w:bottom w:val="none" w:sz="0" w:space="0" w:color="auto"/>
        <w:right w:val="none" w:sz="0" w:space="0" w:color="auto"/>
      </w:divBdr>
    </w:div>
    <w:div w:id="606155837">
      <w:bodyDiv w:val="1"/>
      <w:marLeft w:val="0"/>
      <w:marRight w:val="0"/>
      <w:marTop w:val="0"/>
      <w:marBottom w:val="0"/>
      <w:divBdr>
        <w:top w:val="none" w:sz="0" w:space="0" w:color="auto"/>
        <w:left w:val="none" w:sz="0" w:space="0" w:color="auto"/>
        <w:bottom w:val="none" w:sz="0" w:space="0" w:color="auto"/>
        <w:right w:val="none" w:sz="0" w:space="0" w:color="auto"/>
      </w:divBdr>
    </w:div>
    <w:div w:id="700521025">
      <w:bodyDiv w:val="1"/>
      <w:marLeft w:val="0"/>
      <w:marRight w:val="0"/>
      <w:marTop w:val="0"/>
      <w:marBottom w:val="0"/>
      <w:divBdr>
        <w:top w:val="none" w:sz="0" w:space="0" w:color="auto"/>
        <w:left w:val="none" w:sz="0" w:space="0" w:color="auto"/>
        <w:bottom w:val="none" w:sz="0" w:space="0" w:color="auto"/>
        <w:right w:val="none" w:sz="0" w:space="0" w:color="auto"/>
      </w:divBdr>
    </w:div>
    <w:div w:id="825634192">
      <w:bodyDiv w:val="1"/>
      <w:marLeft w:val="0"/>
      <w:marRight w:val="0"/>
      <w:marTop w:val="0"/>
      <w:marBottom w:val="0"/>
      <w:divBdr>
        <w:top w:val="none" w:sz="0" w:space="0" w:color="auto"/>
        <w:left w:val="none" w:sz="0" w:space="0" w:color="auto"/>
        <w:bottom w:val="none" w:sz="0" w:space="0" w:color="auto"/>
        <w:right w:val="none" w:sz="0" w:space="0" w:color="auto"/>
      </w:divBdr>
    </w:div>
    <w:div w:id="1061636814">
      <w:bodyDiv w:val="1"/>
      <w:marLeft w:val="0"/>
      <w:marRight w:val="0"/>
      <w:marTop w:val="0"/>
      <w:marBottom w:val="0"/>
      <w:divBdr>
        <w:top w:val="none" w:sz="0" w:space="0" w:color="auto"/>
        <w:left w:val="none" w:sz="0" w:space="0" w:color="auto"/>
        <w:bottom w:val="none" w:sz="0" w:space="0" w:color="auto"/>
        <w:right w:val="none" w:sz="0" w:space="0" w:color="auto"/>
      </w:divBdr>
    </w:div>
    <w:div w:id="1066030185">
      <w:bodyDiv w:val="1"/>
      <w:marLeft w:val="0"/>
      <w:marRight w:val="0"/>
      <w:marTop w:val="0"/>
      <w:marBottom w:val="0"/>
      <w:divBdr>
        <w:top w:val="none" w:sz="0" w:space="0" w:color="auto"/>
        <w:left w:val="none" w:sz="0" w:space="0" w:color="auto"/>
        <w:bottom w:val="none" w:sz="0" w:space="0" w:color="auto"/>
        <w:right w:val="none" w:sz="0" w:space="0" w:color="auto"/>
      </w:divBdr>
    </w:div>
    <w:div w:id="1180041771">
      <w:bodyDiv w:val="1"/>
      <w:marLeft w:val="0"/>
      <w:marRight w:val="0"/>
      <w:marTop w:val="0"/>
      <w:marBottom w:val="0"/>
      <w:divBdr>
        <w:top w:val="none" w:sz="0" w:space="0" w:color="auto"/>
        <w:left w:val="none" w:sz="0" w:space="0" w:color="auto"/>
        <w:bottom w:val="none" w:sz="0" w:space="0" w:color="auto"/>
        <w:right w:val="none" w:sz="0" w:space="0" w:color="auto"/>
      </w:divBdr>
    </w:div>
    <w:div w:id="1261911391">
      <w:bodyDiv w:val="1"/>
      <w:marLeft w:val="0"/>
      <w:marRight w:val="0"/>
      <w:marTop w:val="0"/>
      <w:marBottom w:val="0"/>
      <w:divBdr>
        <w:top w:val="none" w:sz="0" w:space="0" w:color="auto"/>
        <w:left w:val="none" w:sz="0" w:space="0" w:color="auto"/>
        <w:bottom w:val="none" w:sz="0" w:space="0" w:color="auto"/>
        <w:right w:val="none" w:sz="0" w:space="0" w:color="auto"/>
      </w:divBdr>
    </w:div>
    <w:div w:id="1622347453">
      <w:bodyDiv w:val="1"/>
      <w:marLeft w:val="0"/>
      <w:marRight w:val="0"/>
      <w:marTop w:val="0"/>
      <w:marBottom w:val="0"/>
      <w:divBdr>
        <w:top w:val="none" w:sz="0" w:space="0" w:color="auto"/>
        <w:left w:val="none" w:sz="0" w:space="0" w:color="auto"/>
        <w:bottom w:val="none" w:sz="0" w:space="0" w:color="auto"/>
        <w:right w:val="none" w:sz="0" w:space="0" w:color="auto"/>
      </w:divBdr>
    </w:div>
    <w:div w:id="1684698312">
      <w:bodyDiv w:val="1"/>
      <w:marLeft w:val="0"/>
      <w:marRight w:val="0"/>
      <w:marTop w:val="0"/>
      <w:marBottom w:val="0"/>
      <w:divBdr>
        <w:top w:val="none" w:sz="0" w:space="0" w:color="auto"/>
        <w:left w:val="none" w:sz="0" w:space="0" w:color="auto"/>
        <w:bottom w:val="none" w:sz="0" w:space="0" w:color="auto"/>
        <w:right w:val="none" w:sz="0" w:space="0" w:color="auto"/>
      </w:divBdr>
    </w:div>
    <w:div w:id="1702513624">
      <w:bodyDiv w:val="1"/>
      <w:marLeft w:val="0"/>
      <w:marRight w:val="0"/>
      <w:marTop w:val="0"/>
      <w:marBottom w:val="0"/>
      <w:divBdr>
        <w:top w:val="none" w:sz="0" w:space="0" w:color="auto"/>
        <w:left w:val="none" w:sz="0" w:space="0" w:color="auto"/>
        <w:bottom w:val="none" w:sz="0" w:space="0" w:color="auto"/>
        <w:right w:val="none" w:sz="0" w:space="0" w:color="auto"/>
      </w:divBdr>
    </w:div>
    <w:div w:id="1715956774">
      <w:bodyDiv w:val="1"/>
      <w:marLeft w:val="0"/>
      <w:marRight w:val="0"/>
      <w:marTop w:val="0"/>
      <w:marBottom w:val="0"/>
      <w:divBdr>
        <w:top w:val="none" w:sz="0" w:space="0" w:color="auto"/>
        <w:left w:val="none" w:sz="0" w:space="0" w:color="auto"/>
        <w:bottom w:val="none" w:sz="0" w:space="0" w:color="auto"/>
        <w:right w:val="none" w:sz="0" w:space="0" w:color="auto"/>
      </w:divBdr>
    </w:div>
    <w:div w:id="1963608821">
      <w:bodyDiv w:val="1"/>
      <w:marLeft w:val="0"/>
      <w:marRight w:val="0"/>
      <w:marTop w:val="0"/>
      <w:marBottom w:val="0"/>
      <w:divBdr>
        <w:top w:val="none" w:sz="0" w:space="0" w:color="auto"/>
        <w:left w:val="none" w:sz="0" w:space="0" w:color="auto"/>
        <w:bottom w:val="none" w:sz="0" w:space="0" w:color="auto"/>
        <w:right w:val="none" w:sz="0" w:space="0" w:color="auto"/>
      </w:divBdr>
    </w:div>
    <w:div w:id="2010255513">
      <w:bodyDiv w:val="1"/>
      <w:marLeft w:val="0"/>
      <w:marRight w:val="0"/>
      <w:marTop w:val="0"/>
      <w:marBottom w:val="0"/>
      <w:divBdr>
        <w:top w:val="none" w:sz="0" w:space="0" w:color="auto"/>
        <w:left w:val="none" w:sz="0" w:space="0" w:color="auto"/>
        <w:bottom w:val="none" w:sz="0" w:space="0" w:color="auto"/>
        <w:right w:val="none" w:sz="0" w:space="0" w:color="auto"/>
      </w:divBdr>
    </w:div>
    <w:div w:id="2026401252">
      <w:bodyDiv w:val="1"/>
      <w:marLeft w:val="0"/>
      <w:marRight w:val="0"/>
      <w:marTop w:val="0"/>
      <w:marBottom w:val="0"/>
      <w:divBdr>
        <w:top w:val="none" w:sz="0" w:space="0" w:color="auto"/>
        <w:left w:val="none" w:sz="0" w:space="0" w:color="auto"/>
        <w:bottom w:val="none" w:sz="0" w:space="0" w:color="auto"/>
        <w:right w:val="none" w:sz="0" w:space="0" w:color="auto"/>
      </w:divBdr>
    </w:div>
    <w:div w:id="2046169667">
      <w:bodyDiv w:val="1"/>
      <w:marLeft w:val="0"/>
      <w:marRight w:val="0"/>
      <w:marTop w:val="0"/>
      <w:marBottom w:val="0"/>
      <w:divBdr>
        <w:top w:val="none" w:sz="0" w:space="0" w:color="auto"/>
        <w:left w:val="none" w:sz="0" w:space="0" w:color="auto"/>
        <w:bottom w:val="none" w:sz="0" w:space="0" w:color="auto"/>
        <w:right w:val="none" w:sz="0" w:space="0" w:color="auto"/>
      </w:divBdr>
    </w:div>
    <w:div w:id="21255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jade.io/article/779819"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6.austlii.edu.au/cgi-bin/viewdoc/au/cases/cth/AATA/2021/496.html" TargetMode="External"/><Relationship Id="rId2" Type="http://schemas.openxmlformats.org/officeDocument/2006/relationships/customXml" Target="../customXml/item2.xml"/><Relationship Id="rId16" Type="http://schemas.openxmlformats.org/officeDocument/2006/relationships/hyperlink" Target="http://www6.austlii.edu.au/cgi-bin/viewdoc/au/cases/cth/AATA/2021/502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w-ndis-supports-work-menu/what-principles-do-we-follow-create-your-plan/what-principles-do-we-use-create-your-plan/fair-supports-your-disability-needs" TargetMode="External"/><Relationship Id="rId5" Type="http://schemas.openxmlformats.org/officeDocument/2006/relationships/numbering" Target="numbering.xml"/><Relationship Id="rId15" Type="http://schemas.openxmlformats.org/officeDocument/2006/relationships/hyperlink" Target="http://www.austlii.edu.au/cgi-bin/viewdoc/au/cases/cth/AATA/2022/2884.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Business/Business-activity-statements-(BAS)/In-detail/Boosting-cash-flow-for-employers/?page=6" TargetMode="External"/><Relationship Id="rId2" Type="http://schemas.openxmlformats.org/officeDocument/2006/relationships/hyperlink" Target="http://www6.austlii.edu.au/cgi-bin/viewdoc/au/cases/cth/AATA/2021/496.html" TargetMode="External"/><Relationship Id="rId1" Type="http://schemas.openxmlformats.org/officeDocument/2006/relationships/hyperlink" Target="http://www.austlii.edu.au/cgi-bin/viewdoc/au/cases/cth/FCA/2022/1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Sian Thomas</DisplayName>
        <AccountId>72</AccountId>
        <AccountType/>
      </UserInfo>
    </SharedWithUsers>
    <_ip_UnifiedCompliancePolicyUIAction xmlns="http://schemas.microsoft.com/sharepoint/v3" xsi:nil="true"/>
    <TaxCatchAll xmlns="422eb771-ca73-43f7-ae9a-92fcdf6b2d87" xsi:nil="true"/>
    <_ip_UnifiedCompliancePolicyProperties xmlns="http://schemas.microsoft.com/sharepoint/v3" xsi:nil="true"/>
    <lcf76f155ced4ddcb4097134ff3c332f xmlns="662b4d72-0963-4903-8d1e-908999ea922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8" ma:contentTypeDescription="Create a new document." ma:contentTypeScope="" ma:versionID="c09c9f68ba97c73b311504c2848350b9">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9b5e23984b6c5ff6ae3116d61c66822c"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56660-828D-4A94-BF8A-E7786734B0BE}">
  <ds:schemaRefs>
    <ds:schemaRef ds:uri="http://schemas.microsoft.com/office/2006/metadata/properties"/>
    <ds:schemaRef ds:uri="http://schemas.microsoft.com/office/infopath/2007/PartnerControls"/>
    <ds:schemaRef ds:uri="422eb771-ca73-43f7-ae9a-92fcdf6b2d87"/>
    <ds:schemaRef ds:uri="http://schemas.microsoft.com/sharepoint/v3"/>
    <ds:schemaRef ds:uri="662b4d72-0963-4903-8d1e-908999ea922a"/>
  </ds:schemaRefs>
</ds:datastoreItem>
</file>

<file path=customXml/itemProps2.xml><?xml version="1.0" encoding="utf-8"?>
<ds:datastoreItem xmlns:ds="http://schemas.openxmlformats.org/officeDocument/2006/customXml" ds:itemID="{FC828788-D0BD-4914-9553-BD0F59460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847E2-244B-44E5-8A44-A4995B90A29A}">
  <ds:schemaRefs>
    <ds:schemaRef ds:uri="http://schemas.openxmlformats.org/officeDocument/2006/bibliography"/>
  </ds:schemaRefs>
</ds:datastoreItem>
</file>

<file path=customXml/itemProps4.xml><?xml version="1.0" encoding="utf-8"?>
<ds:datastoreItem xmlns:ds="http://schemas.openxmlformats.org/officeDocument/2006/customXml" ds:itemID="{20F4FE27-E014-43EB-A53D-D66039931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3611</Words>
  <Characters>20584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24147</CharactersWithSpaces>
  <SharedDoc>false</SharedDoc>
  <HLinks>
    <vt:vector size="48" baseType="variant">
      <vt:variant>
        <vt:i4>6553635</vt:i4>
      </vt:variant>
      <vt:variant>
        <vt:i4>12</vt:i4>
      </vt:variant>
      <vt:variant>
        <vt:i4>0</vt:i4>
      </vt:variant>
      <vt:variant>
        <vt:i4>5</vt:i4>
      </vt:variant>
      <vt:variant>
        <vt:lpwstr>https://www.jade.io/article/779819</vt:lpwstr>
      </vt:variant>
      <vt:variant>
        <vt:lpwstr/>
      </vt:variant>
      <vt:variant>
        <vt:i4>7340146</vt:i4>
      </vt:variant>
      <vt:variant>
        <vt:i4>9</vt:i4>
      </vt:variant>
      <vt:variant>
        <vt:i4>0</vt:i4>
      </vt:variant>
      <vt:variant>
        <vt:i4>5</vt:i4>
      </vt:variant>
      <vt:variant>
        <vt:lpwstr>http://www6.austlii.edu.au/cgi-bin/viewdoc/au/cases/cth/AATA/2021/496.html</vt:lpwstr>
      </vt:variant>
      <vt:variant>
        <vt:lpwstr/>
      </vt:variant>
      <vt:variant>
        <vt:i4>7864360</vt:i4>
      </vt:variant>
      <vt:variant>
        <vt:i4>6</vt:i4>
      </vt:variant>
      <vt:variant>
        <vt:i4>0</vt:i4>
      </vt:variant>
      <vt:variant>
        <vt:i4>5</vt:i4>
      </vt:variant>
      <vt:variant>
        <vt:lpwstr>http://www6.austlii.edu.au/cgi-bin/viewdoc/au/cases/cth/AATA/2021/5022.html</vt:lpwstr>
      </vt:variant>
      <vt:variant>
        <vt:lpwstr/>
      </vt:variant>
      <vt:variant>
        <vt:i4>2687011</vt:i4>
      </vt:variant>
      <vt:variant>
        <vt:i4>3</vt:i4>
      </vt:variant>
      <vt:variant>
        <vt:i4>0</vt:i4>
      </vt:variant>
      <vt:variant>
        <vt:i4>5</vt:i4>
      </vt:variant>
      <vt:variant>
        <vt:lpwstr>http://www.austlii.edu.au/cgi-bin/viewdoc/au/cases/cth/AATA/2022/2884.html</vt:lpwstr>
      </vt:variant>
      <vt:variant>
        <vt:lpwstr/>
      </vt:variant>
      <vt:variant>
        <vt:i4>2097186</vt:i4>
      </vt:variant>
      <vt:variant>
        <vt:i4>0</vt:i4>
      </vt:variant>
      <vt:variant>
        <vt:i4>0</vt:i4>
      </vt:variant>
      <vt:variant>
        <vt:i4>5</vt:i4>
      </vt:variant>
      <vt:variant>
        <vt:lpwstr>https://ourguidelines.ndis.gov.au/how-ndis-supports-work-menu/what-principles-do-we-follow-create-your-plan/what-principles-do-we-use-create-your-plan/fair-supports-your-disability-needs</vt:lpwstr>
      </vt:variant>
      <vt:variant>
        <vt:lpwstr/>
      </vt:variant>
      <vt:variant>
        <vt:i4>196716</vt:i4>
      </vt:variant>
      <vt:variant>
        <vt:i4>6</vt:i4>
      </vt:variant>
      <vt:variant>
        <vt:i4>0</vt:i4>
      </vt:variant>
      <vt:variant>
        <vt:i4>5</vt:i4>
      </vt:variant>
      <vt:variant>
        <vt:lpwstr>https://www.ato.gov.au/Business/Business-activity-statements-(BAS)/In-detail/Boosting-cash-flow-for-employers/?page=6</vt:lpwstr>
      </vt:variant>
      <vt:variant>
        <vt:lpwstr>Court_and_Administrative_Appeals_Tribunal_decisions</vt:lpwstr>
      </vt:variant>
      <vt:variant>
        <vt:i4>7340146</vt:i4>
      </vt:variant>
      <vt:variant>
        <vt:i4>3</vt:i4>
      </vt:variant>
      <vt:variant>
        <vt:i4>0</vt:i4>
      </vt:variant>
      <vt:variant>
        <vt:i4>5</vt:i4>
      </vt:variant>
      <vt:variant>
        <vt:lpwstr>http://www6.austlii.edu.au/cgi-bin/viewdoc/au/cases/cth/AATA/2021/496.html</vt:lpwstr>
      </vt:variant>
      <vt:variant>
        <vt:lpwstr/>
      </vt:variant>
      <vt:variant>
        <vt:i4>131088</vt:i4>
      </vt:variant>
      <vt:variant>
        <vt:i4>0</vt:i4>
      </vt:variant>
      <vt:variant>
        <vt:i4>0</vt:i4>
      </vt:variant>
      <vt:variant>
        <vt:i4>5</vt:i4>
      </vt:variant>
      <vt:variant>
        <vt:lpwstr>http://www.austlii.edu.au/cgi-bin/viewdoc/au/cases/cth/FCA/2022/1002.html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Thomas</dc:creator>
  <cp:keywords/>
  <dc:description/>
  <cp:lastModifiedBy>Sophie Wiggans</cp:lastModifiedBy>
  <cp:revision>3</cp:revision>
  <cp:lastPrinted>2023-02-16T16:14:00Z</cp:lastPrinted>
  <dcterms:created xsi:type="dcterms:W3CDTF">2023-03-30T23:49:00Z</dcterms:created>
  <dcterms:modified xsi:type="dcterms:W3CDTF">2023-03-30T23:49:00Z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0x0101003758792CB127DC4C96C98BAA399BE8D8</vt:lpwstr>
  </property>
  <property fmtid="{D5CDD505-2E9C-101B-9397-08002B2CF9AE}" pid="3" name="MediaServiceImageTags">
    <vt:lpwstr/>
  </property>
</Properties>
</file>