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41D9" w14:textId="4AE6F9F2" w:rsidR="007A3268" w:rsidRPr="006625CA" w:rsidRDefault="007A3268" w:rsidP="00DD7EB9">
      <w:pPr>
        <w:tabs>
          <w:tab w:val="clear" w:pos="288"/>
        </w:tabs>
        <w:rPr>
          <w:rFonts w:ascii="Arial" w:hAnsi="Arial" w:cs="Arial"/>
          <w:sz w:val="18"/>
          <w:szCs w:val="18"/>
        </w:rPr>
      </w:pPr>
    </w:p>
    <w:p w14:paraId="68AA3928" w14:textId="5BA8FF31" w:rsidR="194F23F8" w:rsidRDefault="00D26144" w:rsidP="00AA7C9E">
      <w:pPr>
        <w:pStyle w:val="Title"/>
        <w:ind w:left="284"/>
        <w:rPr>
          <w:rStyle w:val="BookTitle"/>
          <w:rFonts w:ascii="Calibri" w:hAnsi="Calibri"/>
          <w:iCs w:val="0"/>
          <w:color w:val="auto"/>
          <w:spacing w:val="-10"/>
          <w:sz w:val="40"/>
        </w:rPr>
      </w:pPr>
      <w:r>
        <w:rPr>
          <w:rStyle w:val="BookTitle"/>
          <w:rFonts w:ascii="Calibri" w:hAnsi="Calibri"/>
          <w:iCs w:val="0"/>
          <w:color w:val="auto"/>
          <w:spacing w:val="-10"/>
          <w:sz w:val="40"/>
        </w:rPr>
        <w:t xml:space="preserve">Current and proposed sexual consent laws in </w:t>
      </w:r>
      <w:proofErr w:type="gramStart"/>
      <w:r>
        <w:rPr>
          <w:rStyle w:val="BookTitle"/>
          <w:rFonts w:ascii="Calibri" w:hAnsi="Calibri"/>
          <w:iCs w:val="0"/>
          <w:color w:val="auto"/>
          <w:spacing w:val="-10"/>
          <w:sz w:val="40"/>
        </w:rPr>
        <w:t>Australia</w:t>
      </w:r>
      <w:proofErr w:type="gramEnd"/>
    </w:p>
    <w:p w14:paraId="55858DB9" w14:textId="77777777" w:rsidR="00B52F83" w:rsidRPr="00B52F83" w:rsidRDefault="00B52F83" w:rsidP="00B52F83"/>
    <w:p w14:paraId="435F2DD5" w14:textId="0C118294" w:rsidR="00CF1A02" w:rsidRPr="00EB03E4" w:rsidRDefault="00586F53" w:rsidP="00AA7C9E">
      <w:pPr>
        <w:pStyle w:val="Subtitle"/>
        <w:ind w:left="284"/>
        <w:jc w:val="right"/>
      </w:pPr>
      <w:r>
        <w:t xml:space="preserve">Submission </w:t>
      </w:r>
      <w:r w:rsidR="374E6579" w:rsidRPr="1B8A2A76">
        <w:t>by</w:t>
      </w:r>
    </w:p>
    <w:p w14:paraId="356E0C9C" w14:textId="11B92C32" w:rsidR="00CF1A02" w:rsidRPr="00EB03E4" w:rsidRDefault="00CF1A02" w:rsidP="00AA7C9E">
      <w:pPr>
        <w:pStyle w:val="Subtitle"/>
        <w:ind w:left="284"/>
        <w:jc w:val="right"/>
        <w:rPr>
          <w:rFonts w:cstheme="minorHAnsi"/>
        </w:rPr>
      </w:pPr>
      <w:r w:rsidRPr="00EB03E4">
        <w:rPr>
          <w:rFonts w:cstheme="minorHAnsi"/>
        </w:rPr>
        <w:t xml:space="preserve">Queensland Advocacy </w:t>
      </w:r>
      <w:r w:rsidR="00DC499F">
        <w:rPr>
          <w:rFonts w:cstheme="minorHAnsi"/>
        </w:rPr>
        <w:t>for Inclusion</w:t>
      </w:r>
    </w:p>
    <w:p w14:paraId="06FA1590" w14:textId="77777777" w:rsidR="00B52F83" w:rsidRDefault="00B52F83" w:rsidP="00AA7C9E">
      <w:pPr>
        <w:ind w:left="284"/>
        <w:rPr>
          <w:b/>
          <w:bCs/>
          <w:sz w:val="40"/>
          <w:szCs w:val="40"/>
        </w:rPr>
      </w:pPr>
    </w:p>
    <w:p w14:paraId="49A81D4E" w14:textId="78F5C100" w:rsidR="132B641C" w:rsidRPr="00B52F83" w:rsidRDefault="002006C3" w:rsidP="00AA7C9E">
      <w:pPr>
        <w:ind w:left="284"/>
        <w:rPr>
          <w:b/>
          <w:bCs/>
          <w:sz w:val="40"/>
          <w:szCs w:val="40"/>
        </w:rPr>
      </w:pPr>
      <w:r w:rsidRPr="00B52F83">
        <w:rPr>
          <w:b/>
          <w:bCs/>
          <w:sz w:val="40"/>
          <w:szCs w:val="40"/>
        </w:rPr>
        <w:t>to</w:t>
      </w:r>
    </w:p>
    <w:p w14:paraId="5476F6FA" w14:textId="06168B90" w:rsidR="1B8A2A76" w:rsidRPr="00B52F83" w:rsidRDefault="003E5FE3" w:rsidP="00AA7C9E">
      <w:pPr>
        <w:ind w:left="284"/>
        <w:rPr>
          <w:rFonts w:eastAsia="Calibri"/>
          <w:b/>
          <w:bCs/>
          <w:sz w:val="40"/>
          <w:szCs w:val="40"/>
        </w:rPr>
      </w:pPr>
      <w:r w:rsidRPr="00B52F83">
        <w:rPr>
          <w:rFonts w:eastAsia="Calibri"/>
          <w:b/>
          <w:bCs/>
          <w:sz w:val="40"/>
          <w:szCs w:val="40"/>
        </w:rPr>
        <w:t>Senate Standing Committee on Legal and Constitutional Affairs</w:t>
      </w:r>
    </w:p>
    <w:p w14:paraId="5AE783B4" w14:textId="5669BF5A" w:rsidR="001545DE" w:rsidRPr="00B52F83" w:rsidRDefault="003E5FE3" w:rsidP="00AA7C9E">
      <w:pPr>
        <w:ind w:left="284"/>
        <w:rPr>
          <w:rFonts w:eastAsia="Calibri"/>
          <w:b/>
          <w:bCs/>
          <w:sz w:val="36"/>
          <w:szCs w:val="36"/>
        </w:rPr>
      </w:pPr>
      <w:r w:rsidRPr="00B52F83">
        <w:rPr>
          <w:rFonts w:eastAsia="Calibri"/>
          <w:b/>
          <w:bCs/>
          <w:sz w:val="36"/>
          <w:szCs w:val="36"/>
        </w:rPr>
        <w:t>March 2023</w:t>
      </w:r>
    </w:p>
    <w:p w14:paraId="0C1442E8" w14:textId="06DD7034" w:rsidR="00E8197C" w:rsidRDefault="00E8197C" w:rsidP="001545DE">
      <w:pPr>
        <w:ind w:left="1134"/>
        <w:rPr>
          <w:rFonts w:eastAsia="Calibri"/>
          <w:b/>
          <w:bCs/>
          <w:sz w:val="36"/>
          <w:szCs w:val="36"/>
        </w:rPr>
        <w:sectPr w:rsidR="00E8197C" w:rsidSect="001545DE">
          <w:footerReference w:type="even" r:id="rId11"/>
          <w:footerReference w:type="default" r:id="rId12"/>
          <w:headerReference w:type="first" r:id="rId13"/>
          <w:footerReference w:type="first" r:id="rId14"/>
          <w:pgSz w:w="11900" w:h="16840" w:code="9"/>
          <w:pgMar w:top="1440" w:right="1077" w:bottom="1440" w:left="1077" w:header="709" w:footer="595" w:gutter="0"/>
          <w:cols w:space="708"/>
          <w:vAlign w:val="center"/>
          <w:titlePg/>
          <w:docGrid w:linePitch="400"/>
        </w:sectPr>
      </w:pPr>
    </w:p>
    <w:p w14:paraId="1D5C2DAE" w14:textId="38D39753" w:rsidR="000A1ABB" w:rsidRPr="001545DE" w:rsidRDefault="000A1ABB" w:rsidP="001545DE">
      <w:pPr>
        <w:pStyle w:val="Heading1"/>
      </w:pPr>
      <w:r w:rsidRPr="001545DE">
        <w:lastRenderedPageBreak/>
        <w:t xml:space="preserve">About Queensland Advocacy </w:t>
      </w:r>
      <w:r w:rsidR="00DC499F" w:rsidRPr="001545DE">
        <w:t>for Inclusion</w:t>
      </w:r>
    </w:p>
    <w:p w14:paraId="192FF4AF" w14:textId="4A5ED624" w:rsidR="00735296" w:rsidRPr="00BC1C68" w:rsidRDefault="00735296" w:rsidP="00E5774A">
      <w:r w:rsidRPr="00BC1C68">
        <w:t xml:space="preserve">Queensland Advocacy </w:t>
      </w:r>
      <w:r w:rsidR="00DC499F">
        <w:t xml:space="preserve">for Inclusion </w:t>
      </w:r>
      <w:r w:rsidRPr="00BC1C68">
        <w:t>(</w:t>
      </w:r>
      <w:r w:rsidRPr="00BC1C68">
        <w:rPr>
          <w:b/>
        </w:rPr>
        <w:t>QAI</w:t>
      </w:r>
      <w:r w:rsidRPr="00BC1C68">
        <w:t>)</w:t>
      </w:r>
      <w:r w:rsidR="00DC499F">
        <w:t xml:space="preserve"> (formerly Queensland Advocacy Incorporated)</w:t>
      </w:r>
      <w:r w:rsidRPr="00BC1C68">
        <w:t xml:space="preserve"> is an independent, community-based advocacy organisation and community legal service that provides individual and systems advocacy for people with disability. Our </w:t>
      </w:r>
      <w:r w:rsidR="000B6729">
        <w:t>purpose</w:t>
      </w:r>
      <w:r w:rsidRPr="00BC1C68">
        <w:t xml:space="preserve"> is to </w:t>
      </w:r>
      <w:r>
        <w:t xml:space="preserve">advocate for the protection and advancement of the fundamental needs, </w:t>
      </w:r>
      <w:proofErr w:type="gramStart"/>
      <w:r>
        <w:t>rights</w:t>
      </w:r>
      <w:proofErr w:type="gramEnd"/>
      <w:r>
        <w:t xml:space="preserve"> and lives</w:t>
      </w:r>
      <w:r w:rsidRPr="00BC1C68">
        <w:t xml:space="preserve"> of people with disability in Queensland. QAI’s </w:t>
      </w:r>
      <w:r w:rsidR="00986F50">
        <w:t>Management Committee</w:t>
      </w:r>
      <w:r w:rsidRPr="00BC1C68">
        <w:t xml:space="preserve"> is comprised of </w:t>
      </w:r>
      <w:proofErr w:type="gramStart"/>
      <w:r w:rsidRPr="00BC1C68">
        <w:t>a majority of</w:t>
      </w:r>
      <w:proofErr w:type="gramEnd"/>
      <w:r w:rsidRPr="00BC1C68">
        <w:t xml:space="preserve"> persons with disability, whose wisdom and lived experience is our foundation and guide.</w:t>
      </w:r>
    </w:p>
    <w:p w14:paraId="50F53EF8" w14:textId="7C1CDCD2" w:rsidR="009B6F0F" w:rsidRPr="0029342C" w:rsidRDefault="009B6F0F" w:rsidP="00E5774A">
      <w:pPr>
        <w:rPr>
          <w:rFonts w:ascii="Calibri" w:eastAsia="Times New Roman" w:hAnsi="Calibri" w:cs="Calibri"/>
          <w:color w:val="000000"/>
          <w:lang w:eastAsia="en-AU"/>
        </w:rPr>
      </w:pPr>
      <w:r w:rsidRPr="009B6F0F">
        <w:rPr>
          <w:rFonts w:ascii="Calibri" w:eastAsia="Times New Roman" w:hAnsi="Calibri" w:cs="Calibri"/>
          <w:lang w:eastAsia="en-AU"/>
        </w:rPr>
        <w:t>QAI has been engaged in systems advocacy for over thirty years, advocating for change through campaigns directed at attitudinal, law and policy reform. QAI has also supported the development of a range of advocacy initiatives in this state. </w:t>
      </w:r>
      <w:r w:rsidRPr="009B6F0F">
        <w:rPr>
          <w:rFonts w:ascii="Calibri" w:eastAsia="Times New Roman" w:hAnsi="Calibri" w:cs="Calibri"/>
          <w:color w:val="000000"/>
          <w:lang w:eastAsia="en-AU"/>
        </w:rPr>
        <w:t>For over a decade, QAI has provided highly in-demand individual advocacy services. These services are currently provided through our four advocacy practices: the </w:t>
      </w:r>
      <w:r w:rsidRPr="0029342C">
        <w:rPr>
          <w:rFonts w:ascii="Calibri" w:eastAsia="Times New Roman" w:hAnsi="Calibri" w:cs="Calibri"/>
          <w:b/>
          <w:bCs/>
          <w:color w:val="000000"/>
          <w:lang w:eastAsia="en-AU"/>
        </w:rPr>
        <w:t xml:space="preserve">Human Rights Advocacy Practice </w:t>
      </w:r>
      <w:r w:rsidRPr="009B6F0F">
        <w:rPr>
          <w:rFonts w:ascii="Calibri" w:eastAsia="Times New Roman" w:hAnsi="Calibri" w:cs="Calibri"/>
          <w:color w:val="000000"/>
          <w:lang w:eastAsia="en-AU"/>
        </w:rPr>
        <w:t xml:space="preserve">(which provides legal advocacy in the areas of guardianship and administration, disability discrimination and human rights law and non-legal advocacy support with the Disability Royal Commission and the justice interface); the </w:t>
      </w:r>
      <w:r w:rsidRPr="0029342C">
        <w:rPr>
          <w:rFonts w:ascii="Calibri" w:eastAsia="Times New Roman" w:hAnsi="Calibri" w:cs="Calibri"/>
          <w:b/>
          <w:bCs/>
          <w:color w:val="000000"/>
          <w:lang w:eastAsia="en-AU"/>
        </w:rPr>
        <w:t>Mental Health Advocacy Practice</w:t>
      </w:r>
      <w:r w:rsidRPr="009B6F0F">
        <w:rPr>
          <w:rFonts w:ascii="Calibri" w:eastAsia="Times New Roman" w:hAnsi="Calibri" w:cs="Calibri"/>
          <w:color w:val="000000"/>
          <w:lang w:eastAsia="en-AU"/>
        </w:rPr>
        <w:t xml:space="preserve"> (which supports people receiving involuntary treatment for mental illness); the </w:t>
      </w:r>
      <w:r w:rsidRPr="0029342C">
        <w:rPr>
          <w:rFonts w:ascii="Calibri" w:eastAsia="Times New Roman" w:hAnsi="Calibri" w:cs="Calibri"/>
          <w:b/>
          <w:bCs/>
          <w:color w:val="000000"/>
          <w:lang w:eastAsia="en-AU"/>
        </w:rPr>
        <w:t>NDIS Advocacy Practice </w:t>
      </w:r>
      <w:r w:rsidRPr="009B6F0F">
        <w:rPr>
          <w:rFonts w:ascii="Calibri" w:eastAsia="Times New Roman" w:hAnsi="Calibri" w:cs="Calibri"/>
          <w:color w:val="000000"/>
          <w:lang w:eastAsia="en-AU"/>
        </w:rPr>
        <w:t xml:space="preserve">(which provides support for people challenging decisions of the National Disability Insurance Agency and decision support to access the NDIS); and the </w:t>
      </w:r>
      <w:r w:rsidRPr="0029342C">
        <w:rPr>
          <w:rFonts w:ascii="Calibri" w:eastAsia="Times New Roman" w:hAnsi="Calibri" w:cs="Calibri"/>
          <w:b/>
          <w:bCs/>
          <w:color w:val="000000"/>
          <w:lang w:eastAsia="en-AU"/>
        </w:rPr>
        <w:t>Disability Advocacy Practice</w:t>
      </w:r>
      <w:r w:rsidRPr="009B6F0F">
        <w:rPr>
          <w:rFonts w:ascii="Calibri" w:eastAsia="Times New Roman" w:hAnsi="Calibri" w:cs="Calibri"/>
          <w:color w:val="000000"/>
          <w:lang w:eastAsia="en-AU"/>
        </w:rPr>
        <w:t xml:space="preserve"> (which operates the Pathways information and referral</w:t>
      </w:r>
      <w:r w:rsidR="00B54A65" w:rsidRPr="00B54A65">
        <w:rPr>
          <w:rFonts w:ascii="Calibri" w:eastAsia="Times New Roman" w:hAnsi="Calibri" w:cs="Calibri"/>
          <w:color w:val="000000"/>
          <w:lang w:eastAsia="en-AU"/>
        </w:rPr>
        <w:t xml:space="preserve"> </w:t>
      </w:r>
      <w:r w:rsidR="00B54A65">
        <w:rPr>
          <w:rFonts w:ascii="Calibri" w:eastAsia="Times New Roman" w:hAnsi="Calibri" w:cs="Calibri"/>
          <w:color w:val="000000"/>
          <w:lang w:eastAsia="en-AU"/>
        </w:rPr>
        <w:t xml:space="preserve">phone </w:t>
      </w:r>
      <w:r w:rsidR="00B54A65" w:rsidRPr="009B6F0F">
        <w:rPr>
          <w:rFonts w:ascii="Calibri" w:eastAsia="Times New Roman" w:hAnsi="Calibri" w:cs="Calibri"/>
          <w:color w:val="000000"/>
          <w:lang w:eastAsia="en-AU"/>
        </w:rPr>
        <w:t>line</w:t>
      </w:r>
      <w:r w:rsidR="00B54A65">
        <w:rPr>
          <w:rFonts w:ascii="Calibri" w:eastAsia="Times New Roman" w:hAnsi="Calibri" w:cs="Calibri"/>
          <w:color w:val="000000"/>
          <w:lang w:eastAsia="en-AU"/>
        </w:rPr>
        <w:t xml:space="preserve"> for all people with disability in Queensland</w:t>
      </w:r>
      <w:r w:rsidR="00B54A65" w:rsidRPr="009B6F0F">
        <w:rPr>
          <w:rFonts w:ascii="Calibri" w:eastAsia="Times New Roman" w:hAnsi="Calibri" w:cs="Calibri"/>
          <w:color w:val="000000"/>
          <w:lang w:eastAsia="en-AU"/>
        </w:rPr>
        <w:t xml:space="preserve">, and provides non-legal advocacy support </w:t>
      </w:r>
      <w:r w:rsidR="00B54A65">
        <w:rPr>
          <w:rFonts w:ascii="Calibri" w:eastAsia="Times New Roman" w:hAnsi="Calibri" w:cs="Calibri"/>
          <w:color w:val="000000"/>
          <w:lang w:eastAsia="en-AU"/>
        </w:rPr>
        <w:t>to young people with disability, including in relation to education).</w:t>
      </w:r>
      <w:r w:rsidR="00B54A65" w:rsidRPr="0048223F">
        <w:rPr>
          <w:rFonts w:ascii="Calibri" w:eastAsia="Times New Roman" w:hAnsi="Calibri" w:cs="Calibri"/>
          <w:color w:val="000000"/>
          <w:lang w:eastAsia="en-AU"/>
        </w:rPr>
        <w:t xml:space="preserve"> </w:t>
      </w:r>
      <w:r w:rsidR="00B54A65" w:rsidRPr="009B6F0F">
        <w:rPr>
          <w:rFonts w:ascii="Calibri" w:eastAsia="Times New Roman" w:hAnsi="Calibri" w:cs="Calibri"/>
          <w:color w:val="000000"/>
          <w:lang w:eastAsia="en-AU"/>
        </w:rPr>
        <w:t>Our individual advocacy experience informs our understanding and prioritisation of systemic advocacy issues.</w:t>
      </w:r>
    </w:p>
    <w:p w14:paraId="6B7D868F" w14:textId="336A9FCE" w:rsidR="009B6F0F" w:rsidRPr="009B6F0F" w:rsidRDefault="000C477C" w:rsidP="00E5774A">
      <w:pPr>
        <w:rPr>
          <w:rFonts w:ascii="Segoe UI" w:eastAsia="Times New Roman" w:hAnsi="Segoe UI" w:cs="Segoe UI"/>
          <w:sz w:val="18"/>
          <w:szCs w:val="18"/>
          <w:lang w:eastAsia="en-AU"/>
        </w:rPr>
      </w:pPr>
      <w:r>
        <w:rPr>
          <w:rFonts w:ascii="Calibri" w:eastAsia="Times New Roman" w:hAnsi="Calibri" w:cs="Calibri"/>
          <w:lang w:val="en-US" w:eastAsia="en-AU"/>
        </w:rPr>
        <w:t xml:space="preserve">Since </w:t>
      </w:r>
      <w:r w:rsidRPr="009B6F0F">
        <w:rPr>
          <w:rFonts w:ascii="Calibri" w:eastAsia="Times New Roman" w:hAnsi="Calibri" w:cs="Calibri"/>
          <w:lang w:val="en-US" w:eastAsia="en-AU"/>
        </w:rPr>
        <w:t xml:space="preserve">1 January 2022, </w:t>
      </w:r>
      <w:r>
        <w:rPr>
          <w:rFonts w:ascii="Calibri" w:eastAsia="Times New Roman" w:hAnsi="Calibri" w:cs="Calibri"/>
          <w:lang w:val="en-US" w:eastAsia="en-AU"/>
        </w:rPr>
        <w:t>QAI has</w:t>
      </w:r>
      <w:r w:rsidRPr="009B6F0F">
        <w:rPr>
          <w:rFonts w:ascii="Calibri" w:eastAsia="Times New Roman" w:hAnsi="Calibri" w:cs="Calibri"/>
          <w:lang w:val="en-US" w:eastAsia="en-AU"/>
        </w:rPr>
        <w:t xml:space="preserve"> </w:t>
      </w:r>
      <w:r>
        <w:rPr>
          <w:rFonts w:ascii="Calibri" w:eastAsia="Times New Roman" w:hAnsi="Calibri" w:cs="Calibri"/>
          <w:lang w:val="en-US" w:eastAsia="en-AU"/>
        </w:rPr>
        <w:t xml:space="preserve">also </w:t>
      </w:r>
      <w:r w:rsidRPr="009B6F0F">
        <w:rPr>
          <w:rFonts w:ascii="Calibri" w:eastAsia="Times New Roman" w:hAnsi="Calibri" w:cs="Calibri"/>
          <w:lang w:val="en-US" w:eastAsia="en-AU"/>
        </w:rPr>
        <w:t xml:space="preserve">been funded by the Queensland Government to establish and co-ordinate the Queensland </w:t>
      </w:r>
      <w:r>
        <w:rPr>
          <w:rFonts w:ascii="Calibri" w:eastAsia="Times New Roman" w:hAnsi="Calibri" w:cs="Calibri"/>
          <w:lang w:val="en-US" w:eastAsia="en-AU"/>
        </w:rPr>
        <w:t xml:space="preserve">Independent </w:t>
      </w:r>
      <w:r w:rsidRPr="009B6F0F">
        <w:rPr>
          <w:rFonts w:ascii="Calibri" w:eastAsia="Times New Roman" w:hAnsi="Calibri" w:cs="Calibri"/>
          <w:lang w:val="en-US" w:eastAsia="en-AU"/>
        </w:rPr>
        <w:t>Disability Advocacy Network (QIDAN)</w:t>
      </w:r>
      <w:r>
        <w:rPr>
          <w:rFonts w:ascii="Calibri" w:eastAsia="Times New Roman" w:hAnsi="Calibri" w:cs="Calibri"/>
          <w:lang w:val="en-US" w:eastAsia="en-AU"/>
        </w:rPr>
        <w:t>. QIDAN has three aims: member support, sector advocacy and systemic advocacy. Member organisations work collaboratively to raise the profile of disability advocacy while also working towards attitudinal, policy and legislative change for people with disability.</w:t>
      </w:r>
      <w:r w:rsidR="009B6F0F" w:rsidRPr="009B6F0F">
        <w:rPr>
          <w:rFonts w:ascii="Calibri" w:eastAsia="Times New Roman" w:hAnsi="Calibri" w:cs="Calibri"/>
          <w:color w:val="000000"/>
          <w:lang w:eastAsia="en-AU"/>
        </w:rPr>
        <w:t>    </w:t>
      </w:r>
    </w:p>
    <w:p w14:paraId="08411328" w14:textId="77777777" w:rsidR="009D0259" w:rsidRDefault="009D0259" w:rsidP="00E5774A">
      <w:pPr>
        <w:rPr>
          <w:rFonts w:ascii="Calibri" w:eastAsia="Times New Roman" w:hAnsi="Calibri" w:cs="Calibri"/>
          <w:lang w:val="en-US" w:eastAsia="en-AU"/>
        </w:rPr>
      </w:pPr>
    </w:p>
    <w:p w14:paraId="262A99E7" w14:textId="502DCDE8" w:rsidR="00561A03" w:rsidRDefault="00561A03" w:rsidP="00E5774A">
      <w:pPr>
        <w:rPr>
          <w:rFonts w:ascii="Calibri" w:eastAsia="Times New Roman" w:hAnsi="Calibri" w:cs="Calibri"/>
          <w:lang w:val="en-US" w:eastAsia="en-AU"/>
        </w:rPr>
      </w:pPr>
      <w:r>
        <w:rPr>
          <w:rFonts w:ascii="Calibri" w:eastAsia="Times New Roman" w:hAnsi="Calibri" w:cs="Calibri"/>
          <w:lang w:val="en-US" w:eastAsia="en-AU"/>
        </w:rPr>
        <w:t>The objects of QAI’s constitution are:</w:t>
      </w:r>
    </w:p>
    <w:p w14:paraId="44DC56DA" w14:textId="58B7A119" w:rsidR="00561A03" w:rsidRPr="00E5774A" w:rsidRDefault="00561A03" w:rsidP="00E5774A">
      <w:pPr>
        <w:pStyle w:val="ListParagraph"/>
        <w:numPr>
          <w:ilvl w:val="0"/>
          <w:numId w:val="3"/>
        </w:numPr>
        <w:rPr>
          <w:rFonts w:ascii="Calibri" w:eastAsia="Times New Roman" w:hAnsi="Calibri" w:cs="Calibri"/>
          <w:color w:val="000000"/>
          <w:lang w:eastAsia="en-AU"/>
        </w:rPr>
      </w:pPr>
      <w:r w:rsidRPr="00E5774A">
        <w:rPr>
          <w:rFonts w:ascii="Calibri" w:eastAsia="Times New Roman" w:hAnsi="Calibri" w:cs="Calibri"/>
          <w:color w:val="000000"/>
          <w:lang w:eastAsia="en-AU"/>
        </w:rPr>
        <w:t>To advocate for the protection and advancement of the needs</w:t>
      </w:r>
      <w:r w:rsidR="008326C9" w:rsidRPr="00E5774A">
        <w:rPr>
          <w:rFonts w:ascii="Calibri" w:eastAsia="Times New Roman" w:hAnsi="Calibri" w:cs="Calibri"/>
          <w:color w:val="000000"/>
          <w:lang w:eastAsia="en-AU"/>
        </w:rPr>
        <w:t xml:space="preserve">, </w:t>
      </w:r>
      <w:r w:rsidR="00474A3E" w:rsidRPr="00E5774A">
        <w:rPr>
          <w:rFonts w:ascii="Calibri" w:eastAsia="Times New Roman" w:hAnsi="Calibri" w:cs="Calibri"/>
          <w:color w:val="000000"/>
          <w:lang w:eastAsia="en-AU"/>
        </w:rPr>
        <w:t>rights,</w:t>
      </w:r>
      <w:r w:rsidR="008326C9" w:rsidRPr="00E5774A">
        <w:rPr>
          <w:rFonts w:ascii="Calibri" w:eastAsia="Times New Roman" w:hAnsi="Calibri" w:cs="Calibri"/>
          <w:color w:val="000000"/>
          <w:lang w:eastAsia="en-AU"/>
        </w:rPr>
        <w:t xml:space="preserve"> and lives of people with disability in Queensland;</w:t>
      </w:r>
    </w:p>
    <w:p w14:paraId="2F6E0C26" w14:textId="5B0139AA" w:rsidR="008326C9" w:rsidRPr="00E5774A" w:rsidRDefault="008326C9" w:rsidP="00E5774A">
      <w:pPr>
        <w:pStyle w:val="ListParagraph"/>
        <w:numPr>
          <w:ilvl w:val="0"/>
          <w:numId w:val="3"/>
        </w:numPr>
        <w:rPr>
          <w:rFonts w:ascii="Calibri" w:eastAsia="Times New Roman" w:hAnsi="Calibri" w:cs="Calibri"/>
          <w:color w:val="000000"/>
          <w:lang w:eastAsia="en-AU"/>
        </w:rPr>
      </w:pPr>
      <w:r w:rsidRPr="00E5774A">
        <w:rPr>
          <w:rFonts w:ascii="Calibri" w:eastAsia="Times New Roman" w:hAnsi="Calibri" w:cs="Calibri"/>
          <w:color w:val="000000"/>
          <w:lang w:eastAsia="en-AU"/>
        </w:rPr>
        <w:t>To protect and advance human rights including the Convention on the Rights of Persons with Disabilit</w:t>
      </w:r>
      <w:r w:rsidR="00DF1AB0" w:rsidRPr="00E5774A">
        <w:rPr>
          <w:rFonts w:ascii="Calibri" w:eastAsia="Times New Roman" w:hAnsi="Calibri" w:cs="Calibri"/>
          <w:color w:val="000000"/>
          <w:lang w:eastAsia="en-AU"/>
        </w:rPr>
        <w:t>ies (CRPD)</w:t>
      </w:r>
      <w:r w:rsidRPr="00E5774A">
        <w:rPr>
          <w:rFonts w:ascii="Calibri" w:eastAsia="Times New Roman" w:hAnsi="Calibri" w:cs="Calibri"/>
          <w:color w:val="000000"/>
          <w:lang w:eastAsia="en-AU"/>
        </w:rPr>
        <w:t>;</w:t>
      </w:r>
    </w:p>
    <w:p w14:paraId="6045E8C3" w14:textId="77DF3DDA" w:rsidR="008326C9" w:rsidRPr="00E5774A" w:rsidRDefault="008326C9" w:rsidP="00E5774A">
      <w:pPr>
        <w:pStyle w:val="ListParagraph"/>
        <w:numPr>
          <w:ilvl w:val="0"/>
          <w:numId w:val="3"/>
        </w:numPr>
        <w:rPr>
          <w:rFonts w:ascii="Calibri" w:eastAsia="Times New Roman" w:hAnsi="Calibri" w:cs="Calibri"/>
          <w:color w:val="000000"/>
          <w:lang w:eastAsia="en-AU"/>
        </w:rPr>
      </w:pPr>
      <w:r w:rsidRPr="00E5774A">
        <w:rPr>
          <w:rFonts w:ascii="Calibri" w:eastAsia="Times New Roman" w:hAnsi="Calibri" w:cs="Calibri"/>
          <w:color w:val="000000"/>
          <w:lang w:eastAsia="en-AU"/>
        </w:rPr>
        <w:t>To be accountable to the most disadvantaged people with disability in Queensland; and</w:t>
      </w:r>
    </w:p>
    <w:p w14:paraId="6C35BB30" w14:textId="7D4B9A03" w:rsidR="00DD56D1" w:rsidRDefault="008326C9" w:rsidP="325F15C5">
      <w:pPr>
        <w:pStyle w:val="ListParagraph"/>
        <w:numPr>
          <w:ilvl w:val="0"/>
          <w:numId w:val="3"/>
        </w:numPr>
        <w:rPr>
          <w:rFonts w:ascii="Calibri" w:eastAsia="Times New Roman" w:hAnsi="Calibri" w:cs="Calibri"/>
          <w:color w:val="000000"/>
          <w:lang w:eastAsia="en-AU"/>
        </w:rPr>
      </w:pPr>
      <w:r w:rsidRPr="00E5774A">
        <w:rPr>
          <w:rFonts w:ascii="Calibri" w:eastAsia="Times New Roman" w:hAnsi="Calibri" w:cs="Calibri"/>
          <w:color w:val="000000"/>
          <w:lang w:eastAsia="en-AU"/>
        </w:rPr>
        <w:t>To advance the health, social and public wellbeing of disadvantaged people with disability.</w:t>
      </w:r>
    </w:p>
    <w:p w14:paraId="4DC0653F" w14:textId="77777777" w:rsidR="00DD56D1" w:rsidRDefault="00DD56D1">
      <w:pPr>
        <w:tabs>
          <w:tab w:val="clear" w:pos="288"/>
        </w:tabs>
        <w:spacing w:after="160" w:line="259" w:lineRule="auto"/>
        <w:rPr>
          <w:rFonts w:eastAsia="Times New Roman"/>
          <w:b/>
          <w:bCs/>
          <w:sz w:val="32"/>
          <w:szCs w:val="28"/>
          <w:lang w:eastAsia="en-US"/>
        </w:rPr>
      </w:pPr>
      <w:r>
        <w:br w:type="page"/>
      </w:r>
    </w:p>
    <w:p w14:paraId="2597563F" w14:textId="5A175FBB" w:rsidR="00864664" w:rsidRDefault="00864664" w:rsidP="001545DE">
      <w:pPr>
        <w:pStyle w:val="Heading1"/>
      </w:pPr>
      <w:r w:rsidRPr="001545DE">
        <w:lastRenderedPageBreak/>
        <w:t>QAI’s recommendations</w:t>
      </w:r>
    </w:p>
    <w:tbl>
      <w:tblPr>
        <w:tblStyle w:val="TableGrid"/>
        <w:tblW w:w="0" w:type="auto"/>
        <w:tblLook w:val="04A0" w:firstRow="1" w:lastRow="0" w:firstColumn="1" w:lastColumn="0" w:noHBand="0" w:noVBand="1"/>
      </w:tblPr>
      <w:tblGrid>
        <w:gridCol w:w="9736"/>
      </w:tblGrid>
      <w:tr w:rsidR="004073CD" w14:paraId="5F103349" w14:textId="77777777" w:rsidTr="00C41BEE">
        <w:tc>
          <w:tcPr>
            <w:tcW w:w="9736" w:type="dxa"/>
            <w:shd w:val="clear" w:color="auto" w:fill="F2F2F2" w:themeFill="background1" w:themeFillShade="F2"/>
          </w:tcPr>
          <w:p w14:paraId="1079F0AA" w14:textId="77777777" w:rsidR="006C08C8" w:rsidRPr="00B75D0E" w:rsidRDefault="006C08C8" w:rsidP="006C08C8">
            <w:pPr>
              <w:pStyle w:val="BodyText"/>
              <w:spacing w:before="6"/>
              <w:rPr>
                <w:color w:val="000000"/>
                <w:sz w:val="19"/>
              </w:rPr>
            </w:pPr>
          </w:p>
          <w:p w14:paraId="28D1B57F" w14:textId="1B6674BF" w:rsidR="006C08C8" w:rsidRDefault="00944972" w:rsidP="00203C6E">
            <w:pPr>
              <w:pStyle w:val="BodyText"/>
              <w:tabs>
                <w:tab w:val="left" w:pos="464"/>
              </w:tabs>
              <w:spacing w:before="1"/>
              <w:ind w:right="99"/>
              <w:jc w:val="both"/>
              <w:rPr>
                <w:color w:val="000000"/>
              </w:rPr>
            </w:pPr>
            <w:r>
              <w:rPr>
                <w:color w:val="000000"/>
              </w:rPr>
              <w:t xml:space="preserve">1. </w:t>
            </w:r>
            <w:r w:rsidR="00745E3A">
              <w:rPr>
                <w:color w:val="000000"/>
              </w:rPr>
              <w:t>S</w:t>
            </w:r>
            <w:r w:rsidR="00203C6E">
              <w:rPr>
                <w:color w:val="000000"/>
              </w:rPr>
              <w:t>ection 216 of</w:t>
            </w:r>
            <w:r w:rsidR="006C08C8" w:rsidRPr="00B75D0E">
              <w:rPr>
                <w:color w:val="000000"/>
              </w:rPr>
              <w:t xml:space="preserve"> </w:t>
            </w:r>
            <w:r w:rsidR="00745E3A">
              <w:rPr>
                <w:color w:val="000000"/>
              </w:rPr>
              <w:t>Queensland</w:t>
            </w:r>
            <w:r w:rsidR="00203C6E">
              <w:rPr>
                <w:color w:val="000000"/>
              </w:rPr>
              <w:t>’s</w:t>
            </w:r>
            <w:r w:rsidR="00745E3A">
              <w:rPr>
                <w:color w:val="000000"/>
              </w:rPr>
              <w:t xml:space="preserve"> </w:t>
            </w:r>
            <w:r w:rsidR="006C08C8" w:rsidRPr="00B75D0E">
              <w:rPr>
                <w:color w:val="000000"/>
              </w:rPr>
              <w:t>Criminal Code arbitrarily regulate</w:t>
            </w:r>
            <w:r w:rsidR="00203C6E">
              <w:rPr>
                <w:color w:val="000000"/>
              </w:rPr>
              <w:t>s</w:t>
            </w:r>
            <w:r w:rsidR="006C08C8" w:rsidRPr="00B75D0E">
              <w:rPr>
                <w:color w:val="000000"/>
              </w:rPr>
              <w:t xml:space="preserve"> the sexual activity of people with an ‘impairment of the mind’ </w:t>
            </w:r>
            <w:r w:rsidR="00745E3A">
              <w:rPr>
                <w:color w:val="000000"/>
              </w:rPr>
              <w:t xml:space="preserve">and </w:t>
            </w:r>
            <w:r w:rsidR="00203C6E">
              <w:rPr>
                <w:color w:val="000000"/>
              </w:rPr>
              <w:t>disproportionately violates</w:t>
            </w:r>
            <w:r w:rsidR="00F13521">
              <w:rPr>
                <w:color w:val="000000"/>
              </w:rPr>
              <w:t xml:space="preserve"> the human right of people with disability </w:t>
            </w:r>
            <w:r w:rsidR="00203C6E">
              <w:rPr>
                <w:color w:val="000000"/>
              </w:rPr>
              <w:t>to sexual expression.</w:t>
            </w:r>
          </w:p>
          <w:p w14:paraId="3D05F631" w14:textId="77777777" w:rsidR="00203C6E" w:rsidRPr="00B75D0E" w:rsidRDefault="00203C6E" w:rsidP="00203C6E">
            <w:pPr>
              <w:pStyle w:val="BodyText"/>
              <w:tabs>
                <w:tab w:val="left" w:pos="464"/>
              </w:tabs>
              <w:spacing w:before="1"/>
              <w:ind w:right="99"/>
              <w:jc w:val="both"/>
              <w:rPr>
                <w:color w:val="000000"/>
                <w:sz w:val="19"/>
              </w:rPr>
            </w:pPr>
          </w:p>
          <w:p w14:paraId="652B1E97" w14:textId="77777777" w:rsidR="00064B61" w:rsidRDefault="00944972" w:rsidP="00B75D0E">
            <w:pPr>
              <w:pStyle w:val="BodyText"/>
              <w:rPr>
                <w:color w:val="000000"/>
              </w:rPr>
            </w:pPr>
            <w:r>
              <w:rPr>
                <w:color w:val="000000"/>
              </w:rPr>
              <w:t xml:space="preserve">2. </w:t>
            </w:r>
            <w:r w:rsidR="006C08C8" w:rsidRPr="00B75D0E">
              <w:rPr>
                <w:color w:val="000000"/>
              </w:rPr>
              <w:t>Consideration</w:t>
            </w:r>
            <w:r w:rsidR="006C08C8" w:rsidRPr="00B75D0E">
              <w:rPr>
                <w:color w:val="000000"/>
                <w:spacing w:val="-5"/>
              </w:rPr>
              <w:t xml:space="preserve"> </w:t>
            </w:r>
            <w:r w:rsidR="006C08C8" w:rsidRPr="00B75D0E">
              <w:rPr>
                <w:color w:val="000000"/>
              </w:rPr>
              <w:t>should</w:t>
            </w:r>
            <w:r w:rsidR="006C08C8" w:rsidRPr="00B75D0E">
              <w:rPr>
                <w:color w:val="000000"/>
                <w:spacing w:val="-5"/>
              </w:rPr>
              <w:t xml:space="preserve"> </w:t>
            </w:r>
            <w:r w:rsidR="006C08C8" w:rsidRPr="00B75D0E">
              <w:rPr>
                <w:color w:val="000000"/>
              </w:rPr>
              <w:t>be</w:t>
            </w:r>
            <w:r w:rsidR="006C08C8" w:rsidRPr="00B75D0E">
              <w:rPr>
                <w:color w:val="000000"/>
                <w:spacing w:val="-4"/>
              </w:rPr>
              <w:t xml:space="preserve"> </w:t>
            </w:r>
            <w:r w:rsidR="006C08C8" w:rsidRPr="00B75D0E">
              <w:rPr>
                <w:color w:val="000000"/>
              </w:rPr>
              <w:t>given</w:t>
            </w:r>
            <w:r w:rsidR="006C08C8" w:rsidRPr="00B75D0E">
              <w:rPr>
                <w:color w:val="000000"/>
                <w:spacing w:val="-4"/>
              </w:rPr>
              <w:t xml:space="preserve"> </w:t>
            </w:r>
            <w:r w:rsidR="006C08C8" w:rsidRPr="00B75D0E">
              <w:rPr>
                <w:color w:val="000000"/>
              </w:rPr>
              <w:t>to</w:t>
            </w:r>
            <w:r w:rsidR="006C08C8" w:rsidRPr="00B75D0E">
              <w:rPr>
                <w:color w:val="000000"/>
                <w:spacing w:val="-3"/>
              </w:rPr>
              <w:t xml:space="preserve"> </w:t>
            </w:r>
            <w:r w:rsidR="006C08C8" w:rsidRPr="00B75D0E">
              <w:rPr>
                <w:color w:val="000000"/>
              </w:rPr>
              <w:t>alternatives</w:t>
            </w:r>
            <w:r w:rsidR="006C08C8" w:rsidRPr="00B75D0E">
              <w:rPr>
                <w:color w:val="000000"/>
                <w:spacing w:val="-7"/>
              </w:rPr>
              <w:t xml:space="preserve"> </w:t>
            </w:r>
            <w:r w:rsidR="006C08C8" w:rsidRPr="00B75D0E">
              <w:rPr>
                <w:color w:val="000000"/>
              </w:rPr>
              <w:t>that</w:t>
            </w:r>
            <w:r w:rsidR="006C08C8" w:rsidRPr="00B75D0E">
              <w:rPr>
                <w:color w:val="000000"/>
                <w:spacing w:val="-6"/>
              </w:rPr>
              <w:t xml:space="preserve"> </w:t>
            </w:r>
            <w:r w:rsidR="006C08C8" w:rsidRPr="00B75D0E">
              <w:rPr>
                <w:color w:val="000000"/>
              </w:rPr>
              <w:t>ensure</w:t>
            </w:r>
            <w:r w:rsidR="006C08C8" w:rsidRPr="00B75D0E">
              <w:rPr>
                <w:color w:val="000000"/>
                <w:spacing w:val="-4"/>
              </w:rPr>
              <w:t xml:space="preserve"> </w:t>
            </w:r>
            <w:r w:rsidR="006C08C8" w:rsidRPr="00B75D0E">
              <w:rPr>
                <w:color w:val="000000"/>
              </w:rPr>
              <w:t>the</w:t>
            </w:r>
            <w:r w:rsidR="006C08C8" w:rsidRPr="00B75D0E">
              <w:rPr>
                <w:color w:val="000000"/>
                <w:spacing w:val="-4"/>
              </w:rPr>
              <w:t xml:space="preserve"> </w:t>
            </w:r>
            <w:r w:rsidR="006C08C8" w:rsidRPr="00B75D0E">
              <w:rPr>
                <w:color w:val="000000"/>
              </w:rPr>
              <w:t>rights</w:t>
            </w:r>
            <w:r w:rsidR="006C08C8" w:rsidRPr="00B75D0E">
              <w:rPr>
                <w:color w:val="000000"/>
                <w:spacing w:val="-7"/>
              </w:rPr>
              <w:t xml:space="preserve"> </w:t>
            </w:r>
            <w:r w:rsidR="006C08C8" w:rsidRPr="00B75D0E">
              <w:rPr>
                <w:color w:val="000000"/>
              </w:rPr>
              <w:t>of</w:t>
            </w:r>
            <w:r w:rsidR="006C08C8" w:rsidRPr="00B75D0E">
              <w:rPr>
                <w:color w:val="000000"/>
                <w:spacing w:val="-4"/>
              </w:rPr>
              <w:t xml:space="preserve"> </w:t>
            </w:r>
            <w:r w:rsidR="006C08C8" w:rsidRPr="00B75D0E">
              <w:rPr>
                <w:color w:val="000000"/>
              </w:rPr>
              <w:t>people</w:t>
            </w:r>
            <w:r w:rsidR="006C08C8" w:rsidRPr="00B75D0E">
              <w:rPr>
                <w:color w:val="000000"/>
                <w:spacing w:val="-6"/>
              </w:rPr>
              <w:t xml:space="preserve"> </w:t>
            </w:r>
            <w:r w:rsidR="006C08C8" w:rsidRPr="00B75D0E">
              <w:rPr>
                <w:color w:val="000000"/>
              </w:rPr>
              <w:t>with</w:t>
            </w:r>
            <w:r w:rsidR="006C08C8" w:rsidRPr="00B75D0E">
              <w:rPr>
                <w:color w:val="000000"/>
                <w:spacing w:val="-5"/>
              </w:rPr>
              <w:t xml:space="preserve"> </w:t>
            </w:r>
            <w:r w:rsidR="006C08C8" w:rsidRPr="00B75D0E">
              <w:rPr>
                <w:color w:val="000000"/>
              </w:rPr>
              <w:t>disability</w:t>
            </w:r>
            <w:r w:rsidR="006C08C8" w:rsidRPr="00B75D0E">
              <w:rPr>
                <w:color w:val="000000"/>
                <w:spacing w:val="-4"/>
              </w:rPr>
              <w:t xml:space="preserve"> </w:t>
            </w:r>
            <w:r w:rsidR="006C08C8" w:rsidRPr="00B75D0E">
              <w:rPr>
                <w:color w:val="000000"/>
              </w:rPr>
              <w:t>to</w:t>
            </w:r>
            <w:r w:rsidR="006C08C8" w:rsidRPr="00B75D0E">
              <w:rPr>
                <w:color w:val="000000"/>
                <w:spacing w:val="-5"/>
              </w:rPr>
              <w:t xml:space="preserve"> </w:t>
            </w:r>
            <w:r w:rsidR="006C08C8" w:rsidRPr="00B75D0E">
              <w:rPr>
                <w:color w:val="000000"/>
              </w:rPr>
              <w:t>express their</w:t>
            </w:r>
            <w:r w:rsidR="006C08C8" w:rsidRPr="00B75D0E">
              <w:rPr>
                <w:color w:val="000000"/>
                <w:spacing w:val="34"/>
              </w:rPr>
              <w:t xml:space="preserve"> </w:t>
            </w:r>
            <w:r w:rsidR="006C08C8" w:rsidRPr="00B75D0E">
              <w:rPr>
                <w:color w:val="000000"/>
              </w:rPr>
              <w:t>sexuality</w:t>
            </w:r>
            <w:r w:rsidR="006C08C8" w:rsidRPr="00B75D0E">
              <w:rPr>
                <w:color w:val="000000"/>
                <w:spacing w:val="37"/>
              </w:rPr>
              <w:t xml:space="preserve"> </w:t>
            </w:r>
            <w:r w:rsidR="006C08C8" w:rsidRPr="00B75D0E">
              <w:rPr>
                <w:color w:val="000000"/>
              </w:rPr>
              <w:t>are</w:t>
            </w:r>
            <w:r w:rsidR="006C08C8" w:rsidRPr="00B75D0E">
              <w:rPr>
                <w:color w:val="000000"/>
                <w:spacing w:val="36"/>
              </w:rPr>
              <w:t xml:space="preserve"> </w:t>
            </w:r>
            <w:r w:rsidR="006C08C8" w:rsidRPr="00B75D0E">
              <w:rPr>
                <w:color w:val="000000"/>
              </w:rPr>
              <w:t>upheld,</w:t>
            </w:r>
            <w:r w:rsidR="006C08C8" w:rsidRPr="00B75D0E">
              <w:rPr>
                <w:color w:val="000000"/>
                <w:spacing w:val="34"/>
              </w:rPr>
              <w:t xml:space="preserve"> </w:t>
            </w:r>
            <w:r w:rsidR="006C08C8" w:rsidRPr="00B75D0E">
              <w:rPr>
                <w:color w:val="000000"/>
              </w:rPr>
              <w:t>whilst</w:t>
            </w:r>
            <w:r w:rsidR="006C08C8" w:rsidRPr="00B75D0E">
              <w:rPr>
                <w:color w:val="000000"/>
                <w:spacing w:val="35"/>
              </w:rPr>
              <w:t xml:space="preserve"> </w:t>
            </w:r>
            <w:r w:rsidR="006C08C8" w:rsidRPr="00B75D0E">
              <w:rPr>
                <w:color w:val="000000"/>
              </w:rPr>
              <w:t>protecting</w:t>
            </w:r>
            <w:r w:rsidR="006C08C8" w:rsidRPr="00B75D0E">
              <w:rPr>
                <w:color w:val="000000"/>
                <w:spacing w:val="35"/>
              </w:rPr>
              <w:t xml:space="preserve"> </w:t>
            </w:r>
            <w:r w:rsidR="006C08C8" w:rsidRPr="00B75D0E">
              <w:rPr>
                <w:color w:val="000000"/>
              </w:rPr>
              <w:t>against</w:t>
            </w:r>
            <w:r w:rsidR="006C08C8" w:rsidRPr="00B75D0E">
              <w:rPr>
                <w:color w:val="000000"/>
                <w:spacing w:val="34"/>
              </w:rPr>
              <w:t xml:space="preserve"> </w:t>
            </w:r>
            <w:r w:rsidR="006C08C8" w:rsidRPr="00B75D0E">
              <w:rPr>
                <w:color w:val="000000"/>
              </w:rPr>
              <w:t>the</w:t>
            </w:r>
            <w:r w:rsidR="006C08C8" w:rsidRPr="00B75D0E">
              <w:rPr>
                <w:color w:val="000000"/>
                <w:spacing w:val="36"/>
              </w:rPr>
              <w:t xml:space="preserve"> </w:t>
            </w:r>
            <w:r w:rsidR="006C08C8" w:rsidRPr="00B75D0E">
              <w:rPr>
                <w:color w:val="000000"/>
              </w:rPr>
              <w:t>risk</w:t>
            </w:r>
            <w:r w:rsidR="006C08C8" w:rsidRPr="00B75D0E">
              <w:rPr>
                <w:color w:val="000000"/>
                <w:spacing w:val="36"/>
              </w:rPr>
              <w:t xml:space="preserve"> </w:t>
            </w:r>
            <w:r w:rsidR="006C08C8" w:rsidRPr="00B75D0E">
              <w:rPr>
                <w:color w:val="000000"/>
              </w:rPr>
              <w:t>of</w:t>
            </w:r>
            <w:r w:rsidR="006C08C8" w:rsidRPr="00B75D0E">
              <w:rPr>
                <w:color w:val="000000"/>
                <w:spacing w:val="34"/>
              </w:rPr>
              <w:t xml:space="preserve"> </w:t>
            </w:r>
            <w:r w:rsidR="006C08C8" w:rsidRPr="00B75D0E">
              <w:rPr>
                <w:color w:val="000000"/>
              </w:rPr>
              <w:t>sexual</w:t>
            </w:r>
            <w:r w:rsidR="006C08C8" w:rsidRPr="00B75D0E">
              <w:rPr>
                <w:color w:val="000000"/>
                <w:spacing w:val="35"/>
              </w:rPr>
              <w:t xml:space="preserve"> </w:t>
            </w:r>
            <w:r w:rsidR="006C08C8" w:rsidRPr="00B75D0E">
              <w:rPr>
                <w:color w:val="000000"/>
              </w:rPr>
              <w:t>exploitation</w:t>
            </w:r>
            <w:r w:rsidR="006C08C8" w:rsidRPr="00B75D0E">
              <w:rPr>
                <w:color w:val="000000"/>
                <w:spacing w:val="36"/>
              </w:rPr>
              <w:t xml:space="preserve"> </w:t>
            </w:r>
            <w:r w:rsidR="006C08C8" w:rsidRPr="00B75D0E">
              <w:rPr>
                <w:color w:val="000000"/>
              </w:rPr>
              <w:t>of</w:t>
            </w:r>
            <w:r w:rsidR="006C08C8" w:rsidRPr="00B75D0E">
              <w:rPr>
                <w:color w:val="000000"/>
                <w:spacing w:val="36"/>
              </w:rPr>
              <w:t xml:space="preserve"> </w:t>
            </w:r>
            <w:r w:rsidR="006C08C8" w:rsidRPr="00B75D0E">
              <w:rPr>
                <w:color w:val="000000"/>
              </w:rPr>
              <w:t>people</w:t>
            </w:r>
            <w:r w:rsidR="006C08C8" w:rsidRPr="00B75D0E">
              <w:rPr>
                <w:color w:val="000000"/>
                <w:spacing w:val="33"/>
              </w:rPr>
              <w:t xml:space="preserve"> </w:t>
            </w:r>
            <w:r w:rsidR="006C08C8" w:rsidRPr="00B75D0E">
              <w:rPr>
                <w:color w:val="000000"/>
                <w:spacing w:val="-4"/>
              </w:rPr>
              <w:t xml:space="preserve">with </w:t>
            </w:r>
            <w:r w:rsidR="00535B43" w:rsidRPr="00B75D0E">
              <w:rPr>
                <w:color w:val="000000"/>
              </w:rPr>
              <w:t xml:space="preserve">impaired decision-making capacity. </w:t>
            </w:r>
          </w:p>
          <w:p w14:paraId="665482B7" w14:textId="77777777" w:rsidR="00064B61" w:rsidRDefault="00064B61" w:rsidP="00B75D0E">
            <w:pPr>
              <w:pStyle w:val="BodyText"/>
              <w:rPr>
                <w:color w:val="000000"/>
              </w:rPr>
            </w:pPr>
          </w:p>
          <w:p w14:paraId="549D57FB" w14:textId="4241833D" w:rsidR="00535B43" w:rsidRDefault="00535B43" w:rsidP="00B75D0E">
            <w:pPr>
              <w:pStyle w:val="BodyText"/>
              <w:rPr>
                <w:color w:val="000000"/>
              </w:rPr>
            </w:pPr>
            <w:r w:rsidRPr="00B75D0E">
              <w:rPr>
                <w:color w:val="000000"/>
              </w:rPr>
              <w:t>For example, consideration could be given to including a circumstance</w:t>
            </w:r>
            <w:r w:rsidRPr="00B75D0E">
              <w:rPr>
                <w:color w:val="000000"/>
                <w:spacing w:val="-9"/>
              </w:rPr>
              <w:t xml:space="preserve"> </w:t>
            </w:r>
            <w:r w:rsidRPr="00B75D0E">
              <w:rPr>
                <w:color w:val="000000"/>
              </w:rPr>
              <w:t>of</w:t>
            </w:r>
            <w:r w:rsidRPr="00B75D0E">
              <w:rPr>
                <w:color w:val="000000"/>
                <w:spacing w:val="-9"/>
              </w:rPr>
              <w:t xml:space="preserve"> </w:t>
            </w:r>
            <w:r w:rsidRPr="00B75D0E">
              <w:rPr>
                <w:color w:val="000000"/>
              </w:rPr>
              <w:t>aggravation</w:t>
            </w:r>
            <w:r w:rsidRPr="00B75D0E">
              <w:rPr>
                <w:color w:val="000000"/>
                <w:spacing w:val="-7"/>
              </w:rPr>
              <w:t xml:space="preserve"> </w:t>
            </w:r>
            <w:r w:rsidRPr="00B75D0E">
              <w:rPr>
                <w:color w:val="000000"/>
              </w:rPr>
              <w:t>in</w:t>
            </w:r>
            <w:r w:rsidRPr="00B75D0E">
              <w:rPr>
                <w:color w:val="000000"/>
                <w:spacing w:val="-7"/>
              </w:rPr>
              <w:t xml:space="preserve"> </w:t>
            </w:r>
            <w:r w:rsidRPr="00B75D0E">
              <w:rPr>
                <w:color w:val="000000"/>
              </w:rPr>
              <w:t>the</w:t>
            </w:r>
            <w:r w:rsidRPr="00B75D0E">
              <w:rPr>
                <w:color w:val="000000"/>
                <w:spacing w:val="-9"/>
              </w:rPr>
              <w:t xml:space="preserve"> </w:t>
            </w:r>
            <w:r w:rsidRPr="00064B61">
              <w:rPr>
                <w:i/>
                <w:iCs/>
                <w:color w:val="000000"/>
              </w:rPr>
              <w:t>Penalties</w:t>
            </w:r>
            <w:r w:rsidRPr="00064B61">
              <w:rPr>
                <w:i/>
                <w:iCs/>
                <w:color w:val="000000"/>
                <w:spacing w:val="-6"/>
              </w:rPr>
              <w:t xml:space="preserve"> </w:t>
            </w:r>
            <w:r w:rsidRPr="00064B61">
              <w:rPr>
                <w:i/>
                <w:iCs/>
                <w:color w:val="000000"/>
              </w:rPr>
              <w:t>and</w:t>
            </w:r>
            <w:r w:rsidRPr="00064B61">
              <w:rPr>
                <w:i/>
                <w:iCs/>
                <w:color w:val="000000"/>
                <w:spacing w:val="-10"/>
              </w:rPr>
              <w:t xml:space="preserve"> </w:t>
            </w:r>
            <w:r w:rsidRPr="00064B61">
              <w:rPr>
                <w:i/>
                <w:iCs/>
                <w:color w:val="000000"/>
              </w:rPr>
              <w:t>Sentences</w:t>
            </w:r>
            <w:r w:rsidRPr="00064B61">
              <w:rPr>
                <w:i/>
                <w:iCs/>
                <w:color w:val="000000"/>
                <w:spacing w:val="-6"/>
              </w:rPr>
              <w:t xml:space="preserve"> </w:t>
            </w:r>
            <w:r w:rsidRPr="00064B61">
              <w:rPr>
                <w:i/>
                <w:iCs/>
                <w:color w:val="000000"/>
              </w:rPr>
              <w:t>Act</w:t>
            </w:r>
            <w:r w:rsidRPr="00064B61">
              <w:rPr>
                <w:i/>
                <w:iCs/>
                <w:color w:val="000000"/>
                <w:spacing w:val="-8"/>
              </w:rPr>
              <w:t xml:space="preserve"> </w:t>
            </w:r>
            <w:r w:rsidRPr="00064B61">
              <w:rPr>
                <w:i/>
                <w:iCs/>
                <w:color w:val="000000"/>
              </w:rPr>
              <w:t>1992</w:t>
            </w:r>
            <w:r w:rsidRPr="00B75D0E">
              <w:rPr>
                <w:color w:val="000000"/>
                <w:spacing w:val="-8"/>
              </w:rPr>
              <w:t xml:space="preserve"> </w:t>
            </w:r>
            <w:r w:rsidRPr="00B75D0E">
              <w:rPr>
                <w:color w:val="000000"/>
              </w:rPr>
              <w:t>(Qld),</w:t>
            </w:r>
            <w:r w:rsidRPr="00B75D0E">
              <w:rPr>
                <w:color w:val="000000"/>
                <w:spacing w:val="-9"/>
              </w:rPr>
              <w:t xml:space="preserve"> </w:t>
            </w:r>
            <w:r w:rsidRPr="00B75D0E">
              <w:rPr>
                <w:color w:val="000000"/>
              </w:rPr>
              <w:t>whereby</w:t>
            </w:r>
            <w:r w:rsidRPr="00B75D0E">
              <w:rPr>
                <w:color w:val="000000"/>
                <w:spacing w:val="-6"/>
              </w:rPr>
              <w:t xml:space="preserve"> </w:t>
            </w:r>
            <w:r w:rsidRPr="00B75D0E">
              <w:rPr>
                <w:color w:val="000000"/>
              </w:rPr>
              <w:t>additional</w:t>
            </w:r>
            <w:r w:rsidRPr="00B75D0E">
              <w:rPr>
                <w:color w:val="000000"/>
                <w:spacing w:val="-10"/>
              </w:rPr>
              <w:t xml:space="preserve"> </w:t>
            </w:r>
            <w:r w:rsidRPr="00B75D0E">
              <w:rPr>
                <w:color w:val="000000"/>
              </w:rPr>
              <w:t>criminal penalties occur if an offence is committed and the lack of consent is a result of the victim’s impaired decision-making capacity to provide consent to sexual activity.</w:t>
            </w:r>
          </w:p>
          <w:p w14:paraId="383B3373" w14:textId="77777777" w:rsidR="00985E02" w:rsidRDefault="00985E02" w:rsidP="00B75D0E">
            <w:pPr>
              <w:pStyle w:val="BodyText"/>
              <w:rPr>
                <w:color w:val="000000"/>
              </w:rPr>
            </w:pPr>
          </w:p>
          <w:p w14:paraId="7915FE11" w14:textId="0A13F18F" w:rsidR="00985E02" w:rsidRDefault="00985E02" w:rsidP="00B75D0E">
            <w:pPr>
              <w:pStyle w:val="BodyText"/>
              <w:rPr>
                <w:color w:val="000000"/>
              </w:rPr>
            </w:pPr>
            <w:r>
              <w:t>The law could also be changed to uphold the rights of people with disability to engage in sexual relationships, while still criminalizing sexual activity in situations of sexual exploitation, such as when sexual relations occur between a person with disability and a support worker, or in situations where the person with disability does not have capacity to consent.</w:t>
            </w:r>
          </w:p>
          <w:p w14:paraId="62973D1C" w14:textId="2CC625F3" w:rsidR="00535B43" w:rsidRDefault="00535B43" w:rsidP="0042716F">
            <w:pPr>
              <w:pStyle w:val="BodyText"/>
            </w:pPr>
          </w:p>
        </w:tc>
      </w:tr>
    </w:tbl>
    <w:p w14:paraId="12A0A588" w14:textId="77777777" w:rsidR="00C41BEE" w:rsidRDefault="00C41BEE" w:rsidP="00C41BEE"/>
    <w:p w14:paraId="32E45E48" w14:textId="77777777" w:rsidR="00E859F6" w:rsidRDefault="00E859F6" w:rsidP="00C41BEE"/>
    <w:p w14:paraId="2ED8CC9A" w14:textId="77777777" w:rsidR="00361F25" w:rsidRDefault="00361F25" w:rsidP="00C41BEE"/>
    <w:p w14:paraId="55CA463E" w14:textId="77777777" w:rsidR="00361F25" w:rsidRDefault="00361F25" w:rsidP="00C41BEE"/>
    <w:p w14:paraId="2B3B5A93" w14:textId="77777777" w:rsidR="00361F25" w:rsidRDefault="00361F25" w:rsidP="00C41BEE"/>
    <w:p w14:paraId="09A72C11" w14:textId="77777777" w:rsidR="00361F25" w:rsidRDefault="00361F25" w:rsidP="00C41BEE"/>
    <w:p w14:paraId="71DCAEC2" w14:textId="77777777" w:rsidR="00944972" w:rsidRDefault="00944972" w:rsidP="00C41BEE"/>
    <w:p w14:paraId="5D6006C0" w14:textId="77777777" w:rsidR="00944972" w:rsidRDefault="00944972" w:rsidP="00C41BEE"/>
    <w:p w14:paraId="55C30A9F" w14:textId="77777777" w:rsidR="00944972" w:rsidRDefault="00944972" w:rsidP="00C41BEE"/>
    <w:p w14:paraId="350568F8" w14:textId="77777777" w:rsidR="00944972" w:rsidRDefault="00944972" w:rsidP="00C41BEE"/>
    <w:p w14:paraId="1FC60225" w14:textId="77777777" w:rsidR="00944972" w:rsidRDefault="00944972" w:rsidP="00C41BEE"/>
    <w:p w14:paraId="48FB5E41" w14:textId="77777777" w:rsidR="00944972" w:rsidRDefault="00944972" w:rsidP="00C41BEE"/>
    <w:p w14:paraId="06658BBE" w14:textId="77777777" w:rsidR="00361F25" w:rsidRDefault="00361F25" w:rsidP="00C41BEE"/>
    <w:p w14:paraId="45E536F8" w14:textId="77777777" w:rsidR="00361F25" w:rsidRDefault="00361F25" w:rsidP="00C41BEE"/>
    <w:p w14:paraId="4B38FB41" w14:textId="77777777" w:rsidR="00361F25" w:rsidRDefault="00361F25" w:rsidP="00C41BEE"/>
    <w:p w14:paraId="3497ECFE" w14:textId="77777777" w:rsidR="00361F25" w:rsidRDefault="00361F25" w:rsidP="00C41BEE"/>
    <w:p w14:paraId="120D2C84" w14:textId="77777777" w:rsidR="00361F25" w:rsidRDefault="00361F25" w:rsidP="00C41BEE"/>
    <w:p w14:paraId="0127F256" w14:textId="77777777" w:rsidR="00361F25" w:rsidRDefault="00361F25" w:rsidP="00C41BEE"/>
    <w:p w14:paraId="3401018B" w14:textId="77777777" w:rsidR="00361F25" w:rsidRDefault="00361F25" w:rsidP="00C41BEE"/>
    <w:p w14:paraId="26BA6148" w14:textId="77777777" w:rsidR="00E859F6" w:rsidRDefault="00E859F6" w:rsidP="00C41BEE"/>
    <w:p w14:paraId="61409B0F" w14:textId="67213248" w:rsidR="008C19D8" w:rsidRPr="00E5774A" w:rsidRDefault="008C19D8" w:rsidP="00E5774A">
      <w:pPr>
        <w:pStyle w:val="Heading1"/>
      </w:pPr>
      <w:r w:rsidRPr="00E5774A">
        <w:lastRenderedPageBreak/>
        <w:t>Introduction</w:t>
      </w:r>
    </w:p>
    <w:p w14:paraId="06897D46" w14:textId="1DD326C6" w:rsidR="008C19D8" w:rsidRDefault="00D3274B" w:rsidP="00E5774A">
      <w:r>
        <w:t>QAI welcomes the opportunity to make a submission</w:t>
      </w:r>
      <w:r w:rsidR="00637C69">
        <w:t xml:space="preserve"> to the Committee’s inquiry into current sexual consent laws in Australia.</w:t>
      </w:r>
      <w:r w:rsidR="004446EA">
        <w:t xml:space="preserve"> </w:t>
      </w:r>
      <w:r w:rsidR="004446EA" w:rsidRPr="004446EA">
        <w:t xml:space="preserve">QAI has consistently raised concern about provisions within Queensland’s Criminal Code that infringe the human rights of people with </w:t>
      </w:r>
      <w:proofErr w:type="gramStart"/>
      <w:r w:rsidR="004446EA" w:rsidRPr="004446EA">
        <w:t>disability</w:t>
      </w:r>
      <w:proofErr w:type="gramEnd"/>
      <w:r w:rsidR="004446EA" w:rsidRPr="004446EA">
        <w:t xml:space="preserve"> and which arbitrarily limit their right to sexual expression.</w:t>
      </w:r>
      <w:r w:rsidR="00C54842">
        <w:t xml:space="preserve"> </w:t>
      </w:r>
      <w:r w:rsidR="004446EA" w:rsidRPr="004446EA">
        <w:t xml:space="preserve">QAI has long called for the abolition of </w:t>
      </w:r>
      <w:r w:rsidR="00E66D84">
        <w:t>S</w:t>
      </w:r>
      <w:r w:rsidR="004446EA" w:rsidRPr="004446EA">
        <w:t>ection 216 of the Criminal Code which criminalises sexual activity involving a person with an ‘impairment of the mind’, even when that person has capacity to consent to the sexual activity.</w:t>
      </w:r>
    </w:p>
    <w:p w14:paraId="58CBCDD2" w14:textId="440BABDD" w:rsidR="008C19D8" w:rsidRDefault="00C9714F" w:rsidP="004447CA">
      <w:r w:rsidRPr="00C9714F">
        <w:t xml:space="preserve">In the words of the </w:t>
      </w:r>
      <w:r w:rsidR="005F12CD">
        <w:t xml:space="preserve">Queensland </w:t>
      </w:r>
      <w:r w:rsidRPr="00C9714F">
        <w:t>Public Advocate, “</w:t>
      </w:r>
      <w:r w:rsidRPr="00210912">
        <w:rPr>
          <w:i/>
          <w:iCs/>
        </w:rPr>
        <w:t>Where people retain capacity to consent to participating in a sexual relationship with another person, they should have their right to be recognised as an autonomous and sexual being respected and protected by the law</w:t>
      </w:r>
      <w:r w:rsidRPr="00C9714F">
        <w:t>”.</w:t>
      </w:r>
      <w:r w:rsidR="00DF4739">
        <w:rPr>
          <w:rStyle w:val="FootnoteReference"/>
        </w:rPr>
        <w:footnoteReference w:id="2"/>
      </w:r>
      <w:r w:rsidRPr="00C9714F">
        <w:t xml:space="preserve"> QAI’s submission therefore </w:t>
      </w:r>
      <w:r w:rsidR="00DF4739">
        <w:t xml:space="preserve">seeks to </w:t>
      </w:r>
      <w:r w:rsidRPr="00C9714F">
        <w:t xml:space="preserve">contribute to the </w:t>
      </w:r>
      <w:r w:rsidR="00DF4739">
        <w:t>Committee’s</w:t>
      </w:r>
      <w:r w:rsidRPr="00C9714F">
        <w:t xml:space="preserve"> inquiry by highlighting the inequitable way in which some laws </w:t>
      </w:r>
      <w:r w:rsidR="001157F0">
        <w:t>relating to sexual consen</w:t>
      </w:r>
      <w:r w:rsidR="00B86E85">
        <w:t xml:space="preserve">t can </w:t>
      </w:r>
      <w:r w:rsidRPr="00C9714F">
        <w:t>inappropriately infringe the fundamental human rights of people with a disability.</w:t>
      </w:r>
    </w:p>
    <w:p w14:paraId="1DA3C86F" w14:textId="62FEF210" w:rsidR="008C19D8" w:rsidRDefault="002261C5" w:rsidP="004447CA">
      <w:pPr>
        <w:pStyle w:val="Heading1"/>
        <w:spacing w:before="240"/>
      </w:pPr>
      <w:r>
        <w:t xml:space="preserve">Section 216 of the </w:t>
      </w:r>
      <w:r w:rsidR="004447CA">
        <w:t>Q</w:t>
      </w:r>
      <w:r w:rsidR="00C32FA0">
        <w:t>l</w:t>
      </w:r>
      <w:r>
        <w:t>d Criminal Code</w:t>
      </w:r>
      <w:r w:rsidR="00C32FA0">
        <w:t xml:space="preserve"> </w:t>
      </w:r>
    </w:p>
    <w:p w14:paraId="065E2182" w14:textId="73EBDA27" w:rsidR="00E4038B" w:rsidRDefault="00E4038B" w:rsidP="00E4038B">
      <w:r>
        <w:t xml:space="preserve">Under </w:t>
      </w:r>
      <w:r w:rsidR="00A41866">
        <w:t>S</w:t>
      </w:r>
      <w:r w:rsidR="001C0893">
        <w:t xml:space="preserve">ection 216 of </w:t>
      </w:r>
      <w:r>
        <w:t xml:space="preserve">Queensland’s Criminal Code, </w:t>
      </w:r>
      <w:r w:rsidR="00377559">
        <w:t xml:space="preserve">it is a crime to engage in sexual activity with a person who </w:t>
      </w:r>
      <w:r w:rsidR="006A1393">
        <w:t>is classified as having</w:t>
      </w:r>
      <w:r w:rsidR="00377559">
        <w:t xml:space="preserve"> an </w:t>
      </w:r>
      <w:r w:rsidR="006A1393">
        <w:t>‘</w:t>
      </w:r>
      <w:r w:rsidR="00377559">
        <w:t>impairment of the mind</w:t>
      </w:r>
      <w:r w:rsidR="00CA1152">
        <w:t>.</w:t>
      </w:r>
      <w:r w:rsidR="006A1393">
        <w:t>’</w:t>
      </w:r>
      <w:r w:rsidR="00CA1152">
        <w:rPr>
          <w:rStyle w:val="FootnoteReference"/>
        </w:rPr>
        <w:footnoteReference w:id="3"/>
      </w:r>
      <w:r w:rsidR="00CA1152">
        <w:t xml:space="preserve"> </w:t>
      </w:r>
      <w:r w:rsidR="00DF5AB6">
        <w:t>The Criminal Code defines a</w:t>
      </w:r>
      <w:r>
        <w:t xml:space="preserve"> person with an ‘impairment of the mind’ as “a person with a disability that, a) is attributable to an intellectual, psychiatric, cognitive or neurological impairment or a combination of these; and, b) results in i) a substantial reduction of the person’s capacity for communication, social interaction or learning; and ii) the person needing support.”</w:t>
      </w:r>
      <w:r w:rsidR="004A05CE">
        <w:rPr>
          <w:rStyle w:val="FootnoteReference"/>
        </w:rPr>
        <w:footnoteReference w:id="4"/>
      </w:r>
    </w:p>
    <w:p w14:paraId="583C7DB8" w14:textId="7ABFF628" w:rsidR="00E4038B" w:rsidRDefault="00E4038B" w:rsidP="00E4038B">
      <w:r>
        <w:t>QAI has numerous concerns regarding this definition and its use within the Criminal Code, including its application to laws regulating the sexual activity of people with a disability</w:t>
      </w:r>
      <w:r w:rsidR="004F0FE8">
        <w:t xml:space="preserve">. </w:t>
      </w:r>
    </w:p>
    <w:p w14:paraId="2D77174C" w14:textId="37249910" w:rsidR="00E4038B" w:rsidRDefault="0072555F" w:rsidP="00E4038B">
      <w:r>
        <w:t>1.</w:t>
      </w:r>
      <w:r w:rsidR="00EB1D91">
        <w:tab/>
      </w:r>
      <w:r>
        <w:t>T</w:t>
      </w:r>
      <w:r w:rsidR="00E4038B">
        <w:t xml:space="preserve">he scope of the definition is so broad that it includes people with a disability whose impairment may not impact their decision-making capacity. For example, a person may have a neurological impairment that impacts how they </w:t>
      </w:r>
      <w:proofErr w:type="gramStart"/>
      <w:r w:rsidR="00E4038B">
        <w:t>communicate</w:t>
      </w:r>
      <w:proofErr w:type="gramEnd"/>
      <w:r w:rsidR="00E4038B">
        <w:t xml:space="preserve"> and which may result in the person requiring support for various activities of daily living, however they may retain the capacity to make their own decisions, particularly in the presence of support.</w:t>
      </w:r>
      <w:r w:rsidR="00D77907">
        <w:t xml:space="preserve"> </w:t>
      </w:r>
      <w:r w:rsidR="00D949EF">
        <w:t>Section 216 nonetheless effectively criminalises any sexual contact with that person, even if they have the capacity to consent to and understand the nature of such activities.</w:t>
      </w:r>
    </w:p>
    <w:p w14:paraId="283A2B20" w14:textId="1C03BA84" w:rsidR="00631B09" w:rsidRDefault="008E3E1C" w:rsidP="00E4038B">
      <w:r>
        <w:t xml:space="preserve">Although </w:t>
      </w:r>
      <w:r w:rsidR="007E53D7">
        <w:t>S</w:t>
      </w:r>
      <w:r>
        <w:t xml:space="preserve">ection 216 provides a defence if the conduct did not constitute </w:t>
      </w:r>
      <w:r w:rsidR="005B6F95">
        <w:t>‘sexual exploitation’, th</w:t>
      </w:r>
      <w:r w:rsidR="000C455E">
        <w:t xml:space="preserve">is </w:t>
      </w:r>
      <w:r w:rsidR="00E5182C">
        <w:t xml:space="preserve">term </w:t>
      </w:r>
      <w:r w:rsidR="000C455E">
        <w:t>is ambiguous</w:t>
      </w:r>
      <w:r w:rsidR="00AF61AA">
        <w:t xml:space="preserve"> and subject to</w:t>
      </w:r>
      <w:r w:rsidR="00A736AE">
        <w:t xml:space="preserve"> varying</w:t>
      </w:r>
      <w:r w:rsidR="00AF61AA">
        <w:t xml:space="preserve"> interpretation</w:t>
      </w:r>
      <w:r w:rsidR="00A736AE">
        <w:t>s</w:t>
      </w:r>
      <w:r w:rsidR="000C455E">
        <w:t xml:space="preserve"> and</w:t>
      </w:r>
      <w:r w:rsidR="005B6F95">
        <w:t xml:space="preserve"> </w:t>
      </w:r>
      <w:r w:rsidR="00E5182C">
        <w:t xml:space="preserve">the provision </w:t>
      </w:r>
      <w:r w:rsidR="00A10916">
        <w:t>still criminalises otherwise consensual and legal sexual activity</w:t>
      </w:r>
      <w:r w:rsidR="005B6F95">
        <w:t xml:space="preserve"> </w:t>
      </w:r>
      <w:r w:rsidR="00962B4E">
        <w:t xml:space="preserve">by placing the onus </w:t>
      </w:r>
      <w:r w:rsidR="00350B5F">
        <w:t>of proof onto the alleged perpetrator to prove that the conduct was not an act of sexual exploitation.</w:t>
      </w:r>
      <w:r w:rsidR="00350B5F">
        <w:rPr>
          <w:rStyle w:val="FootnoteReference"/>
        </w:rPr>
        <w:footnoteReference w:id="5"/>
      </w:r>
    </w:p>
    <w:p w14:paraId="5039DB22" w14:textId="7C9F5821" w:rsidR="0085299D" w:rsidRDefault="0072555F" w:rsidP="00E4038B">
      <w:r>
        <w:t>2.</w:t>
      </w:r>
      <w:r w:rsidR="00EB1D91">
        <w:tab/>
      </w:r>
      <w:r>
        <w:t>T</w:t>
      </w:r>
      <w:r w:rsidR="00E4038B">
        <w:t>he definition does not reflect the widely accepted position that decision-making capacity, including in relation to sexual activity, is contextual. In other words, capacity is decision, time, and situation (or ‘domain’) specific, whereby a person’s ability to make decisions and communicate them can fluctuate</w:t>
      </w:r>
      <w:r w:rsidR="00E91293" w:rsidRPr="00E91293">
        <w:t xml:space="preserve"> </w:t>
      </w:r>
      <w:r w:rsidR="00E91293">
        <w:t xml:space="preserve">and change depending upon the nature of the decision required and the circumstances in which it is made. Assumptions about a person’s capacity cannot and should not be </w:t>
      </w:r>
      <w:r w:rsidR="00E91293">
        <w:lastRenderedPageBreak/>
        <w:t xml:space="preserve">drawn simply from the presence of an impairment. All adults at law are presumed to have decision-making capacity until proven otherwise and capacity should be assessed on a decision-by-decision basis. </w:t>
      </w:r>
      <w:r w:rsidR="000A13DF" w:rsidRPr="000A13DF">
        <w:t xml:space="preserve">This means that capacity must be assessed every time a person </w:t>
      </w:r>
      <w:proofErr w:type="gramStart"/>
      <w:r w:rsidR="000A13DF" w:rsidRPr="000A13DF">
        <w:t>makes a decision</w:t>
      </w:r>
      <w:proofErr w:type="gramEnd"/>
      <w:r w:rsidR="000A13DF" w:rsidRPr="000A13DF">
        <w:t>, including decisions about</w:t>
      </w:r>
      <w:r w:rsidR="004676FA">
        <w:t xml:space="preserve"> engaging in</w:t>
      </w:r>
      <w:r w:rsidR="000A13DF" w:rsidRPr="000A13DF">
        <w:t xml:space="preserve"> </w:t>
      </w:r>
      <w:r w:rsidR="004676FA">
        <w:t>sexual activity</w:t>
      </w:r>
      <w:r w:rsidR="000A13DF" w:rsidRPr="000A13DF">
        <w:t>.</w:t>
      </w:r>
    </w:p>
    <w:p w14:paraId="5114E0DE" w14:textId="40D1DF5A" w:rsidR="00E4038B" w:rsidRDefault="00E91293" w:rsidP="00E4038B">
      <w:r>
        <w:t xml:space="preserve">This position is adopted in other Queensland legal contexts, such as the Queensland Capacity Assessment Guidelines 2020 and their role alongside the </w:t>
      </w:r>
      <w:r w:rsidRPr="00F535D9">
        <w:rPr>
          <w:i/>
          <w:iCs/>
        </w:rPr>
        <w:t>Guardianship and Administration Act 2000</w:t>
      </w:r>
      <w:r>
        <w:t xml:space="preserve"> (Qld). Moreover, the courts have ruled that a person with intellectual impairment </w:t>
      </w:r>
      <w:r w:rsidRPr="00F51D38">
        <w:rPr>
          <w:i/>
          <w:iCs/>
        </w:rPr>
        <w:t>can</w:t>
      </w:r>
      <w:r>
        <w:t xml:space="preserve"> have the capacity to consent, thereby reinforcing the position that capacity should be assessed on an individual</w:t>
      </w:r>
      <w:r w:rsidR="00F51D38">
        <w:t xml:space="preserve"> and case by case</w:t>
      </w:r>
      <w:r>
        <w:t xml:space="preserve"> basis.</w:t>
      </w:r>
      <w:r w:rsidR="0016444A">
        <w:rPr>
          <w:rStyle w:val="FootnoteReference"/>
        </w:rPr>
        <w:footnoteReference w:id="6"/>
      </w:r>
    </w:p>
    <w:p w14:paraId="46E2685B" w14:textId="4D75B533" w:rsidR="00E4038B" w:rsidRDefault="0072555F" w:rsidP="00E4038B">
      <w:r>
        <w:t>3.</w:t>
      </w:r>
      <w:r w:rsidR="00EB1D91">
        <w:tab/>
      </w:r>
      <w:r>
        <w:t>T</w:t>
      </w:r>
      <w:r w:rsidR="00E4038B">
        <w:t>he definition is not congruent with contemporary understandings of, and approaches to, supported decision-making as per Australia’s obligations under the Convention on the Rights of Persons with Disabilities (CRPD). Through ratification of the CRPD, Australia has committed to ensuring a model of supported decision-making whereby people with disability are assisted to maintain and develop their legal capacity through the assistance of informal supporters to understand, consider and communicate their decisions rather than have this right taken away from them.</w:t>
      </w:r>
      <w:r w:rsidR="00235EDB">
        <w:rPr>
          <w:rStyle w:val="FootnoteReference"/>
        </w:rPr>
        <w:footnoteReference w:id="7"/>
      </w:r>
      <w:r w:rsidR="00E4038B">
        <w:t xml:space="preserve"> Only in limited and extremely rare circumstances is the denial of this right necessary, and this must always be a measure of last resort. Indeed, the Australian Law Reform Commission (ALRC) suggests that rather than considering whether a person has capacity for a matter, focus should be placed upon the type of support that is required. The focus has therefore shifted away from making arbitrary conclusions about a person’s capacity due to the presence or not of an impairment, and our laws must reflect this change accordingly. People with an ‘impairment of the mind’ should be supported to make decisions about their own lives, including decisions about their sexuality and </w:t>
      </w:r>
      <w:r w:rsidR="008257B0">
        <w:t xml:space="preserve">their desire to </w:t>
      </w:r>
      <w:r w:rsidR="00E4038B">
        <w:t>engag</w:t>
      </w:r>
      <w:r w:rsidR="008257B0">
        <w:t>e</w:t>
      </w:r>
      <w:r w:rsidR="00E4038B">
        <w:t xml:space="preserve"> </w:t>
      </w:r>
      <w:r w:rsidR="00AD2CFC">
        <w:t>in sexual</w:t>
      </w:r>
      <w:r w:rsidR="00A21E6D">
        <w:t xml:space="preserve"> relationships</w:t>
      </w:r>
      <w:r w:rsidR="00E4038B">
        <w:t>.</w:t>
      </w:r>
    </w:p>
    <w:p w14:paraId="4AAD871D" w14:textId="1C3581A3" w:rsidR="00E4038B" w:rsidRDefault="00694350" w:rsidP="00E4038B">
      <w:r>
        <w:t>4.</w:t>
      </w:r>
      <w:r w:rsidR="00EB1D91">
        <w:tab/>
      </w:r>
      <w:r>
        <w:t>T</w:t>
      </w:r>
      <w:r w:rsidR="00E4038B">
        <w:t>he definition is at odds with the social model of disability which considers ‘impairment’ to be a personal characteristic</w:t>
      </w:r>
      <w:r w:rsidR="00A21E6D">
        <w:t>,</w:t>
      </w:r>
      <w:r w:rsidR="00E4038B">
        <w:t xml:space="preserve"> and which conceptualises ‘disability’ as a social construct caused by inaccessible environments.</w:t>
      </w:r>
      <w:r w:rsidR="00ED6678">
        <w:rPr>
          <w:rStyle w:val="FootnoteReference"/>
        </w:rPr>
        <w:footnoteReference w:id="8"/>
      </w:r>
      <w:r w:rsidR="00E4038B">
        <w:t xml:space="preserve"> Consequently, the social model of disability requires an ‘ecological view of self-determination’.</w:t>
      </w:r>
      <w:r w:rsidR="00ED6678">
        <w:rPr>
          <w:rStyle w:val="FootnoteReference"/>
        </w:rPr>
        <w:footnoteReference w:id="9"/>
      </w:r>
      <w:r w:rsidR="00E4038B">
        <w:t xml:space="preserve"> That is, a focus on the environmental factors that facilitate the exercise of legal capacity and decision-making, where the onus is placed upon ‘supporters, rather than those being supported’.</w:t>
      </w:r>
      <w:r w:rsidR="00020B2F">
        <w:rPr>
          <w:rStyle w:val="FootnoteReference"/>
        </w:rPr>
        <w:footnoteReference w:id="10"/>
      </w:r>
      <w:r w:rsidR="00E4038B">
        <w:t xml:space="preserve"> Whether a person can consent to engaging </w:t>
      </w:r>
      <w:r w:rsidR="00AB34B1">
        <w:t>in sexual activity</w:t>
      </w:r>
      <w:r w:rsidR="00E4038B">
        <w:t xml:space="preserve"> is therefore </w:t>
      </w:r>
      <w:r w:rsidR="00AB476C">
        <w:t>related to</w:t>
      </w:r>
      <w:r w:rsidR="00E4038B">
        <w:t xml:space="preserve"> the way in which the person is supported to understand the nature of </w:t>
      </w:r>
      <w:r w:rsidR="00AB476C">
        <w:t>sexual</w:t>
      </w:r>
      <w:r w:rsidR="00E626C3">
        <w:t xml:space="preserve"> activit</w:t>
      </w:r>
      <w:r w:rsidR="00AB476C">
        <w:t>y</w:t>
      </w:r>
      <w:r w:rsidR="00E4038B">
        <w:t xml:space="preserve"> and to communicate their preferences</w:t>
      </w:r>
      <w:r w:rsidR="002637B3">
        <w:t>, not simply attributable to the presence of a disability</w:t>
      </w:r>
      <w:r w:rsidR="00E4038B">
        <w:t xml:space="preserve">. </w:t>
      </w:r>
    </w:p>
    <w:p w14:paraId="6B00EEB4" w14:textId="25D9D7AF" w:rsidR="005F61C9" w:rsidRDefault="00694350" w:rsidP="00660D41">
      <w:r>
        <w:t>5.</w:t>
      </w:r>
      <w:r w:rsidR="00EB1D91">
        <w:tab/>
      </w:r>
      <w:r>
        <w:t>S</w:t>
      </w:r>
      <w:r w:rsidR="00E4038B">
        <w:t xml:space="preserve">ingling out people with an ‘impairment of the mind’ and denying their right to sexual expression is discriminatory to people with disability in the sense that they are treated less favourably than others by the law. </w:t>
      </w:r>
      <w:r w:rsidR="00DE1978">
        <w:t>This is contrary to</w:t>
      </w:r>
      <w:r w:rsidR="008C46A1">
        <w:t xml:space="preserve"> various legal instruments, including </w:t>
      </w:r>
      <w:r w:rsidR="00F91B19">
        <w:t xml:space="preserve">Article </w:t>
      </w:r>
      <w:r w:rsidR="00441E4C">
        <w:t>5</w:t>
      </w:r>
      <w:r w:rsidR="00F91B19">
        <w:t xml:space="preserve"> of the CRPD</w:t>
      </w:r>
      <w:r w:rsidR="00441E4C">
        <w:t xml:space="preserve"> which requires </w:t>
      </w:r>
      <w:r w:rsidR="00A45FE2">
        <w:t>equal recognition of people with disabilities before the law</w:t>
      </w:r>
      <w:r w:rsidR="003E3629">
        <w:t xml:space="preserve"> and which </w:t>
      </w:r>
      <w:r w:rsidR="00766B69">
        <w:t xml:space="preserve">imposes </w:t>
      </w:r>
      <w:r w:rsidR="00E56FF9">
        <w:t xml:space="preserve">a requirement </w:t>
      </w:r>
      <w:r w:rsidR="00766B69">
        <w:t>upon</w:t>
      </w:r>
      <w:r w:rsidR="003E3629">
        <w:t xml:space="preserve"> States Parties to </w:t>
      </w:r>
      <w:r w:rsidR="002A4F65">
        <w:t xml:space="preserve">prevent and eliminate </w:t>
      </w:r>
      <w:r w:rsidR="00E56FF9">
        <w:t>discrimination</w:t>
      </w:r>
      <w:r w:rsidR="002A4F65">
        <w:t>.</w:t>
      </w:r>
      <w:r w:rsidR="00453143">
        <w:t xml:space="preserve"> </w:t>
      </w:r>
      <w:r w:rsidR="005F61C9">
        <w:t xml:space="preserve">People with </w:t>
      </w:r>
      <w:r w:rsidR="005F61C9">
        <w:lastRenderedPageBreak/>
        <w:t>disability also have the right</w:t>
      </w:r>
      <w:r w:rsidR="00BC7844">
        <w:t xml:space="preserve"> to marriage, family, parenthood and relationships on an equal basis with others</w:t>
      </w:r>
      <w:r w:rsidR="00453143">
        <w:t>, as per Article 23 of the CRPD.</w:t>
      </w:r>
    </w:p>
    <w:p w14:paraId="7382B6A2" w14:textId="01B6D73C" w:rsidR="00E4038B" w:rsidRDefault="001B0703" w:rsidP="00E4038B">
      <w:r>
        <w:t>Denying certain people with disability their right to sexual expression simply due to the presence of a</w:t>
      </w:r>
      <w:r w:rsidR="00E61345">
        <w:t>n ‘impairment’</w:t>
      </w:r>
      <w:r w:rsidR="00E4038B">
        <w:t xml:space="preserve"> </w:t>
      </w:r>
      <w:r w:rsidR="004C3AD6">
        <w:t xml:space="preserve">also </w:t>
      </w:r>
      <w:r w:rsidR="00254AA6">
        <w:t>exemplifies</w:t>
      </w:r>
      <w:r w:rsidR="00E61345">
        <w:t xml:space="preserve"> </w:t>
      </w:r>
      <w:r w:rsidR="00E4038B">
        <w:t>antiquated attitudes towards people with disability</w:t>
      </w:r>
      <w:r w:rsidR="00254AA6">
        <w:t xml:space="preserve"> and</w:t>
      </w:r>
      <w:r w:rsidR="00E4038B">
        <w:t xml:space="preserve"> perpetuat</w:t>
      </w:r>
      <w:r w:rsidR="00254AA6">
        <w:t>es</w:t>
      </w:r>
      <w:r w:rsidR="00E4038B">
        <w:t xml:space="preserve"> harmful stereotypes that conceptualise people with disability as ‘victims’ or asexual, unable to enjoy autonomy over their bodies and unable to exercise self-determination and personal control over their own lives. Such attitudes are extremely destructive and have no place within today’s society. The disability rights movement has worked tirelessly over recent decades to dispel such attitudes. Governments must therefore take the opportunity to reconsider the assumptions, values and beliefs underlying our laws</w:t>
      </w:r>
      <w:r w:rsidR="00660D41" w:rsidRPr="00660D41">
        <w:t xml:space="preserve"> </w:t>
      </w:r>
      <w:r w:rsidR="00660D41">
        <w:t>and policies and consider the extent to which they reflect a human rights framework. QAI submits that these provisions of the Criminal Code are grounded in ableist attitudes, reflect archaic assumptions about the capabilities of people with disability and have no place within contemporary Queensland</w:t>
      </w:r>
      <w:r w:rsidR="00EA73EC">
        <w:t xml:space="preserve"> of Commonwealth</w:t>
      </w:r>
      <w:r w:rsidR="00660D41">
        <w:t xml:space="preserve"> legislation. </w:t>
      </w:r>
    </w:p>
    <w:p w14:paraId="2075B9E4" w14:textId="5F0B6486" w:rsidR="00D73A4C" w:rsidRDefault="0079487A" w:rsidP="00E4038B">
      <w:r>
        <w:t xml:space="preserve">As </w:t>
      </w:r>
      <w:r w:rsidR="00881047">
        <w:t>s</w:t>
      </w:r>
      <w:r w:rsidR="008962B6">
        <w:t>o</w:t>
      </w:r>
      <w:r w:rsidR="00881047">
        <w:t>m</w:t>
      </w:r>
      <w:r w:rsidR="008962B6">
        <w:t>e academic</w:t>
      </w:r>
      <w:r w:rsidR="00881047">
        <w:t>s</w:t>
      </w:r>
      <w:r w:rsidR="008962B6">
        <w:t xml:space="preserve"> ha</w:t>
      </w:r>
      <w:r w:rsidR="00881047">
        <w:t>ve</w:t>
      </w:r>
      <w:r w:rsidR="008962B6">
        <w:t xml:space="preserve"> put it</w:t>
      </w:r>
      <w:r>
        <w:t xml:space="preserve">, </w:t>
      </w:r>
      <w:r w:rsidR="00D73A4C" w:rsidRPr="00D73A4C">
        <w:t>“</w:t>
      </w:r>
      <w:r w:rsidR="00D73A4C" w:rsidRPr="000A026F">
        <w:rPr>
          <w:i/>
          <w:iCs/>
        </w:rPr>
        <w:t>laws that are constructed to deny sexual agency of people with disabilities</w:t>
      </w:r>
      <w:r w:rsidR="00355920" w:rsidRPr="000A026F">
        <w:rPr>
          <w:i/>
          <w:iCs/>
        </w:rPr>
        <w:t>…</w:t>
      </w:r>
      <w:r w:rsidR="00D73A4C" w:rsidRPr="000A026F">
        <w:rPr>
          <w:i/>
          <w:iCs/>
        </w:rPr>
        <w:t>may do more harm than good in the stigma they perpetuate by denying the sexual agency of these groups</w:t>
      </w:r>
      <w:r w:rsidR="00D73A4C" w:rsidRPr="00D73A4C">
        <w:t>.”</w:t>
      </w:r>
      <w:r w:rsidR="00E7648C">
        <w:rPr>
          <w:rStyle w:val="FootnoteReference"/>
        </w:rPr>
        <w:footnoteReference w:id="11"/>
      </w:r>
    </w:p>
    <w:p w14:paraId="04A2DF90" w14:textId="68F36C47" w:rsidR="00614153" w:rsidRDefault="00E4038B" w:rsidP="00776462">
      <w:r>
        <w:t>6.</w:t>
      </w:r>
      <w:r w:rsidR="00EB1D91">
        <w:tab/>
      </w:r>
      <w:r>
        <w:t>The definition of ‘impairment of the mind’ and its application to laws regulating sex</w:t>
      </w:r>
      <w:r w:rsidR="008B7858">
        <w:t>ual activity</w:t>
      </w:r>
      <w:r>
        <w:t xml:space="preserve"> could be considered in contravention of </w:t>
      </w:r>
      <w:r w:rsidR="00887366">
        <w:t xml:space="preserve">various sections of </w:t>
      </w:r>
      <w:r>
        <w:t xml:space="preserve">the </w:t>
      </w:r>
      <w:r w:rsidRPr="008B7858">
        <w:rPr>
          <w:i/>
          <w:iCs/>
        </w:rPr>
        <w:t xml:space="preserve">Human Rights Act (2019) </w:t>
      </w:r>
      <w:r>
        <w:t>Qld, in particular</w:t>
      </w:r>
      <w:r w:rsidR="00887366">
        <w:t>,</w:t>
      </w:r>
      <w:r>
        <w:t xml:space="preserve"> </w:t>
      </w:r>
      <w:r w:rsidR="00F57329">
        <w:t>section</w:t>
      </w:r>
      <w:r>
        <w:t xml:space="preserve"> 25 which states that a person has the right not to have their privacy, family, home, or correspondence unlawfully or arbitrarily interfered with.</w:t>
      </w:r>
      <w:r w:rsidR="00F57329">
        <w:rPr>
          <w:rStyle w:val="FootnoteReference"/>
        </w:rPr>
        <w:footnoteReference w:id="12"/>
      </w:r>
      <w:r>
        <w:t xml:space="preserve"> This argument is particularly compelling when the person can be supported to exercise their legal capacity and can consent to engaging </w:t>
      </w:r>
      <w:r w:rsidR="00684D27">
        <w:t>in sexual activity</w:t>
      </w:r>
      <w:r>
        <w:t>, meaning that these provisions are neither reasonable, proportionate nor justifiable.</w:t>
      </w:r>
      <w:r w:rsidR="00E92D67">
        <w:t xml:space="preserve"> </w:t>
      </w:r>
    </w:p>
    <w:p w14:paraId="40BC8655" w14:textId="43CA6A94" w:rsidR="00547144" w:rsidRDefault="00D11F3F" w:rsidP="00D11F3F">
      <w:pPr>
        <w:rPr>
          <w:lang w:eastAsia="en-US"/>
        </w:rPr>
      </w:pPr>
      <w:r>
        <w:rPr>
          <w:lang w:eastAsia="en-US"/>
        </w:rPr>
        <w:t>7.</w:t>
      </w:r>
      <w:r w:rsidR="00EB1D91">
        <w:rPr>
          <w:lang w:eastAsia="en-US"/>
        </w:rPr>
        <w:tab/>
      </w:r>
      <w:r w:rsidR="00547144">
        <w:t>QAI acknowledges that the purpose of Section 216 is to ensure vulnerable people with disability are protected against abuse and exploitation. However,</w:t>
      </w:r>
      <w:r w:rsidR="00547144" w:rsidRPr="00635878">
        <w:rPr>
          <w:lang w:eastAsia="en-US"/>
        </w:rPr>
        <w:t xml:space="preserve"> </w:t>
      </w:r>
      <w:r w:rsidR="00547144">
        <w:rPr>
          <w:lang w:eastAsia="en-US"/>
        </w:rPr>
        <w:t xml:space="preserve">despite the benevolent intentions behind these provisions, sexual assault laws already ensure that non-consensual based sexual activity is a criminal offence. Indeed, sexual assault cases rest upon the prosecution proving that the victim did not provide consent. Additional provisions, such as </w:t>
      </w:r>
      <w:r w:rsidR="00747033">
        <w:rPr>
          <w:lang w:eastAsia="en-US"/>
        </w:rPr>
        <w:t>S</w:t>
      </w:r>
      <w:r w:rsidR="00547144">
        <w:rPr>
          <w:lang w:eastAsia="en-US"/>
        </w:rPr>
        <w:t xml:space="preserve">ection 216 or other provisions which prohibit a person with an impairment of the mind from attending a place used for the purposes of prostitution, are unnecessarily paternalistic and arguably redundant as non-consensual based sexual activity is already an offence under the law. </w:t>
      </w:r>
    </w:p>
    <w:p w14:paraId="12327A99" w14:textId="0BF7E944" w:rsidR="00D11F3F" w:rsidRDefault="00D11F3F" w:rsidP="00D11F3F">
      <w:pPr>
        <w:rPr>
          <w:lang w:eastAsia="en-US"/>
        </w:rPr>
      </w:pPr>
      <w:r>
        <w:rPr>
          <w:lang w:eastAsia="en-US"/>
        </w:rPr>
        <w:t xml:space="preserve">Consideration should be given to alternatives that ensure the rights of people with disability to express their sexuality are upheld, whilst protecting against the risk of sexual exploitation of people with impaired decision-making capacity. For example, consideration could be given to including a circumstance of aggravation in the </w:t>
      </w:r>
      <w:r w:rsidRPr="00F912B6">
        <w:rPr>
          <w:i/>
          <w:iCs/>
          <w:lang w:eastAsia="en-US"/>
        </w:rPr>
        <w:t>Penalties and Sentences Act 1992</w:t>
      </w:r>
      <w:r>
        <w:rPr>
          <w:lang w:eastAsia="en-US"/>
        </w:rPr>
        <w:t xml:space="preserve"> (Qld), whereby additional criminal penalties occur if an offence is committed, and the lack of consent is a result of the victim’s impaired decision-making capacity to provide consent to sexual activity. A person’s impaired capacity can already be considered with regards to the severity of punishment, and the appropriateness and proportionality of imprisonment.</w:t>
      </w:r>
      <w:r>
        <w:rPr>
          <w:rStyle w:val="FootnoteReference"/>
          <w:lang w:eastAsia="en-US"/>
        </w:rPr>
        <w:footnoteReference w:id="13"/>
      </w:r>
    </w:p>
    <w:p w14:paraId="2648DC5A" w14:textId="60288C88" w:rsidR="00A849F9" w:rsidRDefault="00A849F9" w:rsidP="00D11F3F">
      <w:pPr>
        <w:rPr>
          <w:lang w:eastAsia="en-US"/>
        </w:rPr>
      </w:pPr>
      <w:r>
        <w:rPr>
          <w:lang w:eastAsia="en-US"/>
        </w:rPr>
        <w:lastRenderedPageBreak/>
        <w:t>Less arb</w:t>
      </w:r>
      <w:r w:rsidR="00CA3ADC">
        <w:rPr>
          <w:lang w:eastAsia="en-US"/>
        </w:rPr>
        <w:t xml:space="preserve">itrary alternatives are possible and are apparent in other jurisdictions </w:t>
      </w:r>
      <w:r w:rsidR="005447F6">
        <w:rPr>
          <w:lang w:eastAsia="en-US"/>
        </w:rPr>
        <w:t>across</w:t>
      </w:r>
      <w:r w:rsidR="00CA3ADC">
        <w:rPr>
          <w:lang w:eastAsia="en-US"/>
        </w:rPr>
        <w:t xml:space="preserve"> Australia.</w:t>
      </w:r>
      <w:r w:rsidR="005447F6">
        <w:rPr>
          <w:lang w:eastAsia="en-US"/>
        </w:rPr>
        <w:t xml:space="preserve"> The law could be changed to </w:t>
      </w:r>
      <w:r w:rsidR="007534D1">
        <w:rPr>
          <w:lang w:eastAsia="en-US"/>
        </w:rPr>
        <w:t xml:space="preserve">uphold the rights of people with disability </w:t>
      </w:r>
      <w:r w:rsidR="007D7192">
        <w:rPr>
          <w:lang w:eastAsia="en-US"/>
        </w:rPr>
        <w:t>to engage in sexual relations</w:t>
      </w:r>
      <w:r w:rsidR="006B5556">
        <w:rPr>
          <w:lang w:eastAsia="en-US"/>
        </w:rPr>
        <w:t>hips</w:t>
      </w:r>
      <w:r w:rsidR="007D7192">
        <w:rPr>
          <w:lang w:eastAsia="en-US"/>
        </w:rPr>
        <w:t xml:space="preserve"> when they have </w:t>
      </w:r>
      <w:r w:rsidR="006E5B37">
        <w:rPr>
          <w:lang w:eastAsia="en-US"/>
        </w:rPr>
        <w:t xml:space="preserve">the </w:t>
      </w:r>
      <w:r w:rsidR="007D7192">
        <w:rPr>
          <w:lang w:eastAsia="en-US"/>
        </w:rPr>
        <w:t xml:space="preserve">capacity </w:t>
      </w:r>
      <w:r w:rsidR="006E5B37">
        <w:rPr>
          <w:lang w:eastAsia="en-US"/>
        </w:rPr>
        <w:t xml:space="preserve">to decide to do so, while still </w:t>
      </w:r>
      <w:r w:rsidR="0036108F">
        <w:rPr>
          <w:lang w:eastAsia="en-US"/>
        </w:rPr>
        <w:t>criminalising</w:t>
      </w:r>
      <w:r w:rsidR="006E5B37">
        <w:rPr>
          <w:lang w:eastAsia="en-US"/>
        </w:rPr>
        <w:t xml:space="preserve"> sexual activity in situations of sexual exploitation, such as when sexual relations occur between a person with disability and a support worker, </w:t>
      </w:r>
      <w:r w:rsidR="009D53B0">
        <w:rPr>
          <w:lang w:eastAsia="en-US"/>
        </w:rPr>
        <w:t>or</w:t>
      </w:r>
      <w:r w:rsidR="007534D1">
        <w:rPr>
          <w:lang w:eastAsia="en-US"/>
        </w:rPr>
        <w:t xml:space="preserve"> </w:t>
      </w:r>
      <w:r w:rsidR="006B5556">
        <w:rPr>
          <w:lang w:eastAsia="en-US"/>
        </w:rPr>
        <w:t>in situations where the person with disability does not have capacity to consent.</w:t>
      </w:r>
    </w:p>
    <w:p w14:paraId="12784463" w14:textId="06CE3D69" w:rsidR="5026246C" w:rsidRPr="007A56AB" w:rsidRDefault="00D11F3F" w:rsidP="00704422">
      <w:pPr>
        <w:rPr>
          <w:rFonts w:ascii="Calibri" w:eastAsia="Calibri" w:hAnsi="Calibri" w:cs="Calibri"/>
        </w:rPr>
      </w:pPr>
      <w:r>
        <w:t>8.</w:t>
      </w:r>
      <w:r w:rsidR="00EB1D91">
        <w:tab/>
      </w:r>
      <w:r w:rsidR="00635878">
        <w:rPr>
          <w:lang w:eastAsia="en-US"/>
        </w:rPr>
        <w:t xml:space="preserve"> </w:t>
      </w:r>
      <w:r w:rsidR="00261367">
        <w:rPr>
          <w:lang w:eastAsia="en-US"/>
        </w:rPr>
        <w:t>The</w:t>
      </w:r>
      <w:r w:rsidR="00C76AEB">
        <w:rPr>
          <w:lang w:eastAsia="en-US"/>
        </w:rPr>
        <w:t xml:space="preserve"> challenges presented by th</w:t>
      </w:r>
      <w:r w:rsidR="005853BC">
        <w:rPr>
          <w:lang w:eastAsia="en-US"/>
        </w:rPr>
        <w:t>is piece of legislation</w:t>
      </w:r>
      <w:r w:rsidR="007B17FC">
        <w:rPr>
          <w:lang w:eastAsia="en-US"/>
        </w:rPr>
        <w:t xml:space="preserve"> </w:t>
      </w:r>
      <w:r w:rsidR="00D424CF">
        <w:rPr>
          <w:lang w:eastAsia="en-US"/>
        </w:rPr>
        <w:t>are evident in the case law.</w:t>
      </w:r>
      <w:r w:rsidR="00493AA9">
        <w:rPr>
          <w:lang w:eastAsia="en-US"/>
        </w:rPr>
        <w:t xml:space="preserve"> In </w:t>
      </w:r>
      <w:r w:rsidR="0068432D">
        <w:rPr>
          <w:lang w:eastAsia="en-US"/>
        </w:rPr>
        <w:t xml:space="preserve">the case of </w:t>
      </w:r>
      <w:r w:rsidR="0068432D" w:rsidRPr="00870208">
        <w:rPr>
          <w:i/>
          <w:iCs/>
          <w:lang w:eastAsia="en-US"/>
        </w:rPr>
        <w:t>R v Little</w:t>
      </w:r>
      <w:r w:rsidR="00870208">
        <w:rPr>
          <w:rStyle w:val="FootnoteReference"/>
          <w:i/>
          <w:iCs/>
          <w:lang w:eastAsia="en-US"/>
        </w:rPr>
        <w:footnoteReference w:id="14"/>
      </w:r>
      <w:r w:rsidR="001D6DAE">
        <w:rPr>
          <w:lang w:eastAsia="en-US"/>
        </w:rPr>
        <w:t xml:space="preserve">, </w:t>
      </w:r>
      <w:r w:rsidR="00884879">
        <w:rPr>
          <w:lang w:eastAsia="en-US"/>
        </w:rPr>
        <w:t xml:space="preserve"> </w:t>
      </w:r>
      <w:r w:rsidR="5026246C" w:rsidRPr="007A56AB">
        <w:rPr>
          <w:rFonts w:ascii="Calibri" w:eastAsia="Calibri" w:hAnsi="Calibri" w:cs="Calibri"/>
        </w:rPr>
        <w:t xml:space="preserve">the complainant, a person with an intellectual disability, entered a relationship with the defendant, a person without a disability. The defendant was charged and convicted with two counts of rape, two counts of attempted carnal knowledge of an intellectually impaired person and two counts of indecent dealing with an intellectually impaired person. </w:t>
      </w:r>
    </w:p>
    <w:p w14:paraId="6E84AF55" w14:textId="2250FD85" w:rsidR="5026246C" w:rsidRPr="007A56AB" w:rsidRDefault="5026246C" w:rsidP="00385A11">
      <w:pPr>
        <w:spacing w:line="257" w:lineRule="auto"/>
        <w:rPr>
          <w:sz w:val="28"/>
          <w:szCs w:val="28"/>
        </w:rPr>
      </w:pPr>
      <w:r w:rsidRPr="007A56AB">
        <w:rPr>
          <w:rFonts w:ascii="Calibri" w:eastAsia="Calibri" w:hAnsi="Calibri" w:cs="Calibri"/>
        </w:rPr>
        <w:t>Upon appeal, the judge considered the definition of ‘sexual exploitation’, to determine the reasonable grounds of whether the appellants conduct constituted exploitation.</w:t>
      </w:r>
      <w:r w:rsidR="007C6C5A">
        <w:rPr>
          <w:rStyle w:val="FootnoteReference"/>
          <w:rFonts w:ascii="Calibri" w:eastAsia="Calibri" w:hAnsi="Calibri" w:cs="Calibri"/>
        </w:rPr>
        <w:footnoteReference w:id="15"/>
      </w:r>
      <w:r w:rsidR="007C6C5A">
        <w:rPr>
          <w:rFonts w:ascii="Calibri" w:eastAsia="Calibri" w:hAnsi="Calibri" w:cs="Calibri"/>
          <w:vertAlign w:val="superscript"/>
        </w:rPr>
        <w:t xml:space="preserve"> </w:t>
      </w:r>
      <w:r w:rsidRPr="007A56AB">
        <w:rPr>
          <w:rFonts w:ascii="Calibri" w:eastAsia="Calibri" w:hAnsi="Calibri" w:cs="Calibri"/>
        </w:rPr>
        <w:t>The judge stated that</w:t>
      </w:r>
      <w:r w:rsidR="00A314D7">
        <w:rPr>
          <w:rFonts w:ascii="Calibri" w:eastAsia="Calibri" w:hAnsi="Calibri" w:cs="Calibri"/>
        </w:rPr>
        <w:t xml:space="preserve"> it </w:t>
      </w:r>
      <w:r w:rsidR="00A314D7" w:rsidRPr="00A314D7">
        <w:rPr>
          <w:rFonts w:ascii="Calibri" w:eastAsia="Calibri" w:hAnsi="Calibri" w:cs="Calibri"/>
        </w:rPr>
        <w:t xml:space="preserve">required the </w:t>
      </w:r>
      <w:r w:rsidR="00A314D7">
        <w:rPr>
          <w:rFonts w:ascii="Calibri" w:eastAsia="Calibri" w:hAnsi="Calibri" w:cs="Calibri"/>
        </w:rPr>
        <w:t xml:space="preserve">jury to </w:t>
      </w:r>
      <w:r w:rsidR="00A314D7" w:rsidRPr="00A314D7">
        <w:rPr>
          <w:rFonts w:ascii="Calibri" w:eastAsia="Calibri" w:hAnsi="Calibri" w:cs="Calibri"/>
        </w:rPr>
        <w:t>mak</w:t>
      </w:r>
      <w:r w:rsidR="00A314D7">
        <w:rPr>
          <w:rFonts w:ascii="Calibri" w:eastAsia="Calibri" w:hAnsi="Calibri" w:cs="Calibri"/>
        </w:rPr>
        <w:t>e</w:t>
      </w:r>
      <w:r w:rsidR="00A314D7" w:rsidRPr="00A314D7">
        <w:rPr>
          <w:rFonts w:ascii="Calibri" w:eastAsia="Calibri" w:hAnsi="Calibri" w:cs="Calibri"/>
        </w:rPr>
        <w:t xml:space="preserve"> </w:t>
      </w:r>
      <w:r w:rsidR="00A314D7">
        <w:rPr>
          <w:rFonts w:ascii="Calibri" w:eastAsia="Calibri" w:hAnsi="Calibri" w:cs="Calibri"/>
        </w:rPr>
        <w:t>‘</w:t>
      </w:r>
      <w:r w:rsidR="00A314D7" w:rsidRPr="00A314D7">
        <w:rPr>
          <w:rFonts w:ascii="Calibri" w:eastAsia="Calibri" w:hAnsi="Calibri" w:cs="Calibri"/>
        </w:rPr>
        <w:t>value judgments about the notoriously difficult matter of the nature of other people's intimate relationships</w:t>
      </w:r>
      <w:r w:rsidR="00385A11">
        <w:rPr>
          <w:rFonts w:ascii="Calibri" w:eastAsia="Calibri" w:hAnsi="Calibri" w:cs="Calibri"/>
        </w:rPr>
        <w:t>.’</w:t>
      </w:r>
      <w:r w:rsidR="00B9081E">
        <w:rPr>
          <w:rStyle w:val="FootnoteReference"/>
          <w:rFonts w:ascii="Calibri" w:eastAsia="Calibri" w:hAnsi="Calibri" w:cs="Calibri"/>
        </w:rPr>
        <w:footnoteReference w:id="16"/>
      </w:r>
      <w:r w:rsidRPr="007A56AB">
        <w:rPr>
          <w:rFonts w:ascii="Calibri" w:eastAsia="Calibri" w:hAnsi="Calibri" w:cs="Calibri"/>
        </w:rPr>
        <w:t xml:space="preserve"> The judge also gave consideration to the right of the </w:t>
      </w:r>
      <w:r w:rsidR="00F76C98">
        <w:rPr>
          <w:rFonts w:ascii="Calibri" w:eastAsia="Calibri" w:hAnsi="Calibri" w:cs="Calibri"/>
        </w:rPr>
        <w:t xml:space="preserve">person with an </w:t>
      </w:r>
      <w:r w:rsidRPr="007A56AB">
        <w:rPr>
          <w:rFonts w:ascii="Calibri" w:eastAsia="Calibri" w:hAnsi="Calibri" w:cs="Calibri"/>
        </w:rPr>
        <w:t>intellectual</w:t>
      </w:r>
      <w:r w:rsidR="00356EFC">
        <w:rPr>
          <w:rFonts w:ascii="Calibri" w:eastAsia="Calibri" w:hAnsi="Calibri" w:cs="Calibri"/>
        </w:rPr>
        <w:t xml:space="preserve"> disability</w:t>
      </w:r>
      <w:r w:rsidRPr="007A56AB">
        <w:rPr>
          <w:rFonts w:ascii="Calibri" w:eastAsia="Calibri" w:hAnsi="Calibri" w:cs="Calibri"/>
        </w:rPr>
        <w:t xml:space="preserve"> to make decisions about her own relationship, and </w:t>
      </w:r>
      <w:r w:rsidR="00DB2A83">
        <w:rPr>
          <w:rFonts w:ascii="Calibri" w:eastAsia="Calibri" w:hAnsi="Calibri" w:cs="Calibri"/>
        </w:rPr>
        <w:t>foun</w:t>
      </w:r>
      <w:r w:rsidRPr="007A56AB">
        <w:rPr>
          <w:rFonts w:ascii="Calibri" w:eastAsia="Calibri" w:hAnsi="Calibri" w:cs="Calibri"/>
        </w:rPr>
        <w:t xml:space="preserve">d that the </w:t>
      </w:r>
      <w:r w:rsidR="00356EFC">
        <w:rPr>
          <w:rFonts w:ascii="Calibri" w:eastAsia="Calibri" w:hAnsi="Calibri" w:cs="Calibri"/>
        </w:rPr>
        <w:t>complainant</w:t>
      </w:r>
      <w:r w:rsidRPr="007A56AB">
        <w:rPr>
          <w:rFonts w:ascii="Calibri" w:eastAsia="Calibri" w:hAnsi="Calibri" w:cs="Calibri"/>
        </w:rPr>
        <w:t xml:space="preserve"> was able to ‘give informed consent to sex and had adequate understanding of sexuality and relationships’, further stating that ‘she was entitled to make her own decisions about forming intimate relationships’</w:t>
      </w:r>
      <w:r w:rsidR="001A60FA">
        <w:rPr>
          <w:rFonts w:ascii="Calibri" w:eastAsia="Calibri" w:hAnsi="Calibri" w:cs="Calibri"/>
        </w:rPr>
        <w:t>.</w:t>
      </w:r>
      <w:r w:rsidR="001A60FA">
        <w:rPr>
          <w:rStyle w:val="FootnoteReference"/>
          <w:rFonts w:ascii="Calibri" w:eastAsia="Calibri" w:hAnsi="Calibri" w:cs="Calibri"/>
        </w:rPr>
        <w:footnoteReference w:id="17"/>
      </w:r>
      <w:r w:rsidR="001A60FA">
        <w:rPr>
          <w:rFonts w:ascii="Calibri" w:eastAsia="Calibri" w:hAnsi="Calibri" w:cs="Calibri"/>
        </w:rPr>
        <w:t xml:space="preserve"> </w:t>
      </w:r>
      <w:r w:rsidRPr="007A56AB">
        <w:rPr>
          <w:rFonts w:ascii="Calibri" w:eastAsia="Calibri" w:hAnsi="Calibri" w:cs="Calibri"/>
        </w:rPr>
        <w:t xml:space="preserve">Despite the fact that the judge </w:t>
      </w:r>
      <w:r w:rsidR="009A6322">
        <w:rPr>
          <w:rFonts w:ascii="Calibri" w:eastAsia="Calibri" w:hAnsi="Calibri" w:cs="Calibri"/>
        </w:rPr>
        <w:t>considered</w:t>
      </w:r>
      <w:r w:rsidRPr="007A56AB">
        <w:rPr>
          <w:rFonts w:ascii="Calibri" w:eastAsia="Calibri" w:hAnsi="Calibri" w:cs="Calibri"/>
        </w:rPr>
        <w:t xml:space="preserve"> she was capable of informed consent, consent </w:t>
      </w:r>
      <w:r w:rsidR="00D91FC1">
        <w:rPr>
          <w:rFonts w:ascii="Calibri" w:eastAsia="Calibri" w:hAnsi="Calibri" w:cs="Calibri"/>
        </w:rPr>
        <w:t>i</w:t>
      </w:r>
      <w:r w:rsidRPr="007A56AB">
        <w:rPr>
          <w:rFonts w:ascii="Calibri" w:eastAsia="Calibri" w:hAnsi="Calibri" w:cs="Calibri"/>
        </w:rPr>
        <w:t xml:space="preserve">s not considered a defence for the offence. </w:t>
      </w:r>
    </w:p>
    <w:p w14:paraId="1FA4204F" w14:textId="2590EE52" w:rsidR="5026246C" w:rsidRPr="007A56AB" w:rsidRDefault="5026246C" w:rsidP="20A0C12F">
      <w:pPr>
        <w:spacing w:line="257" w:lineRule="auto"/>
        <w:rPr>
          <w:sz w:val="28"/>
          <w:szCs w:val="28"/>
        </w:rPr>
      </w:pPr>
      <w:r w:rsidRPr="007A56AB">
        <w:rPr>
          <w:rFonts w:ascii="Calibri" w:eastAsia="Calibri" w:hAnsi="Calibri" w:cs="Calibri"/>
          <w:i/>
          <w:iCs/>
        </w:rPr>
        <w:t>R v Mrzljack</w:t>
      </w:r>
      <w:r w:rsidRPr="007A56AB">
        <w:rPr>
          <w:rFonts w:ascii="Calibri" w:eastAsia="Calibri" w:hAnsi="Calibri" w:cs="Calibri"/>
        </w:rPr>
        <w:t xml:space="preserve"> supports this stance, stating that the broad nature of the definition of impairment of mind can include persons with cerebral palsy who may have a ‘genius IQ’</w:t>
      </w:r>
      <w:r w:rsidR="00150AB6">
        <w:rPr>
          <w:rFonts w:ascii="Calibri" w:eastAsia="Calibri" w:hAnsi="Calibri" w:cs="Calibri"/>
        </w:rPr>
        <w:t>.</w:t>
      </w:r>
      <w:r w:rsidR="00150AB6">
        <w:rPr>
          <w:rStyle w:val="FootnoteReference"/>
          <w:rFonts w:ascii="Calibri" w:eastAsia="Calibri" w:hAnsi="Calibri" w:cs="Calibri"/>
        </w:rPr>
        <w:footnoteReference w:id="18"/>
      </w:r>
      <w:r w:rsidR="00150AB6">
        <w:rPr>
          <w:rFonts w:ascii="Calibri" w:eastAsia="Calibri" w:hAnsi="Calibri" w:cs="Calibri"/>
        </w:rPr>
        <w:t xml:space="preserve"> </w:t>
      </w:r>
      <w:r w:rsidRPr="007A56AB">
        <w:rPr>
          <w:rFonts w:ascii="Calibri" w:eastAsia="Calibri" w:hAnsi="Calibri" w:cs="Calibri"/>
        </w:rPr>
        <w:t xml:space="preserve">The judge </w:t>
      </w:r>
      <w:r w:rsidR="00150AB6">
        <w:rPr>
          <w:rFonts w:ascii="Calibri" w:eastAsia="Calibri" w:hAnsi="Calibri" w:cs="Calibri"/>
        </w:rPr>
        <w:t>found</w:t>
      </w:r>
      <w:r w:rsidRPr="007A56AB">
        <w:rPr>
          <w:rFonts w:ascii="Calibri" w:eastAsia="Calibri" w:hAnsi="Calibri" w:cs="Calibri"/>
        </w:rPr>
        <w:t xml:space="preserve"> that a person with</w:t>
      </w:r>
      <w:r w:rsidR="00150AB6">
        <w:rPr>
          <w:rFonts w:ascii="Calibri" w:eastAsia="Calibri" w:hAnsi="Calibri" w:cs="Calibri"/>
        </w:rPr>
        <w:t xml:space="preserve"> a so called</w:t>
      </w:r>
      <w:r w:rsidRPr="007A56AB">
        <w:rPr>
          <w:rFonts w:ascii="Calibri" w:eastAsia="Calibri" w:hAnsi="Calibri" w:cs="Calibri"/>
        </w:rPr>
        <w:t xml:space="preserve"> </w:t>
      </w:r>
      <w:r w:rsidR="00150AB6">
        <w:rPr>
          <w:rFonts w:ascii="Calibri" w:eastAsia="Calibri" w:hAnsi="Calibri" w:cs="Calibri"/>
        </w:rPr>
        <w:t>‘</w:t>
      </w:r>
      <w:r w:rsidRPr="007A56AB">
        <w:rPr>
          <w:rFonts w:ascii="Calibri" w:eastAsia="Calibri" w:hAnsi="Calibri" w:cs="Calibri"/>
        </w:rPr>
        <w:t>impairment of</w:t>
      </w:r>
      <w:r w:rsidR="00150AB6">
        <w:rPr>
          <w:rFonts w:ascii="Calibri" w:eastAsia="Calibri" w:hAnsi="Calibri" w:cs="Calibri"/>
        </w:rPr>
        <w:t xml:space="preserve"> the</w:t>
      </w:r>
      <w:r w:rsidRPr="007A56AB">
        <w:rPr>
          <w:rFonts w:ascii="Calibri" w:eastAsia="Calibri" w:hAnsi="Calibri" w:cs="Calibri"/>
        </w:rPr>
        <w:t xml:space="preserve"> mind</w:t>
      </w:r>
      <w:r w:rsidR="00150AB6">
        <w:rPr>
          <w:rFonts w:ascii="Calibri" w:eastAsia="Calibri" w:hAnsi="Calibri" w:cs="Calibri"/>
        </w:rPr>
        <w:t>’</w:t>
      </w:r>
      <w:r w:rsidRPr="007A56AB">
        <w:rPr>
          <w:rFonts w:ascii="Calibri" w:eastAsia="Calibri" w:hAnsi="Calibri" w:cs="Calibri"/>
        </w:rPr>
        <w:t xml:space="preserve"> may still withhold or provide consent regardless of their condition</w:t>
      </w:r>
      <w:r w:rsidR="00150AB6">
        <w:rPr>
          <w:rFonts w:ascii="Calibri" w:eastAsia="Calibri" w:hAnsi="Calibri" w:cs="Calibri"/>
        </w:rPr>
        <w:t>.</w:t>
      </w:r>
    </w:p>
    <w:p w14:paraId="631CC32D" w14:textId="30F1174B" w:rsidR="5026246C" w:rsidRPr="00553D17" w:rsidRDefault="5026246C" w:rsidP="00553D17">
      <w:pPr>
        <w:spacing w:line="257" w:lineRule="auto"/>
        <w:rPr>
          <w:rFonts w:ascii="Calibri" w:eastAsia="Calibri" w:hAnsi="Calibri" w:cs="Calibri"/>
        </w:rPr>
      </w:pPr>
      <w:r w:rsidRPr="007A56AB">
        <w:rPr>
          <w:rFonts w:ascii="Calibri" w:eastAsia="Calibri" w:hAnsi="Calibri" w:cs="Calibri"/>
        </w:rPr>
        <w:t xml:space="preserve">The case law shows that </w:t>
      </w:r>
      <w:r w:rsidR="00150AB6">
        <w:rPr>
          <w:rFonts w:ascii="Calibri" w:eastAsia="Calibri" w:hAnsi="Calibri" w:cs="Calibri"/>
        </w:rPr>
        <w:t>S</w:t>
      </w:r>
      <w:r w:rsidRPr="007A56AB">
        <w:rPr>
          <w:rFonts w:ascii="Calibri" w:eastAsia="Calibri" w:hAnsi="Calibri" w:cs="Calibri"/>
        </w:rPr>
        <w:t xml:space="preserve">ection 216 fails to </w:t>
      </w:r>
      <w:r w:rsidR="00700578">
        <w:rPr>
          <w:rFonts w:ascii="Calibri" w:eastAsia="Calibri" w:hAnsi="Calibri" w:cs="Calibri"/>
        </w:rPr>
        <w:t>appropriately</w:t>
      </w:r>
      <w:r w:rsidRPr="007A56AB">
        <w:rPr>
          <w:rFonts w:ascii="Calibri" w:eastAsia="Calibri" w:hAnsi="Calibri" w:cs="Calibri"/>
        </w:rPr>
        <w:t xml:space="preserve"> balance protecting the right to consent to sexual and intimate relations, whilst still protecting </w:t>
      </w:r>
      <w:r w:rsidR="009116FD">
        <w:rPr>
          <w:rFonts w:ascii="Calibri" w:eastAsia="Calibri" w:hAnsi="Calibri" w:cs="Calibri"/>
        </w:rPr>
        <w:t>people with disability</w:t>
      </w:r>
      <w:r w:rsidRPr="007A56AB">
        <w:rPr>
          <w:rFonts w:ascii="Calibri" w:eastAsia="Calibri" w:hAnsi="Calibri" w:cs="Calibri"/>
        </w:rPr>
        <w:t xml:space="preserve"> from exploitation</w:t>
      </w:r>
      <w:r w:rsidR="00700578">
        <w:rPr>
          <w:rFonts w:ascii="Calibri" w:eastAsia="Calibri" w:hAnsi="Calibri" w:cs="Calibri"/>
        </w:rPr>
        <w:t xml:space="preserve">, and </w:t>
      </w:r>
      <w:r w:rsidR="00553D17">
        <w:rPr>
          <w:rFonts w:ascii="Calibri" w:eastAsia="Calibri" w:hAnsi="Calibri" w:cs="Calibri"/>
        </w:rPr>
        <w:t xml:space="preserve">that </w:t>
      </w:r>
      <w:r w:rsidR="00700578">
        <w:rPr>
          <w:rFonts w:ascii="Calibri" w:eastAsia="Calibri" w:hAnsi="Calibri" w:cs="Calibri"/>
        </w:rPr>
        <w:t xml:space="preserve">that the courts are </w:t>
      </w:r>
      <w:r w:rsidR="00553D17">
        <w:rPr>
          <w:rFonts w:ascii="Calibri" w:eastAsia="Calibri" w:hAnsi="Calibri" w:cs="Calibri"/>
        </w:rPr>
        <w:t xml:space="preserve">struggling </w:t>
      </w:r>
      <w:r w:rsidR="00937CEA">
        <w:rPr>
          <w:rFonts w:ascii="Calibri" w:eastAsia="Calibri" w:hAnsi="Calibri" w:cs="Calibri"/>
        </w:rPr>
        <w:t xml:space="preserve">to interpret </w:t>
      </w:r>
      <w:r w:rsidR="00553D17">
        <w:rPr>
          <w:rFonts w:ascii="Calibri" w:eastAsia="Calibri" w:hAnsi="Calibri" w:cs="Calibri"/>
        </w:rPr>
        <w:t>the legislation accordingly.</w:t>
      </w:r>
    </w:p>
    <w:p w14:paraId="7616DD93" w14:textId="38BCBF79" w:rsidR="00B84545" w:rsidRDefault="003E0C8B" w:rsidP="00B84545">
      <w:pPr>
        <w:pStyle w:val="Heading1"/>
      </w:pPr>
      <w:r>
        <w:t>Other considerations</w:t>
      </w:r>
    </w:p>
    <w:p w14:paraId="67A2A751" w14:textId="5928F831" w:rsidR="00B8003A" w:rsidRDefault="005F6B3A" w:rsidP="007C2A9E">
      <w:pPr>
        <w:rPr>
          <w:lang w:eastAsia="en-US"/>
        </w:rPr>
      </w:pPr>
      <w:r>
        <w:rPr>
          <w:lang w:eastAsia="en-US"/>
        </w:rPr>
        <w:t xml:space="preserve">In addition </w:t>
      </w:r>
      <w:r w:rsidR="002C1899">
        <w:rPr>
          <w:lang w:eastAsia="en-US"/>
        </w:rPr>
        <w:t>t</w:t>
      </w:r>
      <w:r>
        <w:rPr>
          <w:lang w:eastAsia="en-US"/>
        </w:rPr>
        <w:t>o</w:t>
      </w:r>
      <w:r w:rsidR="002C1899">
        <w:rPr>
          <w:lang w:eastAsia="en-US"/>
        </w:rPr>
        <w:t xml:space="preserve"> </w:t>
      </w:r>
      <w:r w:rsidR="005D0610">
        <w:rPr>
          <w:lang w:eastAsia="en-US"/>
        </w:rPr>
        <w:t>our concerns with</w:t>
      </w:r>
      <w:r w:rsidR="00E23DBF">
        <w:rPr>
          <w:lang w:eastAsia="en-US"/>
        </w:rPr>
        <w:t xml:space="preserve"> Section 216 of the Qld Criminal Code</w:t>
      </w:r>
      <w:r w:rsidR="00BB248B">
        <w:rPr>
          <w:lang w:eastAsia="en-US"/>
        </w:rPr>
        <w:t xml:space="preserve">, QAI </w:t>
      </w:r>
      <w:r w:rsidR="005D0610">
        <w:rPr>
          <w:lang w:eastAsia="en-US"/>
        </w:rPr>
        <w:t>would like to</w:t>
      </w:r>
      <w:r w:rsidR="00E23DBF">
        <w:rPr>
          <w:lang w:eastAsia="en-US"/>
        </w:rPr>
        <w:t xml:space="preserve"> draw the Committee’s attention</w:t>
      </w:r>
      <w:r w:rsidR="00BB248B">
        <w:rPr>
          <w:lang w:eastAsia="en-US"/>
        </w:rPr>
        <w:t xml:space="preserve"> </w:t>
      </w:r>
      <w:r w:rsidR="00E23DBF">
        <w:rPr>
          <w:lang w:eastAsia="en-US"/>
        </w:rPr>
        <w:t>to the</w:t>
      </w:r>
      <w:r w:rsidR="00F41DDD">
        <w:rPr>
          <w:lang w:eastAsia="en-US"/>
        </w:rPr>
        <w:t xml:space="preserve"> disproportionately high</w:t>
      </w:r>
      <w:r w:rsidR="00046CCE">
        <w:rPr>
          <w:lang w:eastAsia="en-US"/>
        </w:rPr>
        <w:t xml:space="preserve"> numbers of</w:t>
      </w:r>
      <w:r w:rsidR="000935BD">
        <w:rPr>
          <w:lang w:eastAsia="en-US"/>
        </w:rPr>
        <w:t xml:space="preserve"> </w:t>
      </w:r>
      <w:r w:rsidR="002C2464">
        <w:rPr>
          <w:lang w:eastAsia="en-US"/>
        </w:rPr>
        <w:t>people with disability and</w:t>
      </w:r>
      <w:r w:rsidR="000935BD">
        <w:rPr>
          <w:lang w:eastAsia="en-US"/>
        </w:rPr>
        <w:t>,</w:t>
      </w:r>
      <w:r w:rsidR="002C2464">
        <w:rPr>
          <w:lang w:eastAsia="en-US"/>
        </w:rPr>
        <w:t xml:space="preserve"> in particular</w:t>
      </w:r>
      <w:r w:rsidR="00E57D31">
        <w:rPr>
          <w:lang w:eastAsia="en-US"/>
        </w:rPr>
        <w:t>,</w:t>
      </w:r>
      <w:r w:rsidR="002C2464">
        <w:rPr>
          <w:lang w:eastAsia="en-US"/>
        </w:rPr>
        <w:t xml:space="preserve"> women and girls with disability, </w:t>
      </w:r>
      <w:r w:rsidR="000935BD">
        <w:rPr>
          <w:lang w:eastAsia="en-US"/>
        </w:rPr>
        <w:t>who experience sexual violence</w:t>
      </w:r>
      <w:r w:rsidR="00E57D31">
        <w:rPr>
          <w:lang w:eastAsia="en-US"/>
        </w:rPr>
        <w:t>.</w:t>
      </w:r>
      <w:r w:rsidR="00194A98">
        <w:rPr>
          <w:rStyle w:val="FootnoteReference"/>
          <w:lang w:eastAsia="en-US"/>
        </w:rPr>
        <w:footnoteReference w:id="19"/>
      </w:r>
      <w:r w:rsidR="006D1078">
        <w:rPr>
          <w:lang w:eastAsia="en-US"/>
        </w:rPr>
        <w:t xml:space="preserve"> </w:t>
      </w:r>
      <w:r w:rsidR="009C1D8D">
        <w:rPr>
          <w:lang w:eastAsia="en-US"/>
        </w:rPr>
        <w:t xml:space="preserve">While these statistics may be </w:t>
      </w:r>
      <w:r w:rsidR="0043197F">
        <w:rPr>
          <w:lang w:eastAsia="en-US"/>
        </w:rPr>
        <w:t xml:space="preserve">put forward as a reason </w:t>
      </w:r>
      <w:r w:rsidR="00D14303">
        <w:rPr>
          <w:lang w:eastAsia="en-US"/>
        </w:rPr>
        <w:t>to keep</w:t>
      </w:r>
      <w:r w:rsidR="0043197F">
        <w:rPr>
          <w:lang w:eastAsia="en-US"/>
        </w:rPr>
        <w:t xml:space="preserve"> provisions such as Section 216, we submit that</w:t>
      </w:r>
      <w:r w:rsidR="00C45A5B">
        <w:rPr>
          <w:lang w:eastAsia="en-US"/>
        </w:rPr>
        <w:t xml:space="preserve"> arbitrarily </w:t>
      </w:r>
      <w:r w:rsidR="00A21C47">
        <w:rPr>
          <w:lang w:eastAsia="en-US"/>
        </w:rPr>
        <w:t>limiting</w:t>
      </w:r>
      <w:r w:rsidR="00C45A5B">
        <w:rPr>
          <w:lang w:eastAsia="en-US"/>
        </w:rPr>
        <w:t xml:space="preserve"> the human rights of all people with certain disabilities</w:t>
      </w:r>
      <w:r w:rsidR="00126D2A">
        <w:rPr>
          <w:lang w:eastAsia="en-US"/>
        </w:rPr>
        <w:t xml:space="preserve"> in </w:t>
      </w:r>
      <w:r w:rsidR="00B01121">
        <w:rPr>
          <w:lang w:eastAsia="en-US"/>
        </w:rPr>
        <w:t xml:space="preserve">order to </w:t>
      </w:r>
      <w:r w:rsidR="00092731">
        <w:rPr>
          <w:lang w:eastAsia="en-US"/>
        </w:rPr>
        <w:t>off</w:t>
      </w:r>
      <w:r w:rsidR="00126D2A">
        <w:rPr>
          <w:lang w:eastAsia="en-US"/>
        </w:rPr>
        <w:t xml:space="preserve">er protection to </w:t>
      </w:r>
      <w:r w:rsidR="00D73C85">
        <w:rPr>
          <w:lang w:eastAsia="en-US"/>
        </w:rPr>
        <w:t>some</w:t>
      </w:r>
      <w:r w:rsidR="00092731">
        <w:rPr>
          <w:lang w:eastAsia="en-US"/>
        </w:rPr>
        <w:t xml:space="preserve"> </w:t>
      </w:r>
      <w:r w:rsidR="00CD5D6C">
        <w:rPr>
          <w:lang w:eastAsia="en-US"/>
        </w:rPr>
        <w:t xml:space="preserve">people </w:t>
      </w:r>
      <w:r w:rsidR="00E858E6">
        <w:rPr>
          <w:lang w:eastAsia="en-US"/>
        </w:rPr>
        <w:t>(</w:t>
      </w:r>
      <w:r w:rsidR="00A05583">
        <w:rPr>
          <w:lang w:eastAsia="en-US"/>
        </w:rPr>
        <w:t>i.e. people who are unable to consent</w:t>
      </w:r>
      <w:r w:rsidR="0074150F">
        <w:rPr>
          <w:lang w:eastAsia="en-US"/>
        </w:rPr>
        <w:t xml:space="preserve"> to sexual activity</w:t>
      </w:r>
      <w:r w:rsidR="00E858E6">
        <w:rPr>
          <w:lang w:eastAsia="en-US"/>
        </w:rPr>
        <w:t>)</w:t>
      </w:r>
      <w:r w:rsidR="00402A8D">
        <w:rPr>
          <w:lang w:eastAsia="en-US"/>
        </w:rPr>
        <w:t xml:space="preserve"> </w:t>
      </w:r>
      <w:r w:rsidR="00CD5D6C">
        <w:rPr>
          <w:lang w:eastAsia="en-US"/>
        </w:rPr>
        <w:t xml:space="preserve">does not </w:t>
      </w:r>
      <w:r w:rsidR="00FB538C">
        <w:rPr>
          <w:lang w:eastAsia="en-US"/>
        </w:rPr>
        <w:t xml:space="preserve">adequately </w:t>
      </w:r>
      <w:r w:rsidR="00CD5D6C">
        <w:rPr>
          <w:lang w:eastAsia="en-US"/>
        </w:rPr>
        <w:t>nor</w:t>
      </w:r>
      <w:r w:rsidR="00FB538C">
        <w:rPr>
          <w:lang w:eastAsia="en-US"/>
        </w:rPr>
        <w:t xml:space="preserve"> </w:t>
      </w:r>
      <w:r w:rsidR="00EF227F">
        <w:rPr>
          <w:lang w:eastAsia="en-US"/>
        </w:rPr>
        <w:t>appropriate</w:t>
      </w:r>
      <w:r w:rsidR="00402A8D">
        <w:rPr>
          <w:lang w:eastAsia="en-US"/>
        </w:rPr>
        <w:t>ly</w:t>
      </w:r>
      <w:r w:rsidR="00EF227F">
        <w:rPr>
          <w:lang w:eastAsia="en-US"/>
        </w:rPr>
        <w:t xml:space="preserve"> address this</w:t>
      </w:r>
      <w:r w:rsidR="00402A8D">
        <w:rPr>
          <w:lang w:eastAsia="en-US"/>
        </w:rPr>
        <w:t xml:space="preserve"> concern</w:t>
      </w:r>
      <w:r w:rsidR="00EF227F">
        <w:rPr>
          <w:lang w:eastAsia="en-US"/>
        </w:rPr>
        <w:t xml:space="preserve"> </w:t>
      </w:r>
      <w:r w:rsidR="00CD5D6C">
        <w:rPr>
          <w:lang w:eastAsia="en-US"/>
        </w:rPr>
        <w:t xml:space="preserve">and </w:t>
      </w:r>
      <w:r w:rsidR="00805101">
        <w:rPr>
          <w:lang w:eastAsia="en-US"/>
        </w:rPr>
        <w:t>violat</w:t>
      </w:r>
      <w:r w:rsidR="00CD5D6C">
        <w:rPr>
          <w:lang w:eastAsia="en-US"/>
        </w:rPr>
        <w:t>es</w:t>
      </w:r>
      <w:r w:rsidR="00805101">
        <w:rPr>
          <w:lang w:eastAsia="en-US"/>
        </w:rPr>
        <w:t xml:space="preserve"> key human rights principles in the process.</w:t>
      </w:r>
    </w:p>
    <w:p w14:paraId="054252D5" w14:textId="2F65F1C3" w:rsidR="00DC0209" w:rsidRDefault="00DC0209" w:rsidP="007C2A9E">
      <w:pPr>
        <w:rPr>
          <w:lang w:eastAsia="en-US"/>
        </w:rPr>
      </w:pPr>
      <w:r>
        <w:rPr>
          <w:lang w:eastAsia="en-US"/>
        </w:rPr>
        <w:lastRenderedPageBreak/>
        <w:t>Unfair or exploitative forms of behaviour that disproportionately affect particular segments of the community have the potential, if not afforded legal recognition, to reinforce existing patterns of social discrimination.</w:t>
      </w:r>
      <w:r w:rsidR="00620E9D">
        <w:rPr>
          <w:lang w:eastAsia="en-US"/>
        </w:rPr>
        <w:t xml:space="preserve"> </w:t>
      </w:r>
      <w:r>
        <w:rPr>
          <w:lang w:eastAsia="en-US"/>
        </w:rPr>
        <w:t>Coercive and fraudulent sexual behaviour demands a well‐targeted and effective legal response</w:t>
      </w:r>
      <w:r w:rsidR="00475827">
        <w:rPr>
          <w:lang w:eastAsia="en-US"/>
        </w:rPr>
        <w:t>, and QAI has put forward some alternative suggestions</w:t>
      </w:r>
      <w:r>
        <w:rPr>
          <w:lang w:eastAsia="en-US"/>
        </w:rPr>
        <w:t>. The law plays a crucial role in setting the boundaries of socially and culturally acceptable conduct,</w:t>
      </w:r>
      <w:r w:rsidR="00933190">
        <w:rPr>
          <w:lang w:eastAsia="en-US"/>
        </w:rPr>
        <w:t xml:space="preserve"> however, </w:t>
      </w:r>
      <w:r w:rsidR="0063669C">
        <w:rPr>
          <w:lang w:eastAsia="en-US"/>
        </w:rPr>
        <w:t>it must do so in a way that respects and upholds human rights</w:t>
      </w:r>
      <w:r w:rsidR="00283719">
        <w:rPr>
          <w:lang w:eastAsia="en-US"/>
        </w:rPr>
        <w:t xml:space="preserve"> and should sit alongside other forms of intervention</w:t>
      </w:r>
      <w:r w:rsidR="0063669C">
        <w:rPr>
          <w:lang w:eastAsia="en-US"/>
        </w:rPr>
        <w:t>.</w:t>
      </w:r>
    </w:p>
    <w:p w14:paraId="21275B1C" w14:textId="09E7E99E" w:rsidR="00C12F3E" w:rsidRDefault="00041F71" w:rsidP="007C2A9E">
      <w:pPr>
        <w:rPr>
          <w:lang w:eastAsia="en-US"/>
        </w:rPr>
      </w:pPr>
      <w:r>
        <w:rPr>
          <w:lang w:eastAsia="en-US"/>
        </w:rPr>
        <w:t>For example, a</w:t>
      </w:r>
      <w:r w:rsidR="00C12F3E">
        <w:rPr>
          <w:lang w:eastAsia="en-US"/>
        </w:rPr>
        <w:t xml:space="preserve">s the Public Advocate has </w:t>
      </w:r>
      <w:r w:rsidR="0016252D">
        <w:rPr>
          <w:lang w:eastAsia="en-US"/>
        </w:rPr>
        <w:t>stated</w:t>
      </w:r>
      <w:r w:rsidR="00C12F3E">
        <w:rPr>
          <w:lang w:eastAsia="en-US"/>
        </w:rPr>
        <w:t>,</w:t>
      </w:r>
    </w:p>
    <w:p w14:paraId="7B198757" w14:textId="15257A3E" w:rsidR="002809CD" w:rsidRPr="000A026F" w:rsidRDefault="00C12F3E" w:rsidP="00393CFF">
      <w:r w:rsidRPr="000A026F">
        <w:t>“</w:t>
      </w:r>
      <w:r w:rsidR="00393CFF" w:rsidRPr="000A026F">
        <w:rPr>
          <w:i/>
          <w:iCs/>
        </w:rPr>
        <w:t>Many researchers, commentators and law reform commissions have emphasised the importance of providing accessible appropriate sex education to people with intellectual disabilities to not only support them to realise their sexual rights, but equally importantly, to help reduce the risk of sexual assault. Done well, accessible sex education contributes to reducing vulnerability as well as to reducing instances of inappropriate sexual expression.</w:t>
      </w:r>
      <w:r w:rsidR="000A026F" w:rsidRPr="000A026F">
        <w:t>”</w:t>
      </w:r>
      <w:r w:rsidR="000A026F" w:rsidRPr="000A026F">
        <w:rPr>
          <w:rStyle w:val="FootnoteReference"/>
        </w:rPr>
        <w:footnoteReference w:id="20"/>
      </w:r>
    </w:p>
    <w:p w14:paraId="5D1327AF" w14:textId="77777777" w:rsidR="00BA377C" w:rsidRDefault="003E0A08" w:rsidP="007C2A9E">
      <w:pPr>
        <w:rPr>
          <w:lang w:eastAsia="en-US"/>
        </w:rPr>
      </w:pPr>
      <w:r>
        <w:rPr>
          <w:lang w:eastAsia="en-US"/>
        </w:rPr>
        <w:t>Further,</w:t>
      </w:r>
      <w:r w:rsidR="00B8003A">
        <w:rPr>
          <w:lang w:eastAsia="en-US"/>
        </w:rPr>
        <w:t xml:space="preserve"> </w:t>
      </w:r>
      <w:r w:rsidR="00E33694">
        <w:rPr>
          <w:lang w:eastAsia="en-US"/>
        </w:rPr>
        <w:t xml:space="preserve">when </w:t>
      </w:r>
      <w:r w:rsidR="00B8003A">
        <w:rPr>
          <w:lang w:eastAsia="en-US"/>
        </w:rPr>
        <w:t>examin</w:t>
      </w:r>
      <w:r w:rsidR="00E33694">
        <w:rPr>
          <w:lang w:eastAsia="en-US"/>
        </w:rPr>
        <w:t>i</w:t>
      </w:r>
      <w:r w:rsidR="00B8003A">
        <w:rPr>
          <w:lang w:eastAsia="en-US"/>
        </w:rPr>
        <w:t>n</w:t>
      </w:r>
      <w:r w:rsidR="00E33694">
        <w:rPr>
          <w:lang w:eastAsia="en-US"/>
        </w:rPr>
        <w:t>g</w:t>
      </w:r>
      <w:r w:rsidR="00B8003A">
        <w:rPr>
          <w:lang w:eastAsia="en-US"/>
        </w:rPr>
        <w:t xml:space="preserve"> sexual consent laws</w:t>
      </w:r>
      <w:r w:rsidR="003C551B">
        <w:rPr>
          <w:lang w:eastAsia="en-US"/>
        </w:rPr>
        <w:t xml:space="preserve"> in Australia</w:t>
      </w:r>
      <w:r w:rsidR="00E33694">
        <w:rPr>
          <w:lang w:eastAsia="en-US"/>
        </w:rPr>
        <w:t>, the Committee</w:t>
      </w:r>
      <w:r w:rsidR="003C551B">
        <w:rPr>
          <w:lang w:eastAsia="en-US"/>
        </w:rPr>
        <w:t xml:space="preserve"> should consider</w:t>
      </w:r>
      <w:r w:rsidR="00B21763">
        <w:rPr>
          <w:lang w:eastAsia="en-US"/>
        </w:rPr>
        <w:t xml:space="preserve"> the significant</w:t>
      </w:r>
      <w:r w:rsidR="00254260">
        <w:rPr>
          <w:lang w:eastAsia="en-US"/>
        </w:rPr>
        <w:t xml:space="preserve"> discrimination experienced by</w:t>
      </w:r>
      <w:r>
        <w:rPr>
          <w:lang w:eastAsia="en-US"/>
        </w:rPr>
        <w:t xml:space="preserve"> p</w:t>
      </w:r>
      <w:r w:rsidR="006D1078">
        <w:rPr>
          <w:lang w:eastAsia="en-US"/>
        </w:rPr>
        <w:t>eople with disability</w:t>
      </w:r>
      <w:r w:rsidR="00254260">
        <w:rPr>
          <w:lang w:eastAsia="en-US"/>
        </w:rPr>
        <w:t xml:space="preserve"> when </w:t>
      </w:r>
      <w:r w:rsidR="003A5375">
        <w:rPr>
          <w:lang w:eastAsia="en-US"/>
        </w:rPr>
        <w:t>interacting</w:t>
      </w:r>
      <w:r w:rsidR="00254260">
        <w:rPr>
          <w:lang w:eastAsia="en-US"/>
        </w:rPr>
        <w:t xml:space="preserve"> with </w:t>
      </w:r>
      <w:r w:rsidR="006D1078">
        <w:rPr>
          <w:lang w:eastAsia="en-US"/>
        </w:rPr>
        <w:t>the criminal justice system</w:t>
      </w:r>
      <w:r w:rsidR="00FE1750">
        <w:rPr>
          <w:lang w:eastAsia="en-US"/>
        </w:rPr>
        <w:t xml:space="preserve">. </w:t>
      </w:r>
      <w:r w:rsidR="00272397">
        <w:rPr>
          <w:lang w:eastAsia="en-US"/>
        </w:rPr>
        <w:t>For example, a person with a disability may not be believed</w:t>
      </w:r>
      <w:r w:rsidR="00C561F6">
        <w:rPr>
          <w:lang w:eastAsia="en-US"/>
        </w:rPr>
        <w:t xml:space="preserve"> or recognised as a competent witness due to prejudicial attitudes that relate to the presence of an impairment.</w:t>
      </w:r>
      <w:r w:rsidR="006B34BC">
        <w:rPr>
          <w:lang w:eastAsia="en-US"/>
        </w:rPr>
        <w:t xml:space="preserve"> </w:t>
      </w:r>
    </w:p>
    <w:p w14:paraId="29D35592" w14:textId="264A207C" w:rsidR="007740A1" w:rsidRDefault="006B34BC" w:rsidP="00776462">
      <w:r>
        <w:rPr>
          <w:lang w:eastAsia="en-US"/>
        </w:rPr>
        <w:t xml:space="preserve">Sexual consent laws must therefore </w:t>
      </w:r>
      <w:r w:rsidR="00085FBB">
        <w:rPr>
          <w:lang w:eastAsia="en-US"/>
        </w:rPr>
        <w:t xml:space="preserve">respect the human rights of people with disability </w:t>
      </w:r>
      <w:r w:rsidR="0048402E">
        <w:rPr>
          <w:lang w:eastAsia="en-US"/>
        </w:rPr>
        <w:t>and</w:t>
      </w:r>
      <w:r w:rsidR="00F158E0">
        <w:rPr>
          <w:lang w:eastAsia="en-US"/>
        </w:rPr>
        <w:t xml:space="preserve"> must be </w:t>
      </w:r>
      <w:r w:rsidR="0048402E">
        <w:rPr>
          <w:lang w:eastAsia="en-US"/>
        </w:rPr>
        <w:t>accessible</w:t>
      </w:r>
      <w:r w:rsidR="002A1295">
        <w:rPr>
          <w:lang w:eastAsia="en-US"/>
        </w:rPr>
        <w:t xml:space="preserve"> to</w:t>
      </w:r>
      <w:r w:rsidR="00C25473">
        <w:rPr>
          <w:lang w:eastAsia="en-US"/>
        </w:rPr>
        <w:t>,</w:t>
      </w:r>
      <w:r w:rsidR="000B27DB">
        <w:rPr>
          <w:lang w:eastAsia="en-US"/>
        </w:rPr>
        <w:t xml:space="preserve"> and appropriate</w:t>
      </w:r>
      <w:r w:rsidR="0048402E">
        <w:rPr>
          <w:lang w:eastAsia="en-US"/>
        </w:rPr>
        <w:t xml:space="preserve"> for</w:t>
      </w:r>
      <w:r w:rsidR="00C25473">
        <w:rPr>
          <w:lang w:eastAsia="en-US"/>
        </w:rPr>
        <w:t>,</w:t>
      </w:r>
      <w:r w:rsidR="00F158E0">
        <w:rPr>
          <w:lang w:eastAsia="en-US"/>
        </w:rPr>
        <w:t xml:space="preserve"> all</w:t>
      </w:r>
      <w:r w:rsidR="0048402E">
        <w:rPr>
          <w:lang w:eastAsia="en-US"/>
        </w:rPr>
        <w:t xml:space="preserve"> people with disability</w:t>
      </w:r>
      <w:r w:rsidR="00F158E0">
        <w:rPr>
          <w:lang w:eastAsia="en-US"/>
        </w:rPr>
        <w:t>.</w:t>
      </w:r>
    </w:p>
    <w:p w14:paraId="1ED5DDE5" w14:textId="73790432" w:rsidR="00614153" w:rsidRPr="00E5774A" w:rsidRDefault="00614153" w:rsidP="00776462">
      <w:pPr>
        <w:pStyle w:val="Heading1"/>
        <w:spacing w:before="240"/>
      </w:pPr>
      <w:r w:rsidRPr="00E5774A">
        <w:t>Conclusion</w:t>
      </w:r>
    </w:p>
    <w:p w14:paraId="296550A0" w14:textId="2BCA7E7A" w:rsidR="00614153" w:rsidRPr="00C32FA0" w:rsidRDefault="00614153" w:rsidP="00614153">
      <w:pPr>
        <w:rPr>
          <w:lang w:eastAsia="en-US"/>
        </w:rPr>
      </w:pPr>
      <w:r>
        <w:rPr>
          <w:lang w:eastAsia="en-US"/>
        </w:rPr>
        <w:t>QAI advocates for a more nuanced approach that neither limits the right to consensual sexual expression nor unreasonably exposes people with intellectual or cognitive impairments to sexual exploitation.</w:t>
      </w:r>
      <w:r w:rsidR="00C031C4">
        <w:rPr>
          <w:lang w:eastAsia="en-US"/>
        </w:rPr>
        <w:t xml:space="preserve"> The law should be updated to reflect contemporary human rights principles </w:t>
      </w:r>
      <w:r w:rsidR="002C79C9">
        <w:rPr>
          <w:lang w:eastAsia="en-US"/>
        </w:rPr>
        <w:t>while remaining</w:t>
      </w:r>
      <w:r w:rsidR="00C031C4">
        <w:rPr>
          <w:lang w:eastAsia="en-US"/>
        </w:rPr>
        <w:t xml:space="preserve"> responsive </w:t>
      </w:r>
      <w:r w:rsidR="002C79C9">
        <w:rPr>
          <w:lang w:eastAsia="en-US"/>
        </w:rPr>
        <w:t>and alert to situations of exploitation</w:t>
      </w:r>
      <w:r w:rsidR="00604B5E">
        <w:rPr>
          <w:lang w:eastAsia="en-US"/>
        </w:rPr>
        <w:t xml:space="preserve"> and</w:t>
      </w:r>
      <w:r w:rsidR="00C031C4">
        <w:rPr>
          <w:lang w:eastAsia="en-US"/>
        </w:rPr>
        <w:t xml:space="preserve"> power imbalances</w:t>
      </w:r>
      <w:r w:rsidR="00604B5E">
        <w:rPr>
          <w:lang w:eastAsia="en-US"/>
        </w:rPr>
        <w:t xml:space="preserve"> </w:t>
      </w:r>
      <w:r w:rsidR="002932D6">
        <w:rPr>
          <w:lang w:eastAsia="en-US"/>
        </w:rPr>
        <w:t>that leave</w:t>
      </w:r>
      <w:r w:rsidR="00604B5E">
        <w:rPr>
          <w:lang w:eastAsia="en-US"/>
        </w:rPr>
        <w:t xml:space="preserve"> people with disability vulnerable to abuse.</w:t>
      </w:r>
    </w:p>
    <w:p w14:paraId="06CF4E81" w14:textId="766CE479" w:rsidR="00A92035" w:rsidRDefault="0072795C" w:rsidP="0072795C">
      <w:pPr>
        <w:rPr>
          <w:lang w:eastAsia="en-US"/>
        </w:rPr>
      </w:pPr>
      <w:r>
        <w:rPr>
          <w:lang w:eastAsia="en-US"/>
        </w:rPr>
        <w:t xml:space="preserve">QAI submits that specific provisions in </w:t>
      </w:r>
      <w:r w:rsidR="00604B5E">
        <w:rPr>
          <w:lang w:eastAsia="en-US"/>
        </w:rPr>
        <w:t>Queensland’s</w:t>
      </w:r>
      <w:r>
        <w:rPr>
          <w:lang w:eastAsia="en-US"/>
        </w:rPr>
        <w:t xml:space="preserve"> Criminal Code that arbitrarily regulate the sexual activity of people with an ‘impairment of the mind’ are inappropriate</w:t>
      </w:r>
      <w:r w:rsidR="00CB3195">
        <w:rPr>
          <w:lang w:eastAsia="en-US"/>
        </w:rPr>
        <w:t xml:space="preserve"> and </w:t>
      </w:r>
      <w:r w:rsidR="00F06821">
        <w:rPr>
          <w:lang w:eastAsia="en-US"/>
        </w:rPr>
        <w:t xml:space="preserve">in </w:t>
      </w:r>
      <w:r w:rsidR="00AE302D">
        <w:rPr>
          <w:lang w:eastAsia="en-US"/>
        </w:rPr>
        <w:t>need</w:t>
      </w:r>
      <w:r w:rsidR="00F06821">
        <w:rPr>
          <w:lang w:eastAsia="en-US"/>
        </w:rPr>
        <w:t xml:space="preserve"> of</w:t>
      </w:r>
      <w:r w:rsidR="00CB3195">
        <w:rPr>
          <w:lang w:eastAsia="en-US"/>
        </w:rPr>
        <w:t xml:space="preserve"> reform</w:t>
      </w:r>
      <w:r>
        <w:rPr>
          <w:lang w:eastAsia="en-US"/>
        </w:rPr>
        <w:t xml:space="preserve">. </w:t>
      </w:r>
    </w:p>
    <w:p w14:paraId="48D64AF7" w14:textId="2E56493D" w:rsidR="009F7112" w:rsidRDefault="008C19D8" w:rsidP="00494734">
      <w:r w:rsidRPr="00EB03E4">
        <w:t>QAI thanks</w:t>
      </w:r>
      <w:r w:rsidR="0034315B">
        <w:t xml:space="preserve"> the Senate Standing Committee on Legal and Constitutional Affairs</w:t>
      </w:r>
      <w:r w:rsidR="00EA5290">
        <w:t xml:space="preserve"> </w:t>
      </w:r>
      <w:r w:rsidRPr="00EB03E4">
        <w:t>for the opportunity to contribute to this inquiry.  We are happy to provide further information or clarification of any of the matters raised in this submission upon request.</w:t>
      </w:r>
    </w:p>
    <w:p w14:paraId="593BA993" w14:textId="77777777" w:rsidR="00964A60" w:rsidRDefault="00964A60" w:rsidP="00494734"/>
    <w:p w14:paraId="16A4CBD8" w14:textId="6F6B0EE9" w:rsidR="007173E3" w:rsidRPr="00BE23BF" w:rsidRDefault="007173E3" w:rsidP="00D25E18">
      <w:pPr>
        <w:rPr>
          <w:color w:val="FF0000"/>
        </w:rPr>
      </w:pPr>
    </w:p>
    <w:sectPr w:rsidR="007173E3" w:rsidRPr="00BE23BF" w:rsidSect="004F0FB6">
      <w:headerReference w:type="first" r:id="rId15"/>
      <w:footerReference w:type="first" r:id="rId16"/>
      <w:pgSz w:w="11900" w:h="16840"/>
      <w:pgMar w:top="1440" w:right="1077" w:bottom="1440" w:left="1077" w:header="709" w:footer="28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A6AA" w14:textId="77777777" w:rsidR="007A4093" w:rsidRDefault="007A4093" w:rsidP="007A3268">
      <w:r>
        <w:separator/>
      </w:r>
    </w:p>
  </w:endnote>
  <w:endnote w:type="continuationSeparator" w:id="0">
    <w:p w14:paraId="1DF2B454" w14:textId="77777777" w:rsidR="007A4093" w:rsidRDefault="007A4093" w:rsidP="007A3268">
      <w:r>
        <w:continuationSeparator/>
      </w:r>
    </w:p>
  </w:endnote>
  <w:endnote w:type="continuationNotice" w:id="1">
    <w:p w14:paraId="36F009CD" w14:textId="77777777" w:rsidR="007A4093" w:rsidRDefault="007A40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ight">
    <w:altName w:val="Calibri"/>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FD03" w14:textId="29121C29" w:rsidR="009F7112" w:rsidRDefault="007A3268" w:rsidP="009F71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545DE">
      <w:rPr>
        <w:rStyle w:val="PageNumber"/>
        <w:noProof/>
      </w:rPr>
      <w:t>3</w:t>
    </w:r>
    <w:r>
      <w:rPr>
        <w:rStyle w:val="PageNumber"/>
      </w:rPr>
      <w:fldChar w:fldCharType="end"/>
    </w:r>
  </w:p>
  <w:p w14:paraId="30822E4A" w14:textId="77777777" w:rsidR="009F7112" w:rsidRDefault="009F7112" w:rsidP="009F71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69E6" w14:textId="16E93BB9" w:rsidR="009F7112" w:rsidRPr="005079CE" w:rsidRDefault="009F7112" w:rsidP="009F7112">
    <w:pPr>
      <w:spacing w:before="60" w:after="60"/>
      <w:rPr>
        <w:rFonts w:ascii="Calibri Light" w:hAnsi="Calibri Light"/>
        <w:noProof/>
        <w:color w:val="3B3838" w:themeColor="background2" w:themeShade="40"/>
        <w:szCs w:val="22"/>
        <w:lang w:val="en-US" w:eastAsia="en-US"/>
      </w:rPr>
    </w:pPr>
  </w:p>
  <w:sdt>
    <w:sdtPr>
      <w:rPr>
        <w:rStyle w:val="PageNumber"/>
      </w:rPr>
      <w:id w:val="-1249576012"/>
      <w:docPartObj>
        <w:docPartGallery w:val="Page Numbers (Bottom of Page)"/>
        <w:docPartUnique/>
      </w:docPartObj>
    </w:sdtPr>
    <w:sdtEndPr>
      <w:rPr>
        <w:rStyle w:val="PageNumber"/>
        <w:rFonts w:asciiTheme="majorHAnsi" w:hAnsiTheme="majorHAnsi"/>
      </w:rPr>
    </w:sdtEndPr>
    <w:sdtContent>
      <w:p w14:paraId="4D9C4491" w14:textId="77777777" w:rsidR="009F7112" w:rsidRPr="00475C02" w:rsidRDefault="007A3268" w:rsidP="009F7112">
        <w:pPr>
          <w:pStyle w:val="Footer"/>
          <w:framePr w:w="134"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60014C">
          <w:rPr>
            <w:rStyle w:val="PageNumber"/>
            <w:rFonts w:asciiTheme="majorHAnsi" w:hAnsiTheme="majorHAnsi"/>
            <w:noProof/>
          </w:rPr>
          <w:t>2</w:t>
        </w:r>
        <w:r w:rsidRPr="00475C02">
          <w:rPr>
            <w:rStyle w:val="PageNumber"/>
            <w:rFonts w:asciiTheme="majorHAnsi" w:hAnsiTheme="majorHAnsi"/>
          </w:rPr>
          <w:fldChar w:fldCharType="end"/>
        </w:r>
      </w:p>
    </w:sdtContent>
  </w:sdt>
  <w:p w14:paraId="7EFF485D" w14:textId="432A2697" w:rsidR="009F7112" w:rsidRPr="00BC44D8" w:rsidRDefault="007A3268" w:rsidP="009F7112">
    <w:pPr>
      <w:pStyle w:val="Footer"/>
      <w:jc w:val="right"/>
    </w:pPr>
    <w:r>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B269" w14:textId="758B032C" w:rsidR="001545DE" w:rsidRPr="009F7112" w:rsidRDefault="00E8197C" w:rsidP="004F0FB6">
    <w:pPr>
      <w:pStyle w:val="Footer"/>
      <w:ind w:left="-426" w:right="-460"/>
      <w:jc w:val="right"/>
    </w:pPr>
    <w:r w:rsidRPr="009F7112">
      <w:rPr>
        <w:rFonts w:ascii="Calibri Light" w:hAnsi="Calibri Light"/>
        <w:b/>
        <w:bCs/>
        <w:i/>
        <w:noProof/>
        <w:szCs w:val="22"/>
        <w:lang w:eastAsia="en-AU"/>
      </w:rPr>
      <mc:AlternateContent>
        <mc:Choice Requires="wps">
          <w:drawing>
            <wp:anchor distT="0" distB="0" distL="114300" distR="114300" simplePos="0" relativeHeight="251658242" behindDoc="0" locked="0" layoutInCell="1" allowOverlap="1" wp14:anchorId="38AF80C5" wp14:editId="398B58F7">
              <wp:simplePos x="0" y="0"/>
              <wp:positionH relativeFrom="column">
                <wp:posOffset>3039428</wp:posOffset>
              </wp:positionH>
              <wp:positionV relativeFrom="paragraph">
                <wp:posOffset>-3548697</wp:posOffset>
              </wp:positionV>
              <wp:extent cx="77470" cy="7830185"/>
              <wp:effectExtent l="0" t="9208" r="8573" b="8572"/>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651539D9" id="Rectangle 18" o:spid="_x0000_s1026" alt="&quot;&quot;" style="position:absolute;margin-left:239.35pt;margin-top:-279.4pt;width:6.1pt;height:616.5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" fillcolor="red" stroked="f" strokeweight="1pt"/>
          </w:pict>
        </mc:Fallback>
      </mc:AlternateContent>
    </w:r>
    <w:r w:rsidR="002F2614" w:rsidRPr="009F7112">
      <w:rPr>
        <w:b/>
        <w:bCs/>
      </w:rPr>
      <w:t>A</w:t>
    </w:r>
    <w:r w:rsidR="002F2614" w:rsidRPr="009F7112">
      <w:t xml:space="preserve"> </w:t>
    </w:r>
    <w:r w:rsidR="00BB7502" w:rsidRPr="009F7112">
      <w:t>Level 2, 43 Peel St (PO Box 3384), South Brisbane</w:t>
    </w:r>
    <w:r w:rsidR="002F2614" w:rsidRPr="009F7112">
      <w:t xml:space="preserve"> QLD 4101</w:t>
    </w:r>
    <w:r w:rsidR="00A318AD" w:rsidRPr="009F7112">
      <w:t xml:space="preserve"> </w:t>
    </w:r>
    <w:r w:rsidR="002F2614" w:rsidRPr="009F7112">
      <w:t xml:space="preserve"> </w:t>
    </w:r>
    <w:r w:rsidR="002F2614" w:rsidRPr="009F7112">
      <w:rPr>
        <w:b/>
        <w:bCs/>
      </w:rPr>
      <w:t>P</w:t>
    </w:r>
    <w:r w:rsidR="002F2614" w:rsidRPr="009F7112">
      <w:t xml:space="preserve"> 07 3844 4200 </w:t>
    </w:r>
    <w:r w:rsidR="00A318AD" w:rsidRPr="009F7112">
      <w:t xml:space="preserve"> </w:t>
    </w:r>
    <w:r w:rsidR="002F2614" w:rsidRPr="009F7112">
      <w:rPr>
        <w:b/>
        <w:bCs/>
      </w:rPr>
      <w:t>W</w:t>
    </w:r>
    <w:r w:rsidR="002F2614" w:rsidRPr="009F7112">
      <w:t xml:space="preserve"> </w:t>
    </w:r>
    <w:hyperlink r:id="rId1" w:history="1">
      <w:r w:rsidR="004F0FB6" w:rsidRPr="009F7112">
        <w:rPr>
          <w:rStyle w:val="Hyperlink"/>
          <w:color w:val="auto"/>
        </w:rPr>
        <w:t>qai@qai.org.au</w:t>
      </w:r>
    </w:hyperlink>
    <w:r w:rsidR="004F0FB6" w:rsidRPr="009F7112">
      <w:t xml:space="preserve">                  </w:t>
    </w:r>
    <w:r w:rsidR="001545DE" w:rsidRPr="009F7112">
      <w:fldChar w:fldCharType="begin"/>
    </w:r>
    <w:r w:rsidR="001545DE" w:rsidRPr="009F7112">
      <w:instrText xml:space="preserve"> PAGE   \* MERGEFORMAT </w:instrText>
    </w:r>
    <w:r w:rsidR="001545DE" w:rsidRPr="009F7112">
      <w:fldChar w:fldCharType="separate"/>
    </w:r>
    <w:r w:rsidR="001545DE" w:rsidRPr="009F7112">
      <w:rPr>
        <w:noProof/>
      </w:rPr>
      <w:t>2</w:t>
    </w:r>
    <w:r w:rsidR="001545DE" w:rsidRPr="009F7112">
      <w:rPr>
        <w:noProof/>
      </w:rPr>
      <w:fldChar w:fldCharType="end"/>
    </w:r>
  </w:p>
  <w:p w14:paraId="30C90ADD" w14:textId="36CF1B4D" w:rsidR="009F7112" w:rsidRPr="001545DE" w:rsidRDefault="009F7112" w:rsidP="001545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86DF" w14:textId="50541C38" w:rsidR="00494734" w:rsidRDefault="00494734" w:rsidP="004F0FB6">
    <w:pPr>
      <w:pStyle w:val="Footer"/>
      <w:ind w:left="-426" w:right="-460"/>
      <w:jc w:val="right"/>
    </w:pPr>
    <w:r>
      <w:t xml:space="preserve">                </w:t>
    </w:r>
    <w:r>
      <w:fldChar w:fldCharType="begin"/>
    </w:r>
    <w:r>
      <w:instrText xml:space="preserve"> PAGE   \* MERGEFORMAT </w:instrText>
    </w:r>
    <w:r>
      <w:fldChar w:fldCharType="separate"/>
    </w:r>
    <w:r>
      <w:rPr>
        <w:noProof/>
      </w:rPr>
      <w:t>2</w:t>
    </w:r>
    <w:r>
      <w:rPr>
        <w:noProof/>
      </w:rPr>
      <w:fldChar w:fldCharType="end"/>
    </w:r>
  </w:p>
  <w:p w14:paraId="4FD00475" w14:textId="77777777" w:rsidR="00494734" w:rsidRPr="001545DE" w:rsidRDefault="00494734" w:rsidP="001545DE">
    <w:pPr>
      <w:pStyle w:val="Footer"/>
    </w:pPr>
  </w:p>
  <w:p w14:paraId="049507F5" w14:textId="77777777" w:rsidR="00BA7328" w:rsidRDefault="00BA73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22736" w14:textId="77777777" w:rsidR="007A4093" w:rsidRDefault="007A4093" w:rsidP="007A3268">
      <w:r>
        <w:separator/>
      </w:r>
    </w:p>
  </w:footnote>
  <w:footnote w:type="continuationSeparator" w:id="0">
    <w:p w14:paraId="53D1C69F" w14:textId="77777777" w:rsidR="007A4093" w:rsidRDefault="007A4093" w:rsidP="007A3268">
      <w:r>
        <w:continuationSeparator/>
      </w:r>
    </w:p>
  </w:footnote>
  <w:footnote w:type="continuationNotice" w:id="1">
    <w:p w14:paraId="53DBBF89" w14:textId="77777777" w:rsidR="007A4093" w:rsidRDefault="007A4093">
      <w:pPr>
        <w:spacing w:after="0"/>
      </w:pPr>
    </w:p>
  </w:footnote>
  <w:footnote w:id="2">
    <w:p w14:paraId="5EE172A5" w14:textId="52EB9C27" w:rsidR="00DF4739" w:rsidRDefault="00DF4739">
      <w:pPr>
        <w:pStyle w:val="FootnoteText"/>
      </w:pPr>
      <w:r>
        <w:rPr>
          <w:rStyle w:val="FootnoteReference"/>
        </w:rPr>
        <w:footnoteRef/>
      </w:r>
      <w:r>
        <w:t xml:space="preserve"> 2022</w:t>
      </w:r>
      <w:r>
        <w:rPr>
          <w:spacing w:val="-5"/>
        </w:rPr>
        <w:t xml:space="preserve"> </w:t>
      </w:r>
      <w:r>
        <w:t>Public</w:t>
      </w:r>
      <w:r>
        <w:rPr>
          <w:spacing w:val="-6"/>
        </w:rPr>
        <w:t xml:space="preserve"> </w:t>
      </w:r>
      <w:r>
        <w:t>Advocate</w:t>
      </w:r>
      <w:r>
        <w:rPr>
          <w:spacing w:val="-6"/>
        </w:rPr>
        <w:t xml:space="preserve"> </w:t>
      </w:r>
      <w:r>
        <w:t>Discussion</w:t>
      </w:r>
      <w:r>
        <w:rPr>
          <w:spacing w:val="-4"/>
        </w:rPr>
        <w:t xml:space="preserve"> </w:t>
      </w:r>
      <w:r>
        <w:t>Paper</w:t>
      </w:r>
      <w:r>
        <w:rPr>
          <w:spacing w:val="-3"/>
        </w:rPr>
        <w:t xml:space="preserve"> </w:t>
      </w:r>
      <w:r>
        <w:t>-</w:t>
      </w:r>
      <w:r>
        <w:rPr>
          <w:spacing w:val="-6"/>
        </w:rPr>
        <w:t xml:space="preserve"> </w:t>
      </w:r>
      <w:r>
        <w:t>section</w:t>
      </w:r>
      <w:r>
        <w:rPr>
          <w:spacing w:val="-5"/>
        </w:rPr>
        <w:t xml:space="preserve"> </w:t>
      </w:r>
      <w:r>
        <w:t>216</w:t>
      </w:r>
      <w:r>
        <w:rPr>
          <w:spacing w:val="-6"/>
        </w:rPr>
        <w:t xml:space="preserve"> </w:t>
      </w:r>
      <w:r>
        <w:t>Queensland</w:t>
      </w:r>
      <w:r>
        <w:rPr>
          <w:spacing w:val="-5"/>
        </w:rPr>
        <w:t xml:space="preserve"> </w:t>
      </w:r>
      <w:r>
        <w:t>Criminal</w:t>
      </w:r>
      <w:r>
        <w:rPr>
          <w:spacing w:val="-5"/>
        </w:rPr>
        <w:t xml:space="preserve"> </w:t>
      </w:r>
      <w:r>
        <w:t>Code</w:t>
      </w:r>
      <w:r>
        <w:rPr>
          <w:spacing w:val="-6"/>
        </w:rPr>
        <w:t xml:space="preserve"> </w:t>
      </w:r>
      <w:r>
        <w:t>1899,</w:t>
      </w:r>
      <w:r>
        <w:rPr>
          <w:spacing w:val="-5"/>
        </w:rPr>
        <w:t xml:space="preserve"> p3</w:t>
      </w:r>
    </w:p>
  </w:footnote>
  <w:footnote w:id="3">
    <w:p w14:paraId="5055E148" w14:textId="5EF90615" w:rsidR="00CA1152" w:rsidRDefault="00CA1152">
      <w:pPr>
        <w:pStyle w:val="FootnoteText"/>
      </w:pPr>
      <w:r>
        <w:rPr>
          <w:rStyle w:val="FootnoteReference"/>
        </w:rPr>
        <w:footnoteRef/>
      </w:r>
      <w:r>
        <w:t xml:space="preserve"> </w:t>
      </w:r>
      <w:r w:rsidRPr="00B75E43">
        <w:rPr>
          <w:i/>
          <w:iCs/>
        </w:rPr>
        <w:t>Criminal Code Act 1899</w:t>
      </w:r>
      <w:r>
        <w:t xml:space="preserve"> (Qld) s 216</w:t>
      </w:r>
    </w:p>
  </w:footnote>
  <w:footnote w:id="4">
    <w:p w14:paraId="010CB4AB" w14:textId="0EDE0398" w:rsidR="004A05CE" w:rsidRDefault="004A05CE">
      <w:pPr>
        <w:pStyle w:val="FootnoteText"/>
      </w:pPr>
      <w:r>
        <w:rPr>
          <w:rStyle w:val="FootnoteReference"/>
        </w:rPr>
        <w:footnoteRef/>
      </w:r>
      <w:r>
        <w:t xml:space="preserve"> Ibid, Section 1 - Definitions</w:t>
      </w:r>
    </w:p>
  </w:footnote>
  <w:footnote w:id="5">
    <w:p w14:paraId="7F811055" w14:textId="15A30C5D" w:rsidR="00350B5F" w:rsidRDefault="00350B5F">
      <w:pPr>
        <w:pStyle w:val="FootnoteText"/>
      </w:pPr>
      <w:r>
        <w:rPr>
          <w:rStyle w:val="FootnoteReference"/>
        </w:rPr>
        <w:footnoteRef/>
      </w:r>
      <w:r>
        <w:t xml:space="preserve"> 2022</w:t>
      </w:r>
      <w:r>
        <w:rPr>
          <w:spacing w:val="-5"/>
        </w:rPr>
        <w:t xml:space="preserve"> </w:t>
      </w:r>
      <w:r>
        <w:t>Public</w:t>
      </w:r>
      <w:r>
        <w:rPr>
          <w:spacing w:val="-6"/>
        </w:rPr>
        <w:t xml:space="preserve"> </w:t>
      </w:r>
      <w:r>
        <w:t>Advocate</w:t>
      </w:r>
      <w:r>
        <w:rPr>
          <w:spacing w:val="-6"/>
        </w:rPr>
        <w:t xml:space="preserve"> </w:t>
      </w:r>
      <w:r>
        <w:t>Discussion</w:t>
      </w:r>
      <w:r>
        <w:rPr>
          <w:spacing w:val="-4"/>
        </w:rPr>
        <w:t xml:space="preserve"> </w:t>
      </w:r>
      <w:r>
        <w:t>Paper</w:t>
      </w:r>
      <w:r>
        <w:rPr>
          <w:spacing w:val="-3"/>
        </w:rPr>
        <w:t xml:space="preserve"> </w:t>
      </w:r>
      <w:r>
        <w:t>-</w:t>
      </w:r>
      <w:r>
        <w:rPr>
          <w:spacing w:val="-6"/>
        </w:rPr>
        <w:t xml:space="preserve"> </w:t>
      </w:r>
      <w:r>
        <w:t>section</w:t>
      </w:r>
      <w:r>
        <w:rPr>
          <w:spacing w:val="-5"/>
        </w:rPr>
        <w:t xml:space="preserve"> </w:t>
      </w:r>
      <w:r>
        <w:t>216</w:t>
      </w:r>
      <w:r>
        <w:rPr>
          <w:spacing w:val="-6"/>
        </w:rPr>
        <w:t xml:space="preserve"> </w:t>
      </w:r>
      <w:r>
        <w:t>Queensland</w:t>
      </w:r>
      <w:r>
        <w:rPr>
          <w:spacing w:val="-5"/>
        </w:rPr>
        <w:t xml:space="preserve"> </w:t>
      </w:r>
      <w:r>
        <w:t>Criminal</w:t>
      </w:r>
      <w:r>
        <w:rPr>
          <w:spacing w:val="-5"/>
        </w:rPr>
        <w:t xml:space="preserve"> </w:t>
      </w:r>
      <w:r>
        <w:t>Code</w:t>
      </w:r>
      <w:r>
        <w:rPr>
          <w:spacing w:val="-6"/>
        </w:rPr>
        <w:t xml:space="preserve"> </w:t>
      </w:r>
      <w:r>
        <w:t>1899,</w:t>
      </w:r>
      <w:r>
        <w:rPr>
          <w:spacing w:val="-5"/>
        </w:rPr>
        <w:t xml:space="preserve"> p7</w:t>
      </w:r>
    </w:p>
  </w:footnote>
  <w:footnote w:id="6">
    <w:p w14:paraId="51A8C301" w14:textId="397B560D" w:rsidR="0016444A" w:rsidRDefault="0016444A">
      <w:pPr>
        <w:pStyle w:val="FootnoteText"/>
      </w:pPr>
      <w:r>
        <w:rPr>
          <w:rStyle w:val="FootnoteReference"/>
        </w:rPr>
        <w:footnoteRef/>
      </w:r>
      <w:r>
        <w:t xml:space="preserve"> </w:t>
      </w:r>
      <w:r w:rsidRPr="00D96C2A">
        <w:rPr>
          <w:i/>
          <w:iCs/>
        </w:rPr>
        <w:t>R v Mrzljak</w:t>
      </w:r>
      <w:r>
        <w:t xml:space="preserve"> at [16] ‘The absence of consent is not an element of an offence under s 216 Criminal </w:t>
      </w:r>
      <w:r>
        <w:t>Code and it is rightly uncontentious that an intellectually impaired person as defined can have the cognitive capacity to consent and can give consent within the meaning of "consent" in s 348.’</w:t>
      </w:r>
    </w:p>
  </w:footnote>
  <w:footnote w:id="7">
    <w:p w14:paraId="32E40271" w14:textId="6D1F3012" w:rsidR="00235EDB" w:rsidRDefault="00235EDB">
      <w:pPr>
        <w:pStyle w:val="FootnoteText"/>
      </w:pPr>
      <w:r>
        <w:rPr>
          <w:rStyle w:val="FootnoteReference"/>
        </w:rPr>
        <w:footnoteRef/>
      </w:r>
      <w:r>
        <w:t xml:space="preserve"> </w:t>
      </w:r>
      <w:r w:rsidR="00441E4C">
        <w:t>Convention on the Rights of Persons with Disabilities, Article 12(3)</w:t>
      </w:r>
    </w:p>
  </w:footnote>
  <w:footnote w:id="8">
    <w:p w14:paraId="679B9BAE" w14:textId="7701E340" w:rsidR="00ED6678" w:rsidRDefault="00ED6678">
      <w:pPr>
        <w:pStyle w:val="FootnoteText"/>
      </w:pPr>
      <w:r>
        <w:rPr>
          <w:rStyle w:val="FootnoteReference"/>
        </w:rPr>
        <w:footnoteRef/>
      </w:r>
      <w:r>
        <w:t xml:space="preserve"> Kayess, R. &amp; Sands, T. (2020) Convention on the Rights of Persons with Disabilities: Shining a light on Social Transformation. Sydney: UNSW Social Policy Research Centre</w:t>
      </w:r>
    </w:p>
  </w:footnote>
  <w:footnote w:id="9">
    <w:p w14:paraId="28A70C61" w14:textId="1410E461" w:rsidR="00ED6678" w:rsidRDefault="00ED6678">
      <w:pPr>
        <w:pStyle w:val="FootnoteText"/>
      </w:pPr>
      <w:r>
        <w:rPr>
          <w:rStyle w:val="FootnoteReference"/>
        </w:rPr>
        <w:footnoteRef/>
      </w:r>
      <w:r>
        <w:t xml:space="preserve"> Watson, J. (2016) Assumptions of Decision-Making Capacity: The Role Supporter Attitudes Play in the Realization of Article 12 for People with Severe or Profound Intellectual Disability, Laws, 2016, 5 ,6; p </w:t>
      </w:r>
      <w:r>
        <w:t>3</w:t>
      </w:r>
    </w:p>
  </w:footnote>
  <w:footnote w:id="10">
    <w:p w14:paraId="45B9DCA0" w14:textId="172F04D9" w:rsidR="00020B2F" w:rsidRDefault="00020B2F">
      <w:pPr>
        <w:pStyle w:val="FootnoteText"/>
      </w:pPr>
      <w:r>
        <w:rPr>
          <w:rStyle w:val="FootnoteReference"/>
        </w:rPr>
        <w:footnoteRef/>
      </w:r>
      <w:r>
        <w:t xml:space="preserve"> Ibid</w:t>
      </w:r>
    </w:p>
  </w:footnote>
  <w:footnote w:id="11">
    <w:p w14:paraId="5AD93197" w14:textId="009EB5E7" w:rsidR="00E7648C" w:rsidRDefault="00E7648C">
      <w:pPr>
        <w:pStyle w:val="FootnoteText"/>
      </w:pPr>
      <w:r>
        <w:rPr>
          <w:rStyle w:val="FootnoteReference"/>
        </w:rPr>
        <w:footnoteRef/>
      </w:r>
      <w:r>
        <w:t xml:space="preserve"> Anna </w:t>
      </w:r>
      <w:r>
        <w:t>Arstein-Kerslake, Eilionoir Flynn, ‘</w:t>
      </w:r>
      <w:r w:rsidRPr="00356E75">
        <w:t xml:space="preserve">Legislating Consent: Creating an Empowering Definition of Consent to Sex That Is Inclusive of People </w:t>
      </w:r>
      <w:r w:rsidRPr="00356E75">
        <w:t>With Cognitive Disabilities</w:t>
      </w:r>
      <w:r>
        <w:t xml:space="preserve">’ (2015) </w:t>
      </w:r>
      <w:r w:rsidRPr="00356E75">
        <w:rPr>
          <w:i/>
          <w:iCs/>
        </w:rPr>
        <w:t>Social and Legal Studies</w:t>
      </w:r>
      <w:r>
        <w:t>, Vol. 25(2), 4.</w:t>
      </w:r>
    </w:p>
  </w:footnote>
  <w:footnote w:id="12">
    <w:p w14:paraId="449BB273" w14:textId="1A6EEE24" w:rsidR="00F57329" w:rsidRDefault="00F57329">
      <w:pPr>
        <w:pStyle w:val="FootnoteText"/>
      </w:pPr>
      <w:r>
        <w:rPr>
          <w:rStyle w:val="FootnoteReference"/>
        </w:rPr>
        <w:footnoteRef/>
      </w:r>
      <w:r>
        <w:t xml:space="preserve"> </w:t>
      </w:r>
      <w:r>
        <w:rPr>
          <w:i/>
        </w:rPr>
        <w:t>Human</w:t>
      </w:r>
      <w:r>
        <w:rPr>
          <w:i/>
          <w:spacing w:val="-4"/>
        </w:rPr>
        <w:t xml:space="preserve"> </w:t>
      </w:r>
      <w:r>
        <w:rPr>
          <w:i/>
        </w:rPr>
        <w:t>Rights</w:t>
      </w:r>
      <w:r>
        <w:rPr>
          <w:i/>
          <w:spacing w:val="-6"/>
        </w:rPr>
        <w:t xml:space="preserve"> </w:t>
      </w:r>
      <w:r>
        <w:rPr>
          <w:i/>
        </w:rPr>
        <w:t>Act</w:t>
      </w:r>
      <w:r>
        <w:rPr>
          <w:i/>
          <w:spacing w:val="-4"/>
        </w:rPr>
        <w:t xml:space="preserve"> </w:t>
      </w:r>
      <w:r>
        <w:rPr>
          <w:i/>
        </w:rPr>
        <w:t>2019</w:t>
      </w:r>
      <w:r>
        <w:rPr>
          <w:i/>
          <w:spacing w:val="-4"/>
        </w:rPr>
        <w:t xml:space="preserve"> </w:t>
      </w:r>
      <w:r>
        <w:t>(Qld),</w:t>
      </w:r>
      <w:r>
        <w:rPr>
          <w:spacing w:val="-5"/>
        </w:rPr>
        <w:t xml:space="preserve"> </w:t>
      </w:r>
      <w:r>
        <w:t>section</w:t>
      </w:r>
      <w:r>
        <w:rPr>
          <w:spacing w:val="-1"/>
        </w:rPr>
        <w:t xml:space="preserve"> </w:t>
      </w:r>
      <w:r>
        <w:rPr>
          <w:spacing w:val="-5"/>
        </w:rPr>
        <w:t>25</w:t>
      </w:r>
    </w:p>
  </w:footnote>
  <w:footnote w:id="13">
    <w:p w14:paraId="35960365" w14:textId="77777777" w:rsidR="00D11F3F" w:rsidRDefault="00D11F3F" w:rsidP="00D11F3F">
      <w:pPr>
        <w:pStyle w:val="FootnoteText"/>
      </w:pPr>
      <w:r>
        <w:rPr>
          <w:rStyle w:val="FootnoteReference"/>
        </w:rPr>
        <w:footnoteRef/>
      </w:r>
      <w:r>
        <w:t xml:space="preserve"> </w:t>
      </w:r>
      <w:r w:rsidRPr="00F03CD6">
        <w:rPr>
          <w:i/>
          <w:iCs/>
        </w:rPr>
        <w:t>R v Hansen</w:t>
      </w:r>
      <w:r>
        <w:t xml:space="preserve"> [2018] QCA 153</w:t>
      </w:r>
    </w:p>
  </w:footnote>
  <w:footnote w:id="14">
    <w:p w14:paraId="0B2F74EE" w14:textId="5B5AC5C5" w:rsidR="00870208" w:rsidRDefault="00870208">
      <w:pPr>
        <w:pStyle w:val="FootnoteText"/>
      </w:pPr>
      <w:r>
        <w:rPr>
          <w:rStyle w:val="FootnoteReference"/>
        </w:rPr>
        <w:footnoteRef/>
      </w:r>
      <w:r>
        <w:t xml:space="preserve"> </w:t>
      </w:r>
      <w:r w:rsidRPr="20A0C12F">
        <w:rPr>
          <w:rFonts w:ascii="Calibri" w:eastAsia="Calibri" w:hAnsi="Calibri" w:cs="Calibri"/>
          <w:i/>
          <w:iCs/>
        </w:rPr>
        <w:t>R v Little</w:t>
      </w:r>
      <w:r w:rsidRPr="20A0C12F">
        <w:rPr>
          <w:rFonts w:ascii="Calibri" w:eastAsia="Calibri" w:hAnsi="Calibri" w:cs="Calibri"/>
        </w:rPr>
        <w:t xml:space="preserve"> [2013] QCA 223</w:t>
      </w:r>
    </w:p>
  </w:footnote>
  <w:footnote w:id="15">
    <w:p w14:paraId="6D8EEC56" w14:textId="0C71B707" w:rsidR="007C6C5A" w:rsidRDefault="007C6C5A">
      <w:pPr>
        <w:pStyle w:val="FootnoteText"/>
      </w:pPr>
      <w:r>
        <w:rPr>
          <w:rStyle w:val="FootnoteReference"/>
        </w:rPr>
        <w:footnoteRef/>
      </w:r>
      <w:r>
        <w:t xml:space="preserve"> </w:t>
      </w:r>
      <w:r w:rsidRPr="20A0C12F">
        <w:rPr>
          <w:rFonts w:ascii="Calibri" w:eastAsia="Calibri" w:hAnsi="Calibri" w:cs="Calibri"/>
        </w:rPr>
        <w:t>Ibid at [28].</w:t>
      </w:r>
    </w:p>
  </w:footnote>
  <w:footnote w:id="16">
    <w:p w14:paraId="382DBC12" w14:textId="2C1A5ABF" w:rsidR="00B9081E" w:rsidRDefault="00B9081E">
      <w:pPr>
        <w:pStyle w:val="FootnoteText"/>
      </w:pPr>
      <w:r>
        <w:rPr>
          <w:rStyle w:val="FootnoteReference"/>
        </w:rPr>
        <w:footnoteRef/>
      </w:r>
      <w:r>
        <w:t xml:space="preserve"> </w:t>
      </w:r>
      <w:r w:rsidR="002B6F50">
        <w:t>Ibid</w:t>
      </w:r>
    </w:p>
  </w:footnote>
  <w:footnote w:id="17">
    <w:p w14:paraId="73721404" w14:textId="50C37BCC" w:rsidR="001A60FA" w:rsidRDefault="001A60FA">
      <w:pPr>
        <w:pStyle w:val="FootnoteText"/>
      </w:pPr>
      <w:r>
        <w:rPr>
          <w:rStyle w:val="FootnoteReference"/>
        </w:rPr>
        <w:footnoteRef/>
      </w:r>
      <w:r>
        <w:t xml:space="preserve"> Ibid</w:t>
      </w:r>
    </w:p>
  </w:footnote>
  <w:footnote w:id="18">
    <w:p w14:paraId="203E0E3B" w14:textId="6DB229F1" w:rsidR="00150AB6" w:rsidRDefault="00150AB6">
      <w:pPr>
        <w:pStyle w:val="FootnoteText"/>
      </w:pPr>
      <w:r>
        <w:rPr>
          <w:rStyle w:val="FootnoteReference"/>
        </w:rPr>
        <w:footnoteRef/>
      </w:r>
      <w:r>
        <w:t xml:space="preserve"> </w:t>
      </w:r>
      <w:r w:rsidRPr="20A0C12F">
        <w:rPr>
          <w:rFonts w:ascii="Calibri" w:eastAsia="Calibri" w:hAnsi="Calibri" w:cs="Calibri"/>
          <w:i/>
          <w:iCs/>
        </w:rPr>
        <w:t>R v Mrzljak</w:t>
      </w:r>
      <w:r w:rsidRPr="20A0C12F">
        <w:rPr>
          <w:rFonts w:ascii="Calibri" w:eastAsia="Calibri" w:hAnsi="Calibri" w:cs="Calibri"/>
        </w:rPr>
        <w:t xml:space="preserve"> [2004] QCA 420 at [68].</w:t>
      </w:r>
    </w:p>
  </w:footnote>
  <w:footnote w:id="19">
    <w:p w14:paraId="03DC2E44" w14:textId="633CA68E" w:rsidR="00194A98" w:rsidRDefault="00194A98">
      <w:pPr>
        <w:pStyle w:val="FootnoteText"/>
      </w:pPr>
      <w:r>
        <w:rPr>
          <w:rStyle w:val="FootnoteReference"/>
        </w:rPr>
        <w:footnoteRef/>
      </w:r>
      <w:r>
        <w:t xml:space="preserve"> </w:t>
      </w:r>
      <w:r w:rsidR="00E71BC7" w:rsidRPr="00E71BC7">
        <w:t xml:space="preserve">Royal Commission in Violence, Abuse, Neglect and Exploitation of People with Disability, Nature and extent of violence, abuse, neglect and exploitation against people with disability in Australia, Centre of Research Excellence in Disability and Health, March 2021, 14 at </w:t>
      </w:r>
      <w:hyperlink r:id="rId1" w:history="1">
        <w:r w:rsidR="00E71BC7" w:rsidRPr="00F53BE5">
          <w:rPr>
            <w:rStyle w:val="Hyperlink"/>
          </w:rPr>
          <w:t>https://disability.royalcommission.gov.au/publications/research-report-nature-and-extent-violence-abuse-neglect-and-exploitation-against-people-disability-australia</w:t>
        </w:r>
      </w:hyperlink>
      <w:r w:rsidR="00E71BC7">
        <w:t xml:space="preserve"> </w:t>
      </w:r>
    </w:p>
  </w:footnote>
  <w:footnote w:id="20">
    <w:p w14:paraId="59CF63B4" w14:textId="646340DE" w:rsidR="000A026F" w:rsidRDefault="000A026F">
      <w:pPr>
        <w:pStyle w:val="FootnoteText"/>
      </w:pPr>
      <w:r>
        <w:rPr>
          <w:rStyle w:val="FootnoteReference"/>
        </w:rPr>
        <w:footnoteRef/>
      </w:r>
      <w:r>
        <w:t xml:space="preserve"> 2022</w:t>
      </w:r>
      <w:r>
        <w:rPr>
          <w:spacing w:val="-5"/>
        </w:rPr>
        <w:t xml:space="preserve"> </w:t>
      </w:r>
      <w:r>
        <w:t>Public</w:t>
      </w:r>
      <w:r>
        <w:rPr>
          <w:spacing w:val="-6"/>
        </w:rPr>
        <w:t xml:space="preserve"> </w:t>
      </w:r>
      <w:r>
        <w:t>Advocate</w:t>
      </w:r>
      <w:r>
        <w:rPr>
          <w:spacing w:val="-6"/>
        </w:rPr>
        <w:t xml:space="preserve"> </w:t>
      </w:r>
      <w:r>
        <w:t>Discussion</w:t>
      </w:r>
      <w:r>
        <w:rPr>
          <w:spacing w:val="-4"/>
        </w:rPr>
        <w:t xml:space="preserve"> </w:t>
      </w:r>
      <w:r>
        <w:t>Paper</w:t>
      </w:r>
      <w:r>
        <w:rPr>
          <w:spacing w:val="-3"/>
        </w:rPr>
        <w:t xml:space="preserve"> </w:t>
      </w:r>
      <w:r>
        <w:t>-</w:t>
      </w:r>
      <w:r>
        <w:rPr>
          <w:spacing w:val="-6"/>
        </w:rPr>
        <w:t xml:space="preserve"> </w:t>
      </w:r>
      <w:r>
        <w:t>section</w:t>
      </w:r>
      <w:r>
        <w:rPr>
          <w:spacing w:val="-5"/>
        </w:rPr>
        <w:t xml:space="preserve"> </w:t>
      </w:r>
      <w:r>
        <w:t>216</w:t>
      </w:r>
      <w:r>
        <w:rPr>
          <w:spacing w:val="-6"/>
        </w:rPr>
        <w:t xml:space="preserve"> </w:t>
      </w:r>
      <w:r>
        <w:t>Queensland</w:t>
      </w:r>
      <w:r>
        <w:rPr>
          <w:spacing w:val="-5"/>
        </w:rPr>
        <w:t xml:space="preserve"> </w:t>
      </w:r>
      <w:r>
        <w:t>Criminal</w:t>
      </w:r>
      <w:r>
        <w:rPr>
          <w:spacing w:val="-5"/>
        </w:rPr>
        <w:t xml:space="preserve"> </w:t>
      </w:r>
      <w:r>
        <w:t>Code</w:t>
      </w:r>
      <w:r>
        <w:rPr>
          <w:spacing w:val="-6"/>
        </w:rPr>
        <w:t xml:space="preserve"> </w:t>
      </w:r>
      <w:r>
        <w:t>1899,</w:t>
      </w:r>
      <w:r>
        <w:rPr>
          <w:spacing w:val="-5"/>
        </w:rPr>
        <w:t xml:space="preserve"> p20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03E7" w14:textId="1E4EC79F" w:rsidR="009F7112" w:rsidRDefault="00D42CE4" w:rsidP="004073CD">
    <w:pPr>
      <w:pStyle w:val="Header"/>
      <w:spacing w:after="480"/>
      <w:ind w:left="1560"/>
      <w:rPr>
        <w:b/>
        <w:bCs/>
        <w:sz w:val="40"/>
        <w:szCs w:val="40"/>
      </w:rPr>
    </w:pPr>
    <w:r w:rsidRPr="00D42CE4">
      <w:rPr>
        <w:b/>
        <w:bCs/>
        <w:noProof/>
        <w:color w:val="FF0000"/>
        <w:sz w:val="40"/>
        <w:szCs w:val="40"/>
        <w:lang w:eastAsia="en-AU"/>
      </w:rPr>
      <w:drawing>
        <wp:anchor distT="0" distB="0" distL="114300" distR="114300" simplePos="0" relativeHeight="251658240" behindDoc="0" locked="0" layoutInCell="1" allowOverlap="1" wp14:anchorId="5DE66E9C" wp14:editId="6D063667">
          <wp:simplePos x="0" y="0"/>
          <wp:positionH relativeFrom="margin">
            <wp:posOffset>-152400</wp:posOffset>
          </wp:positionH>
          <wp:positionV relativeFrom="paragraph">
            <wp:posOffset>-230505</wp:posOffset>
          </wp:positionV>
          <wp:extent cx="962025" cy="617220"/>
          <wp:effectExtent l="0" t="0" r="9525" b="0"/>
          <wp:wrapNone/>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617220"/>
                  </a:xfrm>
                  <a:prstGeom prst="rect">
                    <a:avLst/>
                  </a:prstGeom>
                </pic:spPr>
              </pic:pic>
            </a:graphicData>
          </a:graphic>
          <wp14:sizeRelH relativeFrom="margin">
            <wp14:pctWidth>0</wp14:pctWidth>
          </wp14:sizeRelH>
          <wp14:sizeRelV relativeFrom="margin">
            <wp14:pctHeight>0</wp14:pctHeight>
          </wp14:sizeRelV>
        </wp:anchor>
      </w:drawing>
    </w:r>
    <w:r w:rsidR="006127CF" w:rsidRPr="00D42CE4">
      <w:rPr>
        <w:rFonts w:ascii="Calibri Light" w:hAnsi="Calibri Light"/>
        <w:b/>
        <w:bCs/>
        <w:noProof/>
        <w:color w:val="FF0000"/>
        <w:sz w:val="40"/>
        <w:szCs w:val="40"/>
        <w:lang w:eastAsia="en-AU"/>
      </w:rPr>
      <mc:AlternateContent>
        <mc:Choice Requires="wps">
          <w:drawing>
            <wp:anchor distT="0" distB="0" distL="114300" distR="114300" simplePos="0" relativeHeight="251658241" behindDoc="0" locked="0" layoutInCell="1" allowOverlap="1" wp14:anchorId="4D095972" wp14:editId="226208FA">
              <wp:simplePos x="0" y="0"/>
              <wp:positionH relativeFrom="margin">
                <wp:posOffset>3049588</wp:posOffset>
              </wp:positionH>
              <wp:positionV relativeFrom="paragraph">
                <wp:posOffset>-3422333</wp:posOffset>
              </wp:positionV>
              <wp:extent cx="77470" cy="7830397"/>
              <wp:effectExtent l="0" t="9208" r="8573" b="8572"/>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458B41A7" id="Rectangle 3" o:spid="_x0000_s1026" alt="&quot;&quot;" style="position:absolute;margin-left:240.15pt;margin-top:-269.5pt;width:6.1pt;height:616.55pt;rotation:90;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" fillcolor="red" stroked="f" strokeweight="1pt">
              <w10:wrap anchorx="margin"/>
            </v:rect>
          </w:pict>
        </mc:Fallback>
      </mc:AlternateContent>
    </w:r>
    <w:r w:rsidRPr="00D42CE4">
      <w:rPr>
        <w:b/>
        <w:bCs/>
        <w:color w:val="FF0000"/>
        <w:sz w:val="40"/>
        <w:szCs w:val="40"/>
      </w:rPr>
      <w:t>Q</w:t>
    </w:r>
    <w:r w:rsidRPr="00D42CE4">
      <w:rPr>
        <w:b/>
        <w:bCs/>
        <w:sz w:val="40"/>
        <w:szCs w:val="40"/>
      </w:rPr>
      <w:t xml:space="preserve">ueensland </w:t>
    </w:r>
    <w:r w:rsidRPr="00D42CE4">
      <w:rPr>
        <w:b/>
        <w:bCs/>
        <w:color w:val="FF0000"/>
        <w:sz w:val="40"/>
        <w:szCs w:val="40"/>
      </w:rPr>
      <w:t>A</w:t>
    </w:r>
    <w:r w:rsidRPr="00D42CE4">
      <w:rPr>
        <w:b/>
        <w:bCs/>
        <w:sz w:val="40"/>
        <w:szCs w:val="40"/>
      </w:rPr>
      <w:t xml:space="preserve">dvocacy for </w:t>
    </w:r>
    <w:r w:rsidRPr="00D42CE4">
      <w:rPr>
        <w:b/>
        <w:bCs/>
        <w:color w:val="FF0000"/>
        <w:sz w:val="40"/>
        <w:szCs w:val="40"/>
      </w:rPr>
      <w:t>I</w:t>
    </w:r>
    <w:r w:rsidRPr="00D42CE4">
      <w:rPr>
        <w:b/>
        <w:bCs/>
        <w:sz w:val="40"/>
        <w:szCs w:val="40"/>
      </w:rPr>
      <w:t>nclusion</w:t>
    </w:r>
  </w:p>
  <w:p w14:paraId="1CCA036E" w14:textId="7AF1CF8F" w:rsidR="00D47DF5" w:rsidRPr="004073CD" w:rsidRDefault="00D47DF5" w:rsidP="004073CD">
    <w:pPr>
      <w:pStyle w:val="Header"/>
      <w:ind w:left="1560" w:right="-319"/>
      <w:jc w:val="right"/>
      <w:rPr>
        <w:sz w:val="28"/>
        <w:szCs w:val="28"/>
      </w:rPr>
    </w:pPr>
    <w:r w:rsidRPr="004073CD">
      <w:rPr>
        <w:sz w:val="28"/>
        <w:szCs w:val="28"/>
      </w:rPr>
      <w:t>Advocacy for people with disability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E5B6" w14:textId="7A71A71F" w:rsidR="001545DE" w:rsidRPr="001545DE" w:rsidRDefault="001545DE" w:rsidP="001545DE">
    <w:pPr>
      <w:pStyle w:val="Header"/>
    </w:pPr>
  </w:p>
  <w:p w14:paraId="1EB64785" w14:textId="77777777" w:rsidR="00BA7328" w:rsidRDefault="00BA73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A2C48"/>
    <w:multiLevelType w:val="hybridMultilevel"/>
    <w:tmpl w:val="D23027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DC40259"/>
    <w:multiLevelType w:val="hybridMultilevel"/>
    <w:tmpl w:val="82EE5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25441A"/>
    <w:multiLevelType w:val="hybridMultilevel"/>
    <w:tmpl w:val="7CF8B236"/>
    <w:lvl w:ilvl="0" w:tplc="07581BA2">
      <w:numFmt w:val="bullet"/>
      <w:lvlText w:val=""/>
      <w:lvlJc w:val="left"/>
      <w:pPr>
        <w:ind w:left="720" w:hanging="360"/>
      </w:pPr>
      <w:rPr>
        <w:rFonts w:ascii="Symbol" w:eastAsia="Times New Roman" w:hAnsi="Symbol"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408271F"/>
    <w:multiLevelType w:val="hybridMultilevel"/>
    <w:tmpl w:val="FD542490"/>
    <w:lvl w:ilvl="0" w:tplc="078E2B7A">
      <w:start w:val="1"/>
      <w:numFmt w:val="decimal"/>
      <w:lvlText w:val="%1."/>
      <w:lvlJc w:val="left"/>
      <w:pPr>
        <w:ind w:left="463" w:hanging="360"/>
      </w:pPr>
      <w:rPr>
        <w:rFonts w:ascii="Calibri" w:eastAsia="Calibri" w:hAnsi="Calibri" w:cs="Calibri" w:hint="default"/>
        <w:b w:val="0"/>
        <w:bCs w:val="0"/>
        <w:i w:val="0"/>
        <w:iCs w:val="0"/>
        <w:w w:val="100"/>
        <w:sz w:val="22"/>
        <w:szCs w:val="22"/>
        <w:lang w:val="en-US" w:eastAsia="en-US" w:bidi="ar-SA"/>
      </w:rPr>
    </w:lvl>
    <w:lvl w:ilvl="1" w:tplc="2FC032C8">
      <w:numFmt w:val="bullet"/>
      <w:lvlText w:val="•"/>
      <w:lvlJc w:val="left"/>
      <w:pPr>
        <w:ind w:left="1386" w:hanging="360"/>
      </w:pPr>
      <w:rPr>
        <w:rFonts w:hint="default"/>
        <w:lang w:val="en-US" w:eastAsia="en-US" w:bidi="ar-SA"/>
      </w:rPr>
    </w:lvl>
    <w:lvl w:ilvl="2" w:tplc="9B768B06">
      <w:numFmt w:val="bullet"/>
      <w:lvlText w:val="•"/>
      <w:lvlJc w:val="left"/>
      <w:pPr>
        <w:ind w:left="2312" w:hanging="360"/>
      </w:pPr>
      <w:rPr>
        <w:rFonts w:hint="default"/>
        <w:lang w:val="en-US" w:eastAsia="en-US" w:bidi="ar-SA"/>
      </w:rPr>
    </w:lvl>
    <w:lvl w:ilvl="3" w:tplc="F028DC82">
      <w:numFmt w:val="bullet"/>
      <w:lvlText w:val="•"/>
      <w:lvlJc w:val="left"/>
      <w:pPr>
        <w:ind w:left="3238" w:hanging="360"/>
      </w:pPr>
      <w:rPr>
        <w:rFonts w:hint="default"/>
        <w:lang w:val="en-US" w:eastAsia="en-US" w:bidi="ar-SA"/>
      </w:rPr>
    </w:lvl>
    <w:lvl w:ilvl="4" w:tplc="0CCC6234">
      <w:numFmt w:val="bullet"/>
      <w:lvlText w:val="•"/>
      <w:lvlJc w:val="left"/>
      <w:pPr>
        <w:ind w:left="4164" w:hanging="360"/>
      </w:pPr>
      <w:rPr>
        <w:rFonts w:hint="default"/>
        <w:lang w:val="en-US" w:eastAsia="en-US" w:bidi="ar-SA"/>
      </w:rPr>
    </w:lvl>
    <w:lvl w:ilvl="5" w:tplc="F8603668">
      <w:numFmt w:val="bullet"/>
      <w:lvlText w:val="•"/>
      <w:lvlJc w:val="left"/>
      <w:pPr>
        <w:ind w:left="5091" w:hanging="360"/>
      </w:pPr>
      <w:rPr>
        <w:rFonts w:hint="default"/>
        <w:lang w:val="en-US" w:eastAsia="en-US" w:bidi="ar-SA"/>
      </w:rPr>
    </w:lvl>
    <w:lvl w:ilvl="6" w:tplc="89A89190">
      <w:numFmt w:val="bullet"/>
      <w:lvlText w:val="•"/>
      <w:lvlJc w:val="left"/>
      <w:pPr>
        <w:ind w:left="6017" w:hanging="360"/>
      </w:pPr>
      <w:rPr>
        <w:rFonts w:hint="default"/>
        <w:lang w:val="en-US" w:eastAsia="en-US" w:bidi="ar-SA"/>
      </w:rPr>
    </w:lvl>
    <w:lvl w:ilvl="7" w:tplc="BA0295EE">
      <w:numFmt w:val="bullet"/>
      <w:lvlText w:val="•"/>
      <w:lvlJc w:val="left"/>
      <w:pPr>
        <w:ind w:left="6943" w:hanging="360"/>
      </w:pPr>
      <w:rPr>
        <w:rFonts w:hint="default"/>
        <w:lang w:val="en-US" w:eastAsia="en-US" w:bidi="ar-SA"/>
      </w:rPr>
    </w:lvl>
    <w:lvl w:ilvl="8" w:tplc="672C7C8E">
      <w:numFmt w:val="bullet"/>
      <w:lvlText w:val="•"/>
      <w:lvlJc w:val="left"/>
      <w:pPr>
        <w:ind w:left="7869" w:hanging="360"/>
      </w:pPr>
      <w:rPr>
        <w:rFonts w:hint="default"/>
        <w:lang w:val="en-US" w:eastAsia="en-US" w:bidi="ar-SA"/>
      </w:rPr>
    </w:lvl>
  </w:abstractNum>
  <w:num w:numId="1" w16cid:durableId="1324161966">
    <w:abstractNumId w:val="0"/>
  </w:num>
  <w:num w:numId="2" w16cid:durableId="1310745365">
    <w:abstractNumId w:val="2"/>
  </w:num>
  <w:num w:numId="3" w16cid:durableId="338043484">
    <w:abstractNumId w:val="1"/>
  </w:num>
  <w:num w:numId="4" w16cid:durableId="14737190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68"/>
    <w:rsid w:val="00020B2F"/>
    <w:rsid w:val="000376A1"/>
    <w:rsid w:val="00041F71"/>
    <w:rsid w:val="00046CCE"/>
    <w:rsid w:val="00054CD7"/>
    <w:rsid w:val="00055106"/>
    <w:rsid w:val="00064B61"/>
    <w:rsid w:val="00073C84"/>
    <w:rsid w:val="00085FBB"/>
    <w:rsid w:val="00092731"/>
    <w:rsid w:val="000935BD"/>
    <w:rsid w:val="000A026F"/>
    <w:rsid w:val="000A13DF"/>
    <w:rsid w:val="000A1ABB"/>
    <w:rsid w:val="000A58E0"/>
    <w:rsid w:val="000B27DB"/>
    <w:rsid w:val="000B6729"/>
    <w:rsid w:val="000C455E"/>
    <w:rsid w:val="000C477C"/>
    <w:rsid w:val="000C7077"/>
    <w:rsid w:val="000E718F"/>
    <w:rsid w:val="000F5B23"/>
    <w:rsid w:val="00102475"/>
    <w:rsid w:val="001157F0"/>
    <w:rsid w:val="0012194A"/>
    <w:rsid w:val="00126D2A"/>
    <w:rsid w:val="00141FF6"/>
    <w:rsid w:val="00150AB6"/>
    <w:rsid w:val="00151EB8"/>
    <w:rsid w:val="001545DE"/>
    <w:rsid w:val="0016252D"/>
    <w:rsid w:val="0016444A"/>
    <w:rsid w:val="00170AEB"/>
    <w:rsid w:val="00171E4B"/>
    <w:rsid w:val="001902DE"/>
    <w:rsid w:val="00191BAC"/>
    <w:rsid w:val="00194A98"/>
    <w:rsid w:val="00196D44"/>
    <w:rsid w:val="001A60FA"/>
    <w:rsid w:val="001B0703"/>
    <w:rsid w:val="001B1988"/>
    <w:rsid w:val="001C0893"/>
    <w:rsid w:val="001D6DAE"/>
    <w:rsid w:val="002005D2"/>
    <w:rsid w:val="002006C3"/>
    <w:rsid w:val="00203C6E"/>
    <w:rsid w:val="00210912"/>
    <w:rsid w:val="00210FA9"/>
    <w:rsid w:val="00223A05"/>
    <w:rsid w:val="002261C5"/>
    <w:rsid w:val="00235EDB"/>
    <w:rsid w:val="00254260"/>
    <w:rsid w:val="00254AA6"/>
    <w:rsid w:val="00261367"/>
    <w:rsid w:val="002637B3"/>
    <w:rsid w:val="00272397"/>
    <w:rsid w:val="00273DFE"/>
    <w:rsid w:val="002809CD"/>
    <w:rsid w:val="00283719"/>
    <w:rsid w:val="00284F90"/>
    <w:rsid w:val="0028652D"/>
    <w:rsid w:val="002932D6"/>
    <w:rsid w:val="0029342C"/>
    <w:rsid w:val="002A1295"/>
    <w:rsid w:val="002A4F65"/>
    <w:rsid w:val="002B6F50"/>
    <w:rsid w:val="002C1899"/>
    <w:rsid w:val="002C2464"/>
    <w:rsid w:val="002C79C9"/>
    <w:rsid w:val="002D2A45"/>
    <w:rsid w:val="002E4428"/>
    <w:rsid w:val="002F2614"/>
    <w:rsid w:val="00310C02"/>
    <w:rsid w:val="0033488A"/>
    <w:rsid w:val="0034315B"/>
    <w:rsid w:val="00350B5F"/>
    <w:rsid w:val="00355920"/>
    <w:rsid w:val="00356EFC"/>
    <w:rsid w:val="0036108F"/>
    <w:rsid w:val="00361E52"/>
    <w:rsid w:val="00361F25"/>
    <w:rsid w:val="00363E8D"/>
    <w:rsid w:val="00377559"/>
    <w:rsid w:val="00385A11"/>
    <w:rsid w:val="00393CFF"/>
    <w:rsid w:val="003A1758"/>
    <w:rsid w:val="003A3C97"/>
    <w:rsid w:val="003A51D7"/>
    <w:rsid w:val="003A5375"/>
    <w:rsid w:val="003C551B"/>
    <w:rsid w:val="003E0A08"/>
    <w:rsid w:val="003E0C8B"/>
    <w:rsid w:val="003E3629"/>
    <w:rsid w:val="003E5FE3"/>
    <w:rsid w:val="003E7085"/>
    <w:rsid w:val="003F7909"/>
    <w:rsid w:val="00402A8D"/>
    <w:rsid w:val="004073CD"/>
    <w:rsid w:val="0042716F"/>
    <w:rsid w:val="0043085C"/>
    <w:rsid w:val="0043197F"/>
    <w:rsid w:val="00441E4C"/>
    <w:rsid w:val="004446EA"/>
    <w:rsid w:val="004447CA"/>
    <w:rsid w:val="00453143"/>
    <w:rsid w:val="004533D8"/>
    <w:rsid w:val="00464FED"/>
    <w:rsid w:val="00466437"/>
    <w:rsid w:val="004676FA"/>
    <w:rsid w:val="00472F1B"/>
    <w:rsid w:val="00474A3E"/>
    <w:rsid w:val="00475827"/>
    <w:rsid w:val="0048402E"/>
    <w:rsid w:val="00493AA9"/>
    <w:rsid w:val="00494734"/>
    <w:rsid w:val="004A05CE"/>
    <w:rsid w:val="004B62FC"/>
    <w:rsid w:val="004C3AD6"/>
    <w:rsid w:val="004C7DD0"/>
    <w:rsid w:val="004F010C"/>
    <w:rsid w:val="004F0FB6"/>
    <w:rsid w:val="004F0FE8"/>
    <w:rsid w:val="004F2213"/>
    <w:rsid w:val="00517BC4"/>
    <w:rsid w:val="005356CD"/>
    <w:rsid w:val="00535B43"/>
    <w:rsid w:val="005447F6"/>
    <w:rsid w:val="00547144"/>
    <w:rsid w:val="00552C40"/>
    <w:rsid w:val="00553D17"/>
    <w:rsid w:val="005552A7"/>
    <w:rsid w:val="00561A03"/>
    <w:rsid w:val="005853BC"/>
    <w:rsid w:val="00586AA3"/>
    <w:rsid w:val="00586F53"/>
    <w:rsid w:val="005928E7"/>
    <w:rsid w:val="0059490A"/>
    <w:rsid w:val="005A6B63"/>
    <w:rsid w:val="005B6F95"/>
    <w:rsid w:val="005D0610"/>
    <w:rsid w:val="005E3C02"/>
    <w:rsid w:val="005F12CD"/>
    <w:rsid w:val="005F14AA"/>
    <w:rsid w:val="005F2FC3"/>
    <w:rsid w:val="005F61C9"/>
    <w:rsid w:val="005F6B3A"/>
    <w:rsid w:val="00600089"/>
    <w:rsid w:val="0060014C"/>
    <w:rsid w:val="006022DF"/>
    <w:rsid w:val="00604B5E"/>
    <w:rsid w:val="00610F31"/>
    <w:rsid w:val="006127CF"/>
    <w:rsid w:val="00614153"/>
    <w:rsid w:val="00615FCC"/>
    <w:rsid w:val="00620E9D"/>
    <w:rsid w:val="00622BF2"/>
    <w:rsid w:val="00631B09"/>
    <w:rsid w:val="00633AC9"/>
    <w:rsid w:val="00635878"/>
    <w:rsid w:val="0063669C"/>
    <w:rsid w:val="00636F57"/>
    <w:rsid w:val="00637C69"/>
    <w:rsid w:val="0065186F"/>
    <w:rsid w:val="00656BCF"/>
    <w:rsid w:val="00660D41"/>
    <w:rsid w:val="00670D6D"/>
    <w:rsid w:val="0068432D"/>
    <w:rsid w:val="00684D27"/>
    <w:rsid w:val="00694350"/>
    <w:rsid w:val="006959A1"/>
    <w:rsid w:val="00696E53"/>
    <w:rsid w:val="006A1393"/>
    <w:rsid w:val="006B34BC"/>
    <w:rsid w:val="006B41EA"/>
    <w:rsid w:val="006B5556"/>
    <w:rsid w:val="006B7A28"/>
    <w:rsid w:val="006C08C8"/>
    <w:rsid w:val="006D1078"/>
    <w:rsid w:val="006D1BC8"/>
    <w:rsid w:val="006E5B37"/>
    <w:rsid w:val="006F0862"/>
    <w:rsid w:val="006F1FA2"/>
    <w:rsid w:val="006F6F74"/>
    <w:rsid w:val="00700578"/>
    <w:rsid w:val="00704422"/>
    <w:rsid w:val="00714D38"/>
    <w:rsid w:val="007173E3"/>
    <w:rsid w:val="0072555F"/>
    <w:rsid w:val="0072795C"/>
    <w:rsid w:val="00734123"/>
    <w:rsid w:val="0073422C"/>
    <w:rsid w:val="007345E8"/>
    <w:rsid w:val="00735296"/>
    <w:rsid w:val="0074150F"/>
    <w:rsid w:val="00745E3A"/>
    <w:rsid w:val="00747033"/>
    <w:rsid w:val="007534D1"/>
    <w:rsid w:val="00753503"/>
    <w:rsid w:val="00766B69"/>
    <w:rsid w:val="00771DC8"/>
    <w:rsid w:val="007740A1"/>
    <w:rsid w:val="00776462"/>
    <w:rsid w:val="0079487A"/>
    <w:rsid w:val="00796FEE"/>
    <w:rsid w:val="007A3268"/>
    <w:rsid w:val="007A4093"/>
    <w:rsid w:val="007A56AB"/>
    <w:rsid w:val="007B17FC"/>
    <w:rsid w:val="007C2A9E"/>
    <w:rsid w:val="007C44B4"/>
    <w:rsid w:val="007C6C5A"/>
    <w:rsid w:val="007D7192"/>
    <w:rsid w:val="007E53D7"/>
    <w:rsid w:val="007F4113"/>
    <w:rsid w:val="00805101"/>
    <w:rsid w:val="008257B0"/>
    <w:rsid w:val="008326C9"/>
    <w:rsid w:val="00843261"/>
    <w:rsid w:val="0085299D"/>
    <w:rsid w:val="00857040"/>
    <w:rsid w:val="00864664"/>
    <w:rsid w:val="00870208"/>
    <w:rsid w:val="00877634"/>
    <w:rsid w:val="00881047"/>
    <w:rsid w:val="00884879"/>
    <w:rsid w:val="00887366"/>
    <w:rsid w:val="00887DDC"/>
    <w:rsid w:val="00891C21"/>
    <w:rsid w:val="008944EF"/>
    <w:rsid w:val="008962B6"/>
    <w:rsid w:val="008A0E6C"/>
    <w:rsid w:val="008A630B"/>
    <w:rsid w:val="008B0B67"/>
    <w:rsid w:val="008B7858"/>
    <w:rsid w:val="008C19D8"/>
    <w:rsid w:val="008C46A1"/>
    <w:rsid w:val="008C75EC"/>
    <w:rsid w:val="008D0F66"/>
    <w:rsid w:val="008E3E1C"/>
    <w:rsid w:val="008E5536"/>
    <w:rsid w:val="008F3406"/>
    <w:rsid w:val="00903899"/>
    <w:rsid w:val="009116FD"/>
    <w:rsid w:val="00917A5B"/>
    <w:rsid w:val="00932309"/>
    <w:rsid w:val="00933190"/>
    <w:rsid w:val="00937CEA"/>
    <w:rsid w:val="00944972"/>
    <w:rsid w:val="00962B4E"/>
    <w:rsid w:val="00964A60"/>
    <w:rsid w:val="00980B4D"/>
    <w:rsid w:val="009851C2"/>
    <w:rsid w:val="00985E02"/>
    <w:rsid w:val="00986B8A"/>
    <w:rsid w:val="00986F50"/>
    <w:rsid w:val="00990CCA"/>
    <w:rsid w:val="009A6322"/>
    <w:rsid w:val="009B5C62"/>
    <w:rsid w:val="009B6F0F"/>
    <w:rsid w:val="009C07E0"/>
    <w:rsid w:val="009C1D8D"/>
    <w:rsid w:val="009D0259"/>
    <w:rsid w:val="009D53B0"/>
    <w:rsid w:val="009E0A03"/>
    <w:rsid w:val="009E6681"/>
    <w:rsid w:val="009F2B21"/>
    <w:rsid w:val="009F7112"/>
    <w:rsid w:val="00A05583"/>
    <w:rsid w:val="00A10916"/>
    <w:rsid w:val="00A14748"/>
    <w:rsid w:val="00A21C47"/>
    <w:rsid w:val="00A21E6D"/>
    <w:rsid w:val="00A314D7"/>
    <w:rsid w:val="00A318AD"/>
    <w:rsid w:val="00A41866"/>
    <w:rsid w:val="00A42789"/>
    <w:rsid w:val="00A45FE2"/>
    <w:rsid w:val="00A736AE"/>
    <w:rsid w:val="00A74E63"/>
    <w:rsid w:val="00A75ABD"/>
    <w:rsid w:val="00A849F9"/>
    <w:rsid w:val="00A92035"/>
    <w:rsid w:val="00A9361C"/>
    <w:rsid w:val="00AA7C9E"/>
    <w:rsid w:val="00AB34B1"/>
    <w:rsid w:val="00AB37D3"/>
    <w:rsid w:val="00AB476C"/>
    <w:rsid w:val="00AC357C"/>
    <w:rsid w:val="00AC4087"/>
    <w:rsid w:val="00AD2CFC"/>
    <w:rsid w:val="00AE12F8"/>
    <w:rsid w:val="00AE302D"/>
    <w:rsid w:val="00AF61AA"/>
    <w:rsid w:val="00AF6D64"/>
    <w:rsid w:val="00B01121"/>
    <w:rsid w:val="00B031AD"/>
    <w:rsid w:val="00B11BE4"/>
    <w:rsid w:val="00B14CF6"/>
    <w:rsid w:val="00B2129D"/>
    <w:rsid w:val="00B21763"/>
    <w:rsid w:val="00B32DDD"/>
    <w:rsid w:val="00B347B6"/>
    <w:rsid w:val="00B520FE"/>
    <w:rsid w:val="00B52F83"/>
    <w:rsid w:val="00B53873"/>
    <w:rsid w:val="00B54A65"/>
    <w:rsid w:val="00B66E9D"/>
    <w:rsid w:val="00B75D0E"/>
    <w:rsid w:val="00B8003A"/>
    <w:rsid w:val="00B84545"/>
    <w:rsid w:val="00B86E85"/>
    <w:rsid w:val="00B9081E"/>
    <w:rsid w:val="00B9234B"/>
    <w:rsid w:val="00BA377C"/>
    <w:rsid w:val="00BA7328"/>
    <w:rsid w:val="00BB248B"/>
    <w:rsid w:val="00BB7502"/>
    <w:rsid w:val="00BC052A"/>
    <w:rsid w:val="00BC1C68"/>
    <w:rsid w:val="00BC2C68"/>
    <w:rsid w:val="00BC7844"/>
    <w:rsid w:val="00BD2671"/>
    <w:rsid w:val="00BE23BF"/>
    <w:rsid w:val="00BE776E"/>
    <w:rsid w:val="00C031C4"/>
    <w:rsid w:val="00C11A0F"/>
    <w:rsid w:val="00C12F3E"/>
    <w:rsid w:val="00C220EF"/>
    <w:rsid w:val="00C25473"/>
    <w:rsid w:val="00C27C3B"/>
    <w:rsid w:val="00C31BBA"/>
    <w:rsid w:val="00C32FA0"/>
    <w:rsid w:val="00C36EF3"/>
    <w:rsid w:val="00C37FC4"/>
    <w:rsid w:val="00C41BEE"/>
    <w:rsid w:val="00C45A5B"/>
    <w:rsid w:val="00C5365E"/>
    <w:rsid w:val="00C54842"/>
    <w:rsid w:val="00C561F6"/>
    <w:rsid w:val="00C76AEB"/>
    <w:rsid w:val="00C85903"/>
    <w:rsid w:val="00C9714F"/>
    <w:rsid w:val="00CA1152"/>
    <w:rsid w:val="00CA3ADC"/>
    <w:rsid w:val="00CB3195"/>
    <w:rsid w:val="00CD5D6C"/>
    <w:rsid w:val="00CF1A02"/>
    <w:rsid w:val="00D04643"/>
    <w:rsid w:val="00D11F3F"/>
    <w:rsid w:val="00D14303"/>
    <w:rsid w:val="00D2119F"/>
    <w:rsid w:val="00D25E18"/>
    <w:rsid w:val="00D26144"/>
    <w:rsid w:val="00D3274B"/>
    <w:rsid w:val="00D424CF"/>
    <w:rsid w:val="00D42CE4"/>
    <w:rsid w:val="00D47DF5"/>
    <w:rsid w:val="00D51B9A"/>
    <w:rsid w:val="00D73A4C"/>
    <w:rsid w:val="00D73C85"/>
    <w:rsid w:val="00D77907"/>
    <w:rsid w:val="00D8566A"/>
    <w:rsid w:val="00D91FC1"/>
    <w:rsid w:val="00D949EF"/>
    <w:rsid w:val="00D96C2A"/>
    <w:rsid w:val="00DB2A83"/>
    <w:rsid w:val="00DB3018"/>
    <w:rsid w:val="00DB3E2D"/>
    <w:rsid w:val="00DC0209"/>
    <w:rsid w:val="00DC499F"/>
    <w:rsid w:val="00DD11F2"/>
    <w:rsid w:val="00DD56D1"/>
    <w:rsid w:val="00DD7EB9"/>
    <w:rsid w:val="00DE00CB"/>
    <w:rsid w:val="00DE1978"/>
    <w:rsid w:val="00DF1AB0"/>
    <w:rsid w:val="00DF275F"/>
    <w:rsid w:val="00DF4739"/>
    <w:rsid w:val="00DF5AB6"/>
    <w:rsid w:val="00E23DBF"/>
    <w:rsid w:val="00E24629"/>
    <w:rsid w:val="00E24670"/>
    <w:rsid w:val="00E33382"/>
    <w:rsid w:val="00E33694"/>
    <w:rsid w:val="00E4038B"/>
    <w:rsid w:val="00E5182C"/>
    <w:rsid w:val="00E56FF9"/>
    <w:rsid w:val="00E5774A"/>
    <w:rsid w:val="00E57D31"/>
    <w:rsid w:val="00E61345"/>
    <w:rsid w:val="00E626C3"/>
    <w:rsid w:val="00E66D84"/>
    <w:rsid w:val="00E71BC7"/>
    <w:rsid w:val="00E7648C"/>
    <w:rsid w:val="00E8197C"/>
    <w:rsid w:val="00E858E6"/>
    <w:rsid w:val="00E859F6"/>
    <w:rsid w:val="00E91293"/>
    <w:rsid w:val="00E927A1"/>
    <w:rsid w:val="00E92D67"/>
    <w:rsid w:val="00EA5290"/>
    <w:rsid w:val="00EA6FF3"/>
    <w:rsid w:val="00EA73EC"/>
    <w:rsid w:val="00EB03E4"/>
    <w:rsid w:val="00EB1D91"/>
    <w:rsid w:val="00EC3CD0"/>
    <w:rsid w:val="00EC73BF"/>
    <w:rsid w:val="00ED6678"/>
    <w:rsid w:val="00EF227F"/>
    <w:rsid w:val="00EF4028"/>
    <w:rsid w:val="00F03813"/>
    <w:rsid w:val="00F06821"/>
    <w:rsid w:val="00F13521"/>
    <w:rsid w:val="00F158E0"/>
    <w:rsid w:val="00F336C6"/>
    <w:rsid w:val="00F41DDD"/>
    <w:rsid w:val="00F51D38"/>
    <w:rsid w:val="00F535D9"/>
    <w:rsid w:val="00F57329"/>
    <w:rsid w:val="00F63545"/>
    <w:rsid w:val="00F76C98"/>
    <w:rsid w:val="00F85013"/>
    <w:rsid w:val="00F912B6"/>
    <w:rsid w:val="00F91B19"/>
    <w:rsid w:val="00F934EB"/>
    <w:rsid w:val="00FA263F"/>
    <w:rsid w:val="00FA27BC"/>
    <w:rsid w:val="00FB538C"/>
    <w:rsid w:val="00FB63A6"/>
    <w:rsid w:val="00FC3643"/>
    <w:rsid w:val="00FC565E"/>
    <w:rsid w:val="00FC6AE2"/>
    <w:rsid w:val="00FE0537"/>
    <w:rsid w:val="00FE1750"/>
    <w:rsid w:val="00FF26ED"/>
    <w:rsid w:val="00FF2CEE"/>
    <w:rsid w:val="0262D6C5"/>
    <w:rsid w:val="0E10D46B"/>
    <w:rsid w:val="0F131E7F"/>
    <w:rsid w:val="132B641C"/>
    <w:rsid w:val="194F23F8"/>
    <w:rsid w:val="1AD76398"/>
    <w:rsid w:val="1AFA847E"/>
    <w:rsid w:val="1B8A2A76"/>
    <w:rsid w:val="20A0C12F"/>
    <w:rsid w:val="2BFCD691"/>
    <w:rsid w:val="325F15C5"/>
    <w:rsid w:val="3674CAC3"/>
    <w:rsid w:val="36C41C45"/>
    <w:rsid w:val="374E6579"/>
    <w:rsid w:val="44B28D0D"/>
    <w:rsid w:val="458CAE69"/>
    <w:rsid w:val="47FB5BDA"/>
    <w:rsid w:val="47FC6221"/>
    <w:rsid w:val="5026246C"/>
    <w:rsid w:val="56AA2031"/>
    <w:rsid w:val="5AA112F8"/>
    <w:rsid w:val="5B32CCE1"/>
    <w:rsid w:val="5CA6768A"/>
    <w:rsid w:val="6AC59EB5"/>
    <w:rsid w:val="72E98A91"/>
    <w:rsid w:val="756093A3"/>
    <w:rsid w:val="7F83C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9FC01"/>
  <w15:docId w15:val="{1A0BC459-BE50-4787-9158-D6FF3A25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6C3"/>
    <w:pPr>
      <w:tabs>
        <w:tab w:val="left" w:pos="288"/>
      </w:tabs>
      <w:spacing w:after="120" w:line="240" w:lineRule="auto"/>
    </w:pPr>
    <w:rPr>
      <w:rFonts w:eastAsiaTheme="minorEastAsia" w:cs="Times New Roman"/>
      <w:sz w:val="24"/>
      <w:szCs w:val="24"/>
      <w:lang w:eastAsia="ja-JP"/>
    </w:rPr>
  </w:style>
  <w:style w:type="paragraph" w:styleId="Heading1">
    <w:name w:val="heading 1"/>
    <w:basedOn w:val="Normal"/>
    <w:next w:val="Normal"/>
    <w:link w:val="Heading1Char"/>
    <w:uiPriority w:val="9"/>
    <w:qFormat/>
    <w:rsid w:val="001545DE"/>
    <w:pPr>
      <w:keepNext/>
      <w:keepLines/>
      <w:tabs>
        <w:tab w:val="clear" w:pos="288"/>
      </w:tabs>
      <w:outlineLvl w:val="0"/>
    </w:pPr>
    <w:rPr>
      <w:rFonts w:eastAsia="Times New Roman"/>
      <w:b/>
      <w:bCs/>
      <w:sz w:val="32"/>
      <w:szCs w:val="28"/>
      <w:lang w:eastAsia="en-US"/>
    </w:rPr>
  </w:style>
  <w:style w:type="paragraph" w:styleId="Heading2">
    <w:name w:val="heading 2"/>
    <w:basedOn w:val="Normal"/>
    <w:next w:val="Normal"/>
    <w:link w:val="Heading2Char"/>
    <w:uiPriority w:val="9"/>
    <w:semiHidden/>
    <w:unhideWhenUsed/>
    <w:qFormat/>
    <w:rsid w:val="001545DE"/>
    <w:pPr>
      <w:keepNext/>
      <w:keepLines/>
      <w:ind w:left="288"/>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68"/>
    <w:pPr>
      <w:tabs>
        <w:tab w:val="center" w:pos="4513"/>
        <w:tab w:val="right" w:pos="9026"/>
      </w:tabs>
    </w:pPr>
  </w:style>
  <w:style w:type="character" w:customStyle="1" w:styleId="HeaderChar">
    <w:name w:val="Header Char"/>
    <w:basedOn w:val="DefaultParagraphFont"/>
    <w:link w:val="Header"/>
    <w:uiPriority w:val="99"/>
    <w:rsid w:val="007A3268"/>
    <w:rPr>
      <w:rFonts w:ascii="Helvetica Neue Light" w:eastAsiaTheme="minorEastAsia" w:hAnsi="Helvetica Neue Light" w:cs="Times New Roman"/>
      <w:sz w:val="20"/>
      <w:szCs w:val="24"/>
      <w:lang w:eastAsia="ja-JP"/>
    </w:rPr>
  </w:style>
  <w:style w:type="paragraph" w:styleId="Footer">
    <w:name w:val="footer"/>
    <w:basedOn w:val="Normal"/>
    <w:link w:val="FooterChar"/>
    <w:uiPriority w:val="99"/>
    <w:unhideWhenUsed/>
    <w:rsid w:val="007A3268"/>
    <w:pPr>
      <w:tabs>
        <w:tab w:val="center" w:pos="4513"/>
        <w:tab w:val="right" w:pos="9026"/>
      </w:tabs>
    </w:pPr>
  </w:style>
  <w:style w:type="character" w:customStyle="1" w:styleId="FooterChar">
    <w:name w:val="Footer Char"/>
    <w:basedOn w:val="DefaultParagraphFont"/>
    <w:link w:val="Footer"/>
    <w:uiPriority w:val="99"/>
    <w:rsid w:val="007A3268"/>
    <w:rPr>
      <w:rFonts w:ascii="Helvetica Neue Light" w:eastAsiaTheme="minorEastAsia" w:hAnsi="Helvetica Neue Light" w:cs="Times New Roman"/>
      <w:sz w:val="20"/>
      <w:szCs w:val="24"/>
      <w:lang w:eastAsia="ja-JP"/>
    </w:rPr>
  </w:style>
  <w:style w:type="character" w:styleId="PageNumber">
    <w:name w:val="page number"/>
    <w:basedOn w:val="DefaultParagraphFont"/>
    <w:uiPriority w:val="99"/>
    <w:semiHidden/>
    <w:unhideWhenUsed/>
    <w:rsid w:val="007A3268"/>
  </w:style>
  <w:style w:type="paragraph" w:styleId="BalloonText">
    <w:name w:val="Balloon Text"/>
    <w:basedOn w:val="Normal"/>
    <w:link w:val="BalloonTextChar"/>
    <w:uiPriority w:val="99"/>
    <w:semiHidden/>
    <w:unhideWhenUsed/>
    <w:rsid w:val="00656BCF"/>
    <w:rPr>
      <w:rFonts w:ascii="Tahoma" w:hAnsi="Tahoma" w:cs="Tahoma"/>
      <w:sz w:val="16"/>
      <w:szCs w:val="16"/>
    </w:rPr>
  </w:style>
  <w:style w:type="character" w:customStyle="1" w:styleId="BalloonTextChar">
    <w:name w:val="Balloon Text Char"/>
    <w:basedOn w:val="DefaultParagraphFont"/>
    <w:link w:val="BalloonText"/>
    <w:uiPriority w:val="99"/>
    <w:semiHidden/>
    <w:rsid w:val="00656BCF"/>
    <w:rPr>
      <w:rFonts w:ascii="Tahoma" w:eastAsiaTheme="minorEastAsia" w:hAnsi="Tahoma" w:cs="Tahoma"/>
      <w:sz w:val="16"/>
      <w:szCs w:val="16"/>
      <w:lang w:eastAsia="ja-JP"/>
    </w:rPr>
  </w:style>
  <w:style w:type="character" w:customStyle="1" w:styleId="Heading1Char">
    <w:name w:val="Heading 1 Char"/>
    <w:basedOn w:val="DefaultParagraphFont"/>
    <w:link w:val="Heading1"/>
    <w:uiPriority w:val="9"/>
    <w:rsid w:val="001545DE"/>
    <w:rPr>
      <w:rFonts w:eastAsia="Times New Roman" w:cs="Times New Roman"/>
      <w:b/>
      <w:bCs/>
      <w:sz w:val="32"/>
      <w:szCs w:val="28"/>
    </w:rPr>
  </w:style>
  <w:style w:type="paragraph" w:customStyle="1" w:styleId="paragraph">
    <w:name w:val="paragraph"/>
    <w:basedOn w:val="Normal"/>
    <w:rsid w:val="008C19D8"/>
    <w:pPr>
      <w:tabs>
        <w:tab w:val="clear" w:pos="288"/>
      </w:tabs>
      <w:spacing w:before="100" w:beforeAutospacing="1" w:after="100" w:afterAutospacing="1"/>
    </w:pPr>
    <w:rPr>
      <w:rFonts w:ascii="Times New Roman" w:eastAsia="Times New Roman" w:hAnsi="Times New Roman"/>
      <w:lang w:eastAsia="en-AU"/>
    </w:rPr>
  </w:style>
  <w:style w:type="character" w:styleId="BookTitle">
    <w:name w:val="Book Title"/>
    <w:basedOn w:val="DefaultParagraphFont"/>
    <w:uiPriority w:val="33"/>
    <w:qFormat/>
    <w:rsid w:val="00054CD7"/>
    <w:rPr>
      <w:rFonts w:asciiTheme="minorHAnsi" w:hAnsiTheme="minorHAnsi"/>
      <w:b/>
      <w:bCs/>
      <w:i w:val="0"/>
      <w:iCs/>
      <w:color w:val="808080" w:themeColor="background1" w:themeShade="80"/>
      <w:spacing w:val="5"/>
      <w:sz w:val="52"/>
    </w:rPr>
  </w:style>
  <w:style w:type="character" w:customStyle="1" w:styleId="normaltextrun">
    <w:name w:val="normaltextrun"/>
    <w:basedOn w:val="DefaultParagraphFont"/>
    <w:rsid w:val="00151EB8"/>
  </w:style>
  <w:style w:type="character" w:customStyle="1" w:styleId="eop">
    <w:name w:val="eop"/>
    <w:basedOn w:val="DefaultParagraphFont"/>
    <w:rsid w:val="00151EB8"/>
  </w:style>
  <w:style w:type="paragraph" w:styleId="ListParagraph">
    <w:name w:val="List Paragraph"/>
    <w:basedOn w:val="Normal"/>
    <w:uiPriority w:val="34"/>
    <w:qFormat/>
    <w:rsid w:val="00561A03"/>
    <w:pPr>
      <w:ind w:left="720"/>
      <w:contextualSpacing/>
    </w:pPr>
  </w:style>
  <w:style w:type="paragraph" w:styleId="NoSpacing">
    <w:name w:val="No Spacing"/>
    <w:uiPriority w:val="1"/>
    <w:qFormat/>
    <w:rsid w:val="002006C3"/>
    <w:pPr>
      <w:tabs>
        <w:tab w:val="left" w:pos="288"/>
      </w:tabs>
      <w:spacing w:after="0" w:line="240" w:lineRule="auto"/>
    </w:pPr>
    <w:rPr>
      <w:rFonts w:eastAsiaTheme="minorEastAsia" w:cs="Times New Roman"/>
      <w:sz w:val="24"/>
      <w:szCs w:val="24"/>
      <w:lang w:eastAsia="ja-JP"/>
    </w:rPr>
  </w:style>
  <w:style w:type="character" w:customStyle="1" w:styleId="Heading2Char">
    <w:name w:val="Heading 2 Char"/>
    <w:basedOn w:val="DefaultParagraphFont"/>
    <w:link w:val="Heading2"/>
    <w:uiPriority w:val="9"/>
    <w:semiHidden/>
    <w:rsid w:val="001545DE"/>
    <w:rPr>
      <w:rFonts w:asciiTheme="majorHAnsi" w:eastAsiaTheme="majorEastAsia" w:hAnsiTheme="majorHAnsi" w:cstheme="majorBidi"/>
      <w:b/>
      <w:sz w:val="28"/>
      <w:szCs w:val="26"/>
      <w:lang w:eastAsia="ja-JP"/>
    </w:rPr>
  </w:style>
  <w:style w:type="paragraph" w:styleId="Title">
    <w:name w:val="Title"/>
    <w:basedOn w:val="Normal"/>
    <w:next w:val="Normal"/>
    <w:link w:val="TitleChar"/>
    <w:uiPriority w:val="10"/>
    <w:qFormat/>
    <w:rsid w:val="002006C3"/>
    <w:pPr>
      <w:contextualSpacing/>
    </w:pPr>
    <w:rPr>
      <w:rFonts w:ascii="Calibri" w:eastAsiaTheme="majorEastAsia" w:hAnsi="Calibri" w:cstheme="majorBidi"/>
      <w:spacing w:val="-10"/>
      <w:kern w:val="28"/>
      <w:sz w:val="40"/>
      <w:szCs w:val="56"/>
    </w:rPr>
  </w:style>
  <w:style w:type="character" w:customStyle="1" w:styleId="TitleChar">
    <w:name w:val="Title Char"/>
    <w:basedOn w:val="DefaultParagraphFont"/>
    <w:link w:val="Title"/>
    <w:uiPriority w:val="10"/>
    <w:rsid w:val="002006C3"/>
    <w:rPr>
      <w:rFonts w:ascii="Calibri" w:eastAsiaTheme="majorEastAsia" w:hAnsi="Calibri" w:cstheme="majorBidi"/>
      <w:spacing w:val="-10"/>
      <w:kern w:val="28"/>
      <w:sz w:val="40"/>
      <w:szCs w:val="56"/>
      <w:lang w:eastAsia="ja-JP"/>
    </w:rPr>
  </w:style>
  <w:style w:type="paragraph" w:styleId="Subtitle">
    <w:name w:val="Subtitle"/>
    <w:basedOn w:val="Normal"/>
    <w:next w:val="Normal"/>
    <w:link w:val="SubtitleChar"/>
    <w:uiPriority w:val="11"/>
    <w:qFormat/>
    <w:rsid w:val="002006C3"/>
    <w:pPr>
      <w:numPr>
        <w:ilvl w:val="1"/>
      </w:numPr>
    </w:pPr>
    <w:rPr>
      <w:rFonts w:cstheme="minorBidi"/>
      <w:b/>
      <w:color w:val="FF0000"/>
      <w:spacing w:val="15"/>
      <w:sz w:val="36"/>
      <w:szCs w:val="22"/>
    </w:rPr>
  </w:style>
  <w:style w:type="character" w:customStyle="1" w:styleId="SubtitleChar">
    <w:name w:val="Subtitle Char"/>
    <w:basedOn w:val="DefaultParagraphFont"/>
    <w:link w:val="Subtitle"/>
    <w:uiPriority w:val="11"/>
    <w:rsid w:val="002006C3"/>
    <w:rPr>
      <w:rFonts w:eastAsiaTheme="minorEastAsia"/>
      <w:b/>
      <w:color w:val="FF0000"/>
      <w:spacing w:val="15"/>
      <w:sz w:val="36"/>
      <w:lang w:eastAsia="ja-JP"/>
    </w:rPr>
  </w:style>
  <w:style w:type="table" w:styleId="TableGrid">
    <w:name w:val="Table Grid"/>
    <w:basedOn w:val="TableNormal"/>
    <w:uiPriority w:val="39"/>
    <w:rsid w:val="00407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0FB6"/>
    <w:rPr>
      <w:color w:val="0563C1" w:themeColor="hyperlink"/>
      <w:u w:val="single"/>
    </w:rPr>
  </w:style>
  <w:style w:type="character" w:styleId="UnresolvedMention">
    <w:name w:val="Unresolved Mention"/>
    <w:basedOn w:val="DefaultParagraphFont"/>
    <w:uiPriority w:val="99"/>
    <w:semiHidden/>
    <w:unhideWhenUsed/>
    <w:rsid w:val="004F0FB6"/>
    <w:rPr>
      <w:color w:val="605E5C"/>
      <w:shd w:val="clear" w:color="auto" w:fill="E1DFDD"/>
    </w:rPr>
  </w:style>
  <w:style w:type="paragraph" w:styleId="FootnoteText">
    <w:name w:val="footnote text"/>
    <w:basedOn w:val="Normal"/>
    <w:link w:val="FootnoteTextChar"/>
    <w:uiPriority w:val="99"/>
    <w:semiHidden/>
    <w:unhideWhenUsed/>
    <w:rsid w:val="00DF4739"/>
    <w:pPr>
      <w:spacing w:after="0"/>
    </w:pPr>
    <w:rPr>
      <w:sz w:val="20"/>
      <w:szCs w:val="20"/>
    </w:rPr>
  </w:style>
  <w:style w:type="character" w:customStyle="1" w:styleId="FootnoteTextChar">
    <w:name w:val="Footnote Text Char"/>
    <w:basedOn w:val="DefaultParagraphFont"/>
    <w:link w:val="FootnoteText"/>
    <w:uiPriority w:val="99"/>
    <w:semiHidden/>
    <w:rsid w:val="00DF4739"/>
    <w:rPr>
      <w:rFonts w:eastAsiaTheme="minorEastAsia" w:cs="Times New Roman"/>
      <w:sz w:val="20"/>
      <w:szCs w:val="20"/>
      <w:lang w:eastAsia="ja-JP"/>
    </w:rPr>
  </w:style>
  <w:style w:type="character" w:styleId="FootnoteReference">
    <w:name w:val="footnote reference"/>
    <w:basedOn w:val="DefaultParagraphFont"/>
    <w:uiPriority w:val="99"/>
    <w:semiHidden/>
    <w:unhideWhenUsed/>
    <w:rsid w:val="00DF4739"/>
    <w:rPr>
      <w:vertAlign w:val="superscript"/>
    </w:rPr>
  </w:style>
  <w:style w:type="paragraph" w:styleId="BodyText">
    <w:name w:val="Body Text"/>
    <w:basedOn w:val="Normal"/>
    <w:link w:val="BodyTextChar"/>
    <w:uiPriority w:val="1"/>
    <w:qFormat/>
    <w:rsid w:val="00535B43"/>
    <w:pPr>
      <w:widowControl w:val="0"/>
      <w:tabs>
        <w:tab w:val="clear" w:pos="288"/>
      </w:tabs>
      <w:autoSpaceDE w:val="0"/>
      <w:autoSpaceDN w:val="0"/>
      <w:spacing w:after="0"/>
    </w:pPr>
    <w:rPr>
      <w:rFonts w:ascii="Calibri" w:eastAsia="Calibri" w:hAnsi="Calibri" w:cs="Calibri"/>
      <w:sz w:val="22"/>
      <w:szCs w:val="22"/>
      <w:lang w:val="en-US" w:eastAsia="en-US"/>
    </w:rPr>
  </w:style>
  <w:style w:type="character" w:customStyle="1" w:styleId="BodyTextChar">
    <w:name w:val="Body Text Char"/>
    <w:basedOn w:val="DefaultParagraphFont"/>
    <w:link w:val="BodyText"/>
    <w:uiPriority w:val="1"/>
    <w:rsid w:val="00535B43"/>
    <w:rPr>
      <w:rFonts w:ascii="Calibri" w:eastAsia="Calibri" w:hAnsi="Calibri" w:cs="Calibri"/>
      <w:lang w:val="en-US"/>
    </w:rPr>
  </w:style>
  <w:style w:type="character" w:styleId="CommentReference">
    <w:name w:val="annotation reference"/>
    <w:basedOn w:val="DefaultParagraphFont"/>
    <w:uiPriority w:val="99"/>
    <w:semiHidden/>
    <w:unhideWhenUsed/>
    <w:rsid w:val="009F2B21"/>
    <w:rPr>
      <w:sz w:val="16"/>
      <w:szCs w:val="16"/>
    </w:rPr>
  </w:style>
  <w:style w:type="paragraph" w:styleId="CommentText">
    <w:name w:val="annotation text"/>
    <w:basedOn w:val="Normal"/>
    <w:link w:val="CommentTextChar"/>
    <w:uiPriority w:val="99"/>
    <w:unhideWhenUsed/>
    <w:rsid w:val="009F2B21"/>
    <w:rPr>
      <w:sz w:val="20"/>
      <w:szCs w:val="20"/>
    </w:rPr>
  </w:style>
  <w:style w:type="character" w:customStyle="1" w:styleId="CommentTextChar">
    <w:name w:val="Comment Text Char"/>
    <w:basedOn w:val="DefaultParagraphFont"/>
    <w:link w:val="CommentText"/>
    <w:uiPriority w:val="99"/>
    <w:rsid w:val="009F2B21"/>
    <w:rPr>
      <w:rFonts w:eastAsiaTheme="minorEastAs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9F2B21"/>
    <w:rPr>
      <w:b/>
      <w:bCs/>
    </w:rPr>
  </w:style>
  <w:style w:type="character" w:customStyle="1" w:styleId="CommentSubjectChar">
    <w:name w:val="Comment Subject Char"/>
    <w:basedOn w:val="CommentTextChar"/>
    <w:link w:val="CommentSubject"/>
    <w:uiPriority w:val="99"/>
    <w:semiHidden/>
    <w:rsid w:val="009F2B21"/>
    <w:rPr>
      <w:rFonts w:eastAsiaTheme="minorEastAsia" w:cs="Times New Roman"/>
      <w:b/>
      <w:bCs/>
      <w:sz w:val="20"/>
      <w:szCs w:val="20"/>
      <w:lang w:eastAsia="ja-JP"/>
    </w:rPr>
  </w:style>
  <w:style w:type="character" w:styleId="Mention">
    <w:name w:val="Mention"/>
    <w:basedOn w:val="DefaultParagraphFont"/>
    <w:uiPriority w:val="99"/>
    <w:unhideWhenUsed/>
    <w:rsid w:val="009F2B21"/>
    <w:rPr>
      <w:color w:val="2B579A"/>
      <w:shd w:val="clear" w:color="auto" w:fill="E1DFDD"/>
    </w:rPr>
  </w:style>
  <w:style w:type="paragraph" w:styleId="Revision">
    <w:name w:val="Revision"/>
    <w:hidden/>
    <w:uiPriority w:val="99"/>
    <w:semiHidden/>
    <w:rsid w:val="00917A5B"/>
    <w:pPr>
      <w:spacing w:after="0" w:line="240" w:lineRule="auto"/>
    </w:pPr>
    <w:rPr>
      <w:rFonts w:eastAsiaTheme="minorEastAs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2095">
      <w:bodyDiv w:val="1"/>
      <w:marLeft w:val="0"/>
      <w:marRight w:val="0"/>
      <w:marTop w:val="0"/>
      <w:marBottom w:val="0"/>
      <w:divBdr>
        <w:top w:val="none" w:sz="0" w:space="0" w:color="auto"/>
        <w:left w:val="none" w:sz="0" w:space="0" w:color="auto"/>
        <w:bottom w:val="none" w:sz="0" w:space="0" w:color="auto"/>
        <w:right w:val="none" w:sz="0" w:space="0" w:color="auto"/>
      </w:divBdr>
      <w:divsChild>
        <w:div w:id="394133791">
          <w:marLeft w:val="0"/>
          <w:marRight w:val="0"/>
          <w:marTop w:val="0"/>
          <w:marBottom w:val="0"/>
          <w:divBdr>
            <w:top w:val="none" w:sz="0" w:space="0" w:color="auto"/>
            <w:left w:val="none" w:sz="0" w:space="0" w:color="auto"/>
            <w:bottom w:val="none" w:sz="0" w:space="0" w:color="auto"/>
            <w:right w:val="none" w:sz="0" w:space="0" w:color="auto"/>
          </w:divBdr>
        </w:div>
        <w:div w:id="610746231">
          <w:marLeft w:val="0"/>
          <w:marRight w:val="0"/>
          <w:marTop w:val="0"/>
          <w:marBottom w:val="0"/>
          <w:divBdr>
            <w:top w:val="none" w:sz="0" w:space="0" w:color="auto"/>
            <w:left w:val="none" w:sz="0" w:space="0" w:color="auto"/>
            <w:bottom w:val="none" w:sz="0" w:space="0" w:color="auto"/>
            <w:right w:val="none" w:sz="0" w:space="0" w:color="auto"/>
          </w:divBdr>
        </w:div>
        <w:div w:id="1564367852">
          <w:marLeft w:val="0"/>
          <w:marRight w:val="0"/>
          <w:marTop w:val="0"/>
          <w:marBottom w:val="0"/>
          <w:divBdr>
            <w:top w:val="none" w:sz="0" w:space="0" w:color="auto"/>
            <w:left w:val="none" w:sz="0" w:space="0" w:color="auto"/>
            <w:bottom w:val="none" w:sz="0" w:space="0" w:color="auto"/>
            <w:right w:val="none" w:sz="0" w:space="0" w:color="auto"/>
          </w:divBdr>
        </w:div>
      </w:divsChild>
    </w:div>
    <w:div w:id="238756097">
      <w:bodyDiv w:val="1"/>
      <w:marLeft w:val="0"/>
      <w:marRight w:val="0"/>
      <w:marTop w:val="0"/>
      <w:marBottom w:val="0"/>
      <w:divBdr>
        <w:top w:val="none" w:sz="0" w:space="0" w:color="auto"/>
        <w:left w:val="none" w:sz="0" w:space="0" w:color="auto"/>
        <w:bottom w:val="none" w:sz="0" w:space="0" w:color="auto"/>
        <w:right w:val="none" w:sz="0" w:space="0" w:color="auto"/>
      </w:divBdr>
      <w:divsChild>
        <w:div w:id="1966424095">
          <w:marLeft w:val="0"/>
          <w:marRight w:val="0"/>
          <w:marTop w:val="0"/>
          <w:marBottom w:val="0"/>
          <w:divBdr>
            <w:top w:val="none" w:sz="0" w:space="0" w:color="auto"/>
            <w:left w:val="none" w:sz="0" w:space="0" w:color="auto"/>
            <w:bottom w:val="none" w:sz="0" w:space="0" w:color="auto"/>
            <w:right w:val="none" w:sz="0" w:space="0" w:color="auto"/>
          </w:divBdr>
        </w:div>
        <w:div w:id="2103528823">
          <w:marLeft w:val="0"/>
          <w:marRight w:val="0"/>
          <w:marTop w:val="0"/>
          <w:marBottom w:val="0"/>
          <w:divBdr>
            <w:top w:val="none" w:sz="0" w:space="0" w:color="auto"/>
            <w:left w:val="none" w:sz="0" w:space="0" w:color="auto"/>
            <w:bottom w:val="none" w:sz="0" w:space="0" w:color="auto"/>
            <w:right w:val="none" w:sz="0" w:space="0" w:color="auto"/>
          </w:divBdr>
        </w:div>
      </w:divsChild>
    </w:div>
    <w:div w:id="177905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5594">
          <w:marLeft w:val="0"/>
          <w:marRight w:val="0"/>
          <w:marTop w:val="0"/>
          <w:marBottom w:val="0"/>
          <w:divBdr>
            <w:top w:val="none" w:sz="0" w:space="0" w:color="auto"/>
            <w:left w:val="none" w:sz="0" w:space="0" w:color="auto"/>
            <w:bottom w:val="none" w:sz="0" w:space="0" w:color="auto"/>
            <w:right w:val="none" w:sz="0" w:space="0" w:color="auto"/>
          </w:divBdr>
        </w:div>
        <w:div w:id="1073743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qai@qai.org.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isability.royalcommission.gov.au/publications/research-report-nature-and-extent-violence-abuse-neglect-and-exploitation-against-people-disability-austral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4B067D30BF2499845ACEC545648F0" ma:contentTypeVersion="18" ma:contentTypeDescription="Create a new document." ma:contentTypeScope="" ma:versionID="c09c9f68ba97c73b311504c2848350b9">
  <xsd:schema xmlns:xsd="http://www.w3.org/2001/XMLSchema" xmlns:xs="http://www.w3.org/2001/XMLSchema" xmlns:p="http://schemas.microsoft.com/office/2006/metadata/properties" xmlns:ns1="http://schemas.microsoft.com/sharepoint/v3" xmlns:ns2="662b4d72-0963-4903-8d1e-908999ea922a" xmlns:ns3="422eb771-ca73-43f7-ae9a-92fcdf6b2d87" targetNamespace="http://schemas.microsoft.com/office/2006/metadata/properties" ma:root="true" ma:fieldsID="9b5e23984b6c5ff6ae3116d61c66822c" ns1:_="" ns2:_="" ns3:_="">
    <xsd:import namespace="http://schemas.microsoft.com/sharepoint/v3"/>
    <xsd:import namespace="662b4d72-0963-4903-8d1e-908999ea922a"/>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b4d72-0963-4903-8d1e-908999ea9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22eb771-ca73-43f7-ae9a-92fcdf6b2d87" xsi:nil="true"/>
    <SharedWithUsers xmlns="422eb771-ca73-43f7-ae9a-92fcdf6b2d87">
      <UserInfo>
        <DisplayName>David Wenitong</DisplayName>
        <AccountId>110</AccountId>
        <AccountType/>
      </UserInfo>
      <UserInfo>
        <DisplayName>Mary Burgess</DisplayName>
        <AccountId>3001</AccountId>
        <AccountType/>
      </UserInfo>
    </SharedWithUsers>
    <_ip_UnifiedCompliancePolicyUIAction xmlns="http://schemas.microsoft.com/sharepoint/v3" xsi:nil="true"/>
    <_ip_UnifiedCompliancePolicyProperties xmlns="http://schemas.microsoft.com/sharepoint/v3" xsi:nil="true"/>
    <lcf76f155ced4ddcb4097134ff3c332f xmlns="662b4d72-0963-4903-8d1e-908999ea922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2A9DBE-BBB6-4B0C-A212-D87712F59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b4d72-0963-4903-8d1e-908999ea922a"/>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ABD4D-C4EC-4355-B1E6-56C44DC33C76}">
  <ds:schemaRefs>
    <ds:schemaRef ds:uri="http://schemas.openxmlformats.org/officeDocument/2006/bibliography"/>
  </ds:schemaRefs>
</ds:datastoreItem>
</file>

<file path=customXml/itemProps3.xml><?xml version="1.0" encoding="utf-8"?>
<ds:datastoreItem xmlns:ds="http://schemas.openxmlformats.org/officeDocument/2006/customXml" ds:itemID="{5BBCF03C-931C-4E0F-BB31-5713FB067712}">
  <ds:schemaRefs>
    <ds:schemaRef ds:uri="http://schemas.microsoft.com/office/2006/metadata/properties"/>
    <ds:schemaRef ds:uri="http://schemas.microsoft.com/office/infopath/2007/PartnerControls"/>
    <ds:schemaRef ds:uri="422eb771-ca73-43f7-ae9a-92fcdf6b2d87"/>
    <ds:schemaRef ds:uri="http://schemas.microsoft.com/sharepoint/v3"/>
    <ds:schemaRef ds:uri="662b4d72-0963-4903-8d1e-908999ea922a"/>
  </ds:schemaRefs>
</ds:datastoreItem>
</file>

<file path=customXml/itemProps4.xml><?xml version="1.0" encoding="utf-8"?>
<ds:datastoreItem xmlns:ds="http://schemas.openxmlformats.org/officeDocument/2006/customXml" ds:itemID="{754D1BCE-0E09-48B1-8C5E-5BDD89FD6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2971</Words>
  <Characters>16941</Characters>
  <Application>Microsoft Office Word</Application>
  <DocSecurity>0</DocSecurity>
  <Lines>141</Lines>
  <Paragraphs>39</Paragraphs>
  <ScaleCrop>false</ScaleCrop>
  <Company>Brendon Pearce</Company>
  <LinksUpToDate>false</LinksUpToDate>
  <CharactersWithSpaces>19873</CharactersWithSpaces>
  <SharedDoc>false</SharedDoc>
  <HLinks>
    <vt:vector size="12" baseType="variant">
      <vt:variant>
        <vt:i4>4849676</vt:i4>
      </vt:variant>
      <vt:variant>
        <vt:i4>0</vt:i4>
      </vt:variant>
      <vt:variant>
        <vt:i4>0</vt:i4>
      </vt:variant>
      <vt:variant>
        <vt:i4>5</vt:i4>
      </vt:variant>
      <vt:variant>
        <vt:lpwstr>https://disability.royalcommission.gov.au/publications/research-report-nature-and-extent-violence-abuse-neglect-and-exploitation-against-people-disability-australia</vt:lpwstr>
      </vt:variant>
      <vt:variant>
        <vt:lpwstr/>
      </vt:variant>
      <vt:variant>
        <vt:i4>721016</vt:i4>
      </vt:variant>
      <vt:variant>
        <vt:i4>6</vt:i4>
      </vt:variant>
      <vt:variant>
        <vt:i4>0</vt:i4>
      </vt:variant>
      <vt:variant>
        <vt:i4>5</vt:i4>
      </vt:variant>
      <vt:variant>
        <vt:lpwstr>mailto:qai@qai.org.au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Beaumont</dc:creator>
  <cp:keywords/>
  <cp:lastModifiedBy>Sophie Wiggans</cp:lastModifiedBy>
  <cp:revision>2</cp:revision>
  <dcterms:created xsi:type="dcterms:W3CDTF">2023-03-21T23:04:00Z</dcterms:created>
  <dcterms:modified xsi:type="dcterms:W3CDTF">2023-03-21T23:04:00Z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0x0101000724B067D30BF2499845ACEC545648F0</vt:lpwstr>
  </property>
  <property fmtid="{D5CDD505-2E9C-101B-9397-08002B2CF9AE}" pid="3" name="Order">
    <vt:r8>14000</vt:r8>
  </property>
  <property fmtid="{D5CDD505-2E9C-101B-9397-08002B2CF9AE}" pid="4" name="MediaServiceImageTags">
    <vt:lpwstr/>
  </property>
</Properties>
</file>