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B0F47" w14:textId="18EEF321" w:rsidR="00D26DF9" w:rsidRPr="006E0AE2" w:rsidRDefault="007A0AC9" w:rsidP="00AB16F1">
      <w:pPr>
        <w:pStyle w:val="QAIHeading2"/>
      </w:pPr>
      <w:r>
        <w:rPr>
          <w:noProof/>
        </w:rPr>
        <w:drawing>
          <wp:anchor distT="0" distB="0" distL="114300" distR="114300" simplePos="0" relativeHeight="251658240" behindDoc="1" locked="0" layoutInCell="1" allowOverlap="1" wp14:anchorId="72A6EA04" wp14:editId="2B524518">
            <wp:simplePos x="0" y="0"/>
            <wp:positionH relativeFrom="page">
              <wp:posOffset>0</wp:posOffset>
            </wp:positionH>
            <wp:positionV relativeFrom="paragraph">
              <wp:posOffset>-321994</wp:posOffset>
            </wp:positionV>
            <wp:extent cx="7553876" cy="8918917"/>
            <wp:effectExtent l="0" t="0" r="9525" b="0"/>
            <wp:wrapNone/>
            <wp:docPr id="1665995691" name="Picture 1" descr="A blue and purpl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995691" name="Picture 1" descr="A blue and purple rectangle&#10;&#10;Description automatically generated"/>
                    <pic:cNvPicPr/>
                  </pic:nvPicPr>
                  <pic:blipFill rotWithShape="1">
                    <a:blip r:embed="rId11"/>
                    <a:srcRect t="-1" b="25682"/>
                    <a:stretch/>
                  </pic:blipFill>
                  <pic:spPr bwMode="auto">
                    <a:xfrm>
                      <a:off x="0" y="0"/>
                      <a:ext cx="7553876" cy="89189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7B93">
        <w:tab/>
      </w:r>
    </w:p>
    <w:p w14:paraId="0DAF85BF" w14:textId="50CB6CDE" w:rsidR="00D26DF9" w:rsidRDefault="00D26DF9" w:rsidP="0001445D"/>
    <w:p w14:paraId="401361F1" w14:textId="7A0DD09A" w:rsidR="00366627" w:rsidRDefault="00676BE1" w:rsidP="0001445D">
      <w:pPr>
        <w:tabs>
          <w:tab w:val="left" w:pos="1750"/>
        </w:tabs>
      </w:pPr>
      <w:r>
        <w:tab/>
      </w:r>
    </w:p>
    <w:p w14:paraId="6D226D5E" w14:textId="77777777" w:rsidR="009C02B0" w:rsidRDefault="009C02B0" w:rsidP="0001445D"/>
    <w:p w14:paraId="64125FC2" w14:textId="77777777" w:rsidR="009C02B0" w:rsidRDefault="009C02B0" w:rsidP="0001445D"/>
    <w:p w14:paraId="374158B5" w14:textId="77777777" w:rsidR="009C02B0" w:rsidRDefault="009C02B0" w:rsidP="0001445D"/>
    <w:p w14:paraId="3112F850" w14:textId="77777777" w:rsidR="009C02B0" w:rsidRDefault="009C02B0" w:rsidP="0001445D"/>
    <w:p w14:paraId="324998DC" w14:textId="77777777" w:rsidR="009C02B0" w:rsidRDefault="009C02B0" w:rsidP="0001445D"/>
    <w:p w14:paraId="00CCAFE7" w14:textId="77777777" w:rsidR="009C02B0" w:rsidRDefault="009C02B0" w:rsidP="0001445D"/>
    <w:p w14:paraId="17913607" w14:textId="77777777" w:rsidR="009C02B0" w:rsidRDefault="009C02B0" w:rsidP="0001445D"/>
    <w:p w14:paraId="066F971A" w14:textId="77777777" w:rsidR="001D6600" w:rsidRPr="0004477A" w:rsidRDefault="001D6600" w:rsidP="001D6600">
      <w:pPr>
        <w:pStyle w:val="QAIHeading1"/>
        <w:rPr>
          <w:sz w:val="44"/>
          <w:szCs w:val="52"/>
        </w:rPr>
      </w:pPr>
      <w:r w:rsidRPr="0004477A">
        <w:rPr>
          <w:sz w:val="44"/>
          <w:szCs w:val="52"/>
        </w:rPr>
        <w:t xml:space="preserve">Disability Services (Restrictive </w:t>
      </w:r>
    </w:p>
    <w:p w14:paraId="28FB33BE" w14:textId="77777777" w:rsidR="0004477A" w:rsidRDefault="001D6600" w:rsidP="001D6600">
      <w:pPr>
        <w:pStyle w:val="QAIHeading1"/>
        <w:rPr>
          <w:sz w:val="44"/>
          <w:szCs w:val="52"/>
        </w:rPr>
      </w:pPr>
      <w:r w:rsidRPr="0004477A">
        <w:rPr>
          <w:sz w:val="44"/>
          <w:szCs w:val="52"/>
        </w:rPr>
        <w:t xml:space="preserve">Practices) and Other Legislation </w:t>
      </w:r>
    </w:p>
    <w:p w14:paraId="2ADD94B6" w14:textId="4DDCC194" w:rsidR="009C02B0" w:rsidRPr="0004477A" w:rsidRDefault="001D6600" w:rsidP="001D6600">
      <w:pPr>
        <w:pStyle w:val="QAIHeading1"/>
        <w:rPr>
          <w:sz w:val="44"/>
          <w:szCs w:val="52"/>
        </w:rPr>
      </w:pPr>
      <w:r w:rsidRPr="0004477A">
        <w:rPr>
          <w:sz w:val="44"/>
          <w:szCs w:val="52"/>
        </w:rPr>
        <w:t>Amendment Bill 2024</w:t>
      </w:r>
    </w:p>
    <w:p w14:paraId="094D6712" w14:textId="77777777" w:rsidR="000A2193" w:rsidRDefault="000A2193" w:rsidP="001D6600">
      <w:pPr>
        <w:pStyle w:val="QAIHeading1"/>
      </w:pPr>
    </w:p>
    <w:p w14:paraId="51D20796" w14:textId="77777777" w:rsidR="0063465B" w:rsidRDefault="0063465B" w:rsidP="001D6600">
      <w:pPr>
        <w:pStyle w:val="QAIHeading1"/>
      </w:pPr>
    </w:p>
    <w:p w14:paraId="0286900E" w14:textId="77777777" w:rsidR="000A2193" w:rsidRDefault="000A2193" w:rsidP="0001445D"/>
    <w:p w14:paraId="7DA883D0" w14:textId="520F18AE" w:rsidR="002A0A07" w:rsidRPr="00B96E88" w:rsidRDefault="002A0A07" w:rsidP="0001445D">
      <w:pPr>
        <w:rPr>
          <w:rFonts w:ascii="Roboto Medium" w:hAnsi="Roboto Medium"/>
          <w:b/>
          <w:bCs/>
          <w:color w:val="FFFFFF" w:themeColor="background1"/>
          <w:sz w:val="32"/>
          <w:szCs w:val="32"/>
        </w:rPr>
      </w:pPr>
      <w:r w:rsidRPr="00B96E88">
        <w:rPr>
          <w:rFonts w:ascii="Roboto Medium" w:hAnsi="Roboto Medium"/>
          <w:b/>
          <w:bCs/>
          <w:color w:val="FFFFFF" w:themeColor="background1"/>
          <w:sz w:val="32"/>
          <w:szCs w:val="32"/>
        </w:rPr>
        <w:t>T</w:t>
      </w:r>
      <w:r w:rsidR="00F05F56" w:rsidRPr="00B96E88">
        <w:rPr>
          <w:rFonts w:ascii="Roboto Medium" w:hAnsi="Roboto Medium"/>
          <w:b/>
          <w:bCs/>
          <w:color w:val="FFFFFF" w:themeColor="background1"/>
          <w:sz w:val="32"/>
          <w:szCs w:val="32"/>
        </w:rPr>
        <w:t>o</w:t>
      </w:r>
      <w:r w:rsidR="00F07BF0" w:rsidRPr="00B96E88">
        <w:rPr>
          <w:rFonts w:ascii="Roboto Medium" w:hAnsi="Roboto Medium"/>
          <w:b/>
          <w:bCs/>
          <w:color w:val="FFFFFF" w:themeColor="background1"/>
          <w:sz w:val="32"/>
          <w:szCs w:val="32"/>
        </w:rPr>
        <w:t xml:space="preserve"> </w:t>
      </w:r>
      <w:r w:rsidR="001A4950">
        <w:rPr>
          <w:rFonts w:ascii="Roboto Medium" w:hAnsi="Roboto Medium"/>
          <w:b/>
          <w:bCs/>
          <w:color w:val="FFFFFF" w:themeColor="background1"/>
          <w:sz w:val="32"/>
          <w:szCs w:val="32"/>
        </w:rPr>
        <w:t>Community Support and Services Committee</w:t>
      </w:r>
    </w:p>
    <w:p w14:paraId="15A0215F" w14:textId="77777777" w:rsidR="004C2059" w:rsidRPr="00B96E88" w:rsidRDefault="004C2059" w:rsidP="0001445D">
      <w:pPr>
        <w:rPr>
          <w:rFonts w:ascii="Roboto Medium" w:hAnsi="Roboto Medium"/>
          <w:b/>
          <w:bCs/>
          <w:color w:val="FFFFFF" w:themeColor="background1"/>
          <w:sz w:val="32"/>
          <w:szCs w:val="32"/>
        </w:rPr>
      </w:pPr>
    </w:p>
    <w:p w14:paraId="706A012D" w14:textId="62D53605" w:rsidR="00913DC3" w:rsidRPr="00B96E88" w:rsidRDefault="001A4950" w:rsidP="0001445D">
      <w:pPr>
        <w:tabs>
          <w:tab w:val="left" w:pos="1330"/>
        </w:tabs>
        <w:rPr>
          <w:rFonts w:ascii="Roboto Medium" w:hAnsi="Roboto Medium"/>
          <w:b/>
          <w:bCs/>
          <w:color w:val="FFFFFF" w:themeColor="background1"/>
          <w:sz w:val="32"/>
          <w:szCs w:val="32"/>
        </w:rPr>
      </w:pPr>
      <w:r>
        <w:rPr>
          <w:rFonts w:ascii="Roboto Medium" w:hAnsi="Roboto Medium"/>
          <w:b/>
          <w:bCs/>
          <w:color w:val="FFFFFF" w:themeColor="background1"/>
          <w:sz w:val="32"/>
          <w:szCs w:val="32"/>
        </w:rPr>
        <w:t>5</w:t>
      </w:r>
      <w:r w:rsidRPr="001A4950">
        <w:rPr>
          <w:rFonts w:ascii="Roboto Medium" w:hAnsi="Roboto Medium"/>
          <w:b/>
          <w:bCs/>
          <w:color w:val="FFFFFF" w:themeColor="background1"/>
          <w:sz w:val="32"/>
          <w:szCs w:val="32"/>
          <w:vertAlign w:val="superscript"/>
        </w:rPr>
        <w:t>th</w:t>
      </w:r>
      <w:r>
        <w:rPr>
          <w:rFonts w:ascii="Roboto Medium" w:hAnsi="Roboto Medium"/>
          <w:b/>
          <w:bCs/>
          <w:color w:val="FFFFFF" w:themeColor="background1"/>
          <w:sz w:val="32"/>
          <w:szCs w:val="32"/>
        </w:rPr>
        <w:t xml:space="preserve"> July 2024</w:t>
      </w:r>
    </w:p>
    <w:p w14:paraId="2344CDDC" w14:textId="39EC725D" w:rsidR="00913DC3" w:rsidRDefault="00913DC3" w:rsidP="0001445D">
      <w:r>
        <w:br w:type="page"/>
      </w:r>
    </w:p>
    <w:p w14:paraId="207908F3" w14:textId="77777777" w:rsidR="00C64A93" w:rsidRPr="006A52D5" w:rsidRDefault="00C64A93" w:rsidP="00AB16F1">
      <w:pPr>
        <w:pStyle w:val="QAIHeading2"/>
      </w:pPr>
      <w:bookmarkStart w:id="0" w:name="_Toc130476827"/>
      <w:r w:rsidRPr="006A52D5">
        <w:lastRenderedPageBreak/>
        <w:t>About Queensland Advocacy for Inclusion</w:t>
      </w:r>
      <w:bookmarkEnd w:id="0"/>
    </w:p>
    <w:p w14:paraId="7D08B740" w14:textId="77777777" w:rsidR="00CD1CD0" w:rsidRDefault="00C64A93" w:rsidP="00CD1CD0">
      <w:pPr>
        <w:pStyle w:val="NormalWeb"/>
        <w:spacing w:before="240" w:beforeAutospacing="0" w:after="120" w:afterAutospacing="0" w:line="360" w:lineRule="auto"/>
        <w:rPr>
          <w:rFonts w:ascii="Source Sans Pro" w:hAnsi="Source Sans Pro" w:cs="Calibri"/>
        </w:rPr>
      </w:pPr>
      <w:bookmarkStart w:id="1" w:name="OLE_LINK2"/>
      <w:r w:rsidRPr="0010281C">
        <w:rPr>
          <w:rFonts w:ascii="Source Sans Pro" w:hAnsi="Source Sans Pro" w:cs="Calibri"/>
        </w:rPr>
        <w:t>Queensland Advocacy for Inclusion (</w:t>
      </w:r>
      <w:r w:rsidRPr="009E633A">
        <w:rPr>
          <w:rFonts w:ascii="Source Sans Pro" w:hAnsi="Source Sans Pro" w:cs="Calibri"/>
        </w:rPr>
        <w:t>QAI</w:t>
      </w:r>
      <w:r w:rsidRPr="0010281C">
        <w:rPr>
          <w:rFonts w:ascii="Source Sans Pro" w:hAnsi="Source Sans Pro" w:cs="Calibri"/>
        </w:rPr>
        <w:t xml:space="preserve">) is an independent, community-based advocacy organisation and community legal service that provides individual and systems advocacy for people with disability. Our purpose is to advocate for the protection and advancement of the needs, rights, and lives of people with disability in Queensland. QAI’s Management Committee is comprised of </w:t>
      </w:r>
      <w:proofErr w:type="gramStart"/>
      <w:r w:rsidRPr="0010281C">
        <w:rPr>
          <w:rFonts w:ascii="Source Sans Pro" w:hAnsi="Source Sans Pro" w:cs="Calibri"/>
        </w:rPr>
        <w:t>a majority of</w:t>
      </w:r>
      <w:proofErr w:type="gramEnd"/>
      <w:r w:rsidRPr="0010281C">
        <w:rPr>
          <w:rFonts w:ascii="Source Sans Pro" w:hAnsi="Source Sans Pro" w:cs="Calibri"/>
        </w:rPr>
        <w:t xml:space="preserve"> persons with disability, whose wisdom and lived experience guides our work and values.</w:t>
      </w:r>
    </w:p>
    <w:p w14:paraId="47E666E0" w14:textId="77777777" w:rsidR="00CD1CD0" w:rsidRDefault="00C64A93" w:rsidP="00CD1CD0">
      <w:pPr>
        <w:pStyle w:val="NormalWeb"/>
        <w:spacing w:before="240" w:beforeAutospacing="0" w:after="120" w:afterAutospacing="0" w:line="360" w:lineRule="auto"/>
        <w:rPr>
          <w:rFonts w:ascii="Source Sans Pro" w:hAnsi="Source Sans Pro" w:cs="Calibri"/>
        </w:rPr>
      </w:pPr>
      <w:r w:rsidRPr="0010281C">
        <w:rPr>
          <w:rFonts w:ascii="Source Sans Pro" w:hAnsi="Source Sans Pro" w:cs="Calibri"/>
        </w:rPr>
        <w:t>QAI has</w:t>
      </w:r>
      <w:r w:rsidRPr="0010281C">
        <w:rPr>
          <w:rFonts w:ascii="Source Sans Pro" w:hAnsi="Source Sans Pro" w:cs="Arial"/>
        </w:rPr>
        <w:t> </w:t>
      </w:r>
      <w:r w:rsidRPr="0010281C">
        <w:rPr>
          <w:rFonts w:ascii="Source Sans Pro" w:hAnsi="Source Sans Pro" w:cs="Calibri"/>
        </w:rPr>
        <w:t>been engaged in systems advocacy for over thirty years,</w:t>
      </w:r>
      <w:r w:rsidRPr="0010281C">
        <w:rPr>
          <w:rFonts w:ascii="Source Sans Pro" w:hAnsi="Source Sans Pro" w:cs="Arial"/>
        </w:rPr>
        <w:t> </w:t>
      </w:r>
      <w:r w:rsidRPr="0010281C">
        <w:rPr>
          <w:rFonts w:ascii="Source Sans Pro" w:hAnsi="Source Sans Pro" w:cs="Calibri"/>
        </w:rPr>
        <w:t>advocating for change through campaigns directed</w:t>
      </w:r>
      <w:r w:rsidRPr="0010281C">
        <w:rPr>
          <w:rFonts w:ascii="Source Sans Pro" w:hAnsi="Source Sans Pro" w:cs="Arial"/>
        </w:rPr>
        <w:t> </w:t>
      </w:r>
      <w:r w:rsidRPr="0010281C">
        <w:rPr>
          <w:rFonts w:ascii="Source Sans Pro" w:hAnsi="Source Sans Pro" w:cs="Calibri"/>
        </w:rPr>
        <w:t>at</w:t>
      </w:r>
      <w:r w:rsidRPr="0010281C">
        <w:rPr>
          <w:rFonts w:ascii="Source Sans Pro" w:hAnsi="Source Sans Pro" w:cs="Arial"/>
        </w:rPr>
        <w:t> </w:t>
      </w:r>
      <w:r w:rsidRPr="0010281C">
        <w:rPr>
          <w:rFonts w:ascii="Source Sans Pro" w:hAnsi="Source Sans Pro" w:cs="Calibri"/>
        </w:rPr>
        <w:t>attitudinal, law and policy reform.</w:t>
      </w:r>
    </w:p>
    <w:p w14:paraId="1FACCEF8" w14:textId="77777777" w:rsidR="00CD1CD0" w:rsidRDefault="00C64A93" w:rsidP="00CD1CD0">
      <w:pPr>
        <w:pStyle w:val="NormalWeb"/>
        <w:spacing w:before="240" w:beforeAutospacing="0" w:after="120" w:afterAutospacing="0" w:line="360" w:lineRule="auto"/>
        <w:rPr>
          <w:rFonts w:ascii="Source Sans Pro" w:hAnsi="Source Sans Pro" w:cs="Calibri"/>
          <w:color w:val="000000"/>
        </w:rPr>
      </w:pPr>
      <w:r w:rsidRPr="0010281C">
        <w:rPr>
          <w:rFonts w:ascii="Source Sans Pro" w:hAnsi="Source Sans Pro" w:cs="Calibri"/>
          <w:color w:val="000000"/>
        </w:rPr>
        <w:t>QAI</w:t>
      </w:r>
      <w:r w:rsidRPr="0010281C">
        <w:rPr>
          <w:rFonts w:ascii="Source Sans Pro" w:hAnsi="Source Sans Pro" w:cs="Arial"/>
          <w:color w:val="000000"/>
        </w:rPr>
        <w:t> </w:t>
      </w:r>
      <w:r w:rsidRPr="0010281C">
        <w:rPr>
          <w:rFonts w:ascii="Source Sans Pro" w:hAnsi="Source Sans Pro" w:cs="Calibri"/>
          <w:color w:val="000000"/>
        </w:rPr>
        <w:t>also provides</w:t>
      </w:r>
      <w:r w:rsidRPr="0010281C">
        <w:rPr>
          <w:rFonts w:ascii="Source Sans Pro" w:hAnsi="Source Sans Pro" w:cs="Arial"/>
          <w:color w:val="000000"/>
        </w:rPr>
        <w:t> </w:t>
      </w:r>
      <w:r w:rsidRPr="0010281C">
        <w:rPr>
          <w:rFonts w:ascii="Source Sans Pro" w:hAnsi="Source Sans Pro" w:cs="Calibri"/>
          <w:color w:val="000000"/>
        </w:rPr>
        <w:t>individual advocacy services in the areas of human rights, disability discrimination, guardianship and administration, involuntary mental health treatment, criminal justice, NDIS access and appeals, and non-legal advocacy for young people with disability including in relation to education. Our individual advocacy experience</w:t>
      </w:r>
      <w:r w:rsidRPr="0010281C">
        <w:rPr>
          <w:rFonts w:ascii="Source Sans Pro" w:hAnsi="Source Sans Pro" w:cs="Arial"/>
          <w:color w:val="000000"/>
        </w:rPr>
        <w:t> </w:t>
      </w:r>
      <w:r w:rsidRPr="0010281C">
        <w:rPr>
          <w:rFonts w:ascii="Source Sans Pro" w:hAnsi="Source Sans Pro" w:cs="Calibri"/>
          <w:color w:val="000000"/>
        </w:rPr>
        <w:t>informs our understanding and prioritisation of systemic advocacy issues.</w:t>
      </w:r>
    </w:p>
    <w:p w14:paraId="02E53F3B" w14:textId="44E8525F" w:rsidR="00C64A93" w:rsidRPr="0010281C" w:rsidRDefault="00C64A93" w:rsidP="00CD1CD0">
      <w:pPr>
        <w:pStyle w:val="NormalWeb"/>
        <w:spacing w:before="240" w:beforeAutospacing="0" w:after="120" w:afterAutospacing="0" w:line="360" w:lineRule="auto"/>
        <w:rPr>
          <w:rFonts w:ascii="Source Sans Pro" w:hAnsi="Source Sans Pro" w:cs="Calibri"/>
        </w:rPr>
      </w:pPr>
      <w:r w:rsidRPr="0010281C">
        <w:rPr>
          <w:rFonts w:ascii="Source Sans Pro" w:hAnsi="Source Sans Pro" w:cs="Calibri"/>
          <w:lang w:val="en-US"/>
        </w:rPr>
        <w:t>Since 1 January 2022, QAI has also been funded by the Queensland Government to establish and co-ordinate the Queensland Independent Disability Advocacy Network (QIDAN). QIDAN members work collaboratively to raise the profile of disability advocacy while also working towards attitudinal, policy and legislative change for people with disability in Queensland.</w:t>
      </w:r>
      <w:r w:rsidRPr="0010281C">
        <w:rPr>
          <w:rFonts w:ascii="Source Sans Pro" w:hAnsi="Source Sans Pro" w:cs="Calibri"/>
        </w:rPr>
        <w:t> </w:t>
      </w:r>
      <w:bookmarkEnd w:id="1"/>
    </w:p>
    <w:p w14:paraId="000BDCD2" w14:textId="77777777" w:rsidR="009C02B0" w:rsidRPr="0010281C" w:rsidRDefault="009C02B0" w:rsidP="0001445D"/>
    <w:p w14:paraId="79F4D656" w14:textId="40A2461C" w:rsidR="006A52D5" w:rsidRDefault="006A52D5" w:rsidP="0001445D">
      <w:r>
        <w:br w:type="page"/>
      </w:r>
    </w:p>
    <w:sdt>
      <w:sdtPr>
        <w:rPr>
          <w:rFonts w:ascii="Source Sans Pro" w:hAnsi="Source Sans Pro" w:cs="Times New Roman"/>
          <w:b w:val="0"/>
          <w:bCs w:val="0"/>
          <w:color w:val="auto"/>
          <w:sz w:val="24"/>
          <w:szCs w:val="24"/>
          <w:lang w:val="en-AU" w:eastAsia="ja-JP"/>
        </w:rPr>
        <w:id w:val="1485047887"/>
        <w:docPartObj>
          <w:docPartGallery w:val="Table of Contents"/>
          <w:docPartUnique/>
        </w:docPartObj>
      </w:sdtPr>
      <w:sdtEndPr>
        <w:rPr>
          <w:rFonts w:cstheme="minorBidi"/>
          <w:noProof/>
          <w:lang w:val="en-US" w:eastAsia="en-US"/>
        </w:rPr>
      </w:sdtEndPr>
      <w:sdtContent>
        <w:p w14:paraId="5070D355" w14:textId="77777777" w:rsidR="00E51214" w:rsidRPr="0010281C" w:rsidRDefault="00E51214" w:rsidP="00AB16F1">
          <w:pPr>
            <w:pStyle w:val="QAIHeading2"/>
          </w:pPr>
          <w:r w:rsidRPr="00242C81">
            <w:t>Contents</w:t>
          </w:r>
        </w:p>
        <w:p w14:paraId="13683481" w14:textId="523357D3" w:rsidR="00E51214" w:rsidRPr="0010281C" w:rsidRDefault="00E51214" w:rsidP="00242C81">
          <w:pPr>
            <w:pStyle w:val="TOC1"/>
            <w:spacing w:line="360" w:lineRule="auto"/>
            <w:rPr>
              <w:rFonts w:ascii="Source Sans Pro" w:hAnsi="Source Sans Pro" w:cstheme="majorHAnsi"/>
              <w:noProof/>
              <w:sz w:val="22"/>
              <w:szCs w:val="22"/>
              <w:lang w:eastAsia="en-AU"/>
            </w:rPr>
          </w:pPr>
          <w:r w:rsidRPr="0010281C">
            <w:rPr>
              <w:rFonts w:ascii="Source Sans Pro" w:hAnsi="Source Sans Pro" w:cstheme="majorHAnsi"/>
            </w:rPr>
            <w:fldChar w:fldCharType="begin"/>
          </w:r>
          <w:r w:rsidRPr="0010281C">
            <w:rPr>
              <w:rFonts w:ascii="Source Sans Pro" w:hAnsi="Source Sans Pro" w:cstheme="majorHAnsi"/>
            </w:rPr>
            <w:instrText xml:space="preserve"> TOC \o "1-3" \h \z \u </w:instrText>
          </w:r>
          <w:r w:rsidRPr="0010281C">
            <w:rPr>
              <w:rFonts w:ascii="Source Sans Pro" w:hAnsi="Source Sans Pro" w:cstheme="majorHAnsi"/>
            </w:rPr>
            <w:fldChar w:fldCharType="separate"/>
          </w:r>
          <w:hyperlink w:anchor="_Toc130476827" w:history="1">
            <w:r w:rsidRPr="0010281C">
              <w:rPr>
                <w:rStyle w:val="Hyperlink"/>
                <w:rFonts w:ascii="Source Sans Pro" w:hAnsi="Source Sans Pro" w:cstheme="majorHAnsi"/>
                <w:noProof/>
              </w:rPr>
              <w:t>About Queensland Advocacy for Inclusion</w:t>
            </w:r>
            <w:r w:rsidRPr="0010281C">
              <w:rPr>
                <w:rFonts w:ascii="Source Sans Pro" w:hAnsi="Source Sans Pro" w:cstheme="majorHAnsi"/>
                <w:noProof/>
                <w:webHidden/>
              </w:rPr>
              <w:tab/>
            </w:r>
            <w:r w:rsidRPr="0010281C">
              <w:rPr>
                <w:rFonts w:ascii="Source Sans Pro" w:hAnsi="Source Sans Pro" w:cstheme="majorHAnsi"/>
                <w:noProof/>
                <w:webHidden/>
              </w:rPr>
              <w:fldChar w:fldCharType="begin"/>
            </w:r>
            <w:r w:rsidRPr="0010281C">
              <w:rPr>
                <w:rFonts w:ascii="Source Sans Pro" w:hAnsi="Source Sans Pro" w:cstheme="majorHAnsi"/>
                <w:noProof/>
                <w:webHidden/>
              </w:rPr>
              <w:instrText xml:space="preserve"> PAGEREF _Toc130476827 \h </w:instrText>
            </w:r>
            <w:r w:rsidRPr="0010281C">
              <w:rPr>
                <w:rFonts w:ascii="Source Sans Pro" w:hAnsi="Source Sans Pro" w:cstheme="majorHAnsi"/>
                <w:noProof/>
                <w:webHidden/>
              </w:rPr>
            </w:r>
            <w:r w:rsidRPr="0010281C">
              <w:rPr>
                <w:rFonts w:ascii="Source Sans Pro" w:hAnsi="Source Sans Pro" w:cstheme="majorHAnsi"/>
                <w:noProof/>
                <w:webHidden/>
              </w:rPr>
              <w:fldChar w:fldCharType="separate"/>
            </w:r>
            <w:r w:rsidR="001D3D59">
              <w:rPr>
                <w:rFonts w:ascii="Source Sans Pro" w:hAnsi="Source Sans Pro" w:cstheme="majorHAnsi"/>
                <w:noProof/>
                <w:webHidden/>
              </w:rPr>
              <w:t>2</w:t>
            </w:r>
            <w:r w:rsidRPr="0010281C">
              <w:rPr>
                <w:rFonts w:ascii="Source Sans Pro" w:hAnsi="Source Sans Pro" w:cstheme="majorHAnsi"/>
                <w:noProof/>
                <w:webHidden/>
              </w:rPr>
              <w:fldChar w:fldCharType="end"/>
            </w:r>
          </w:hyperlink>
        </w:p>
        <w:p w14:paraId="30B0F9CB" w14:textId="72E886E5" w:rsidR="00E51214" w:rsidRPr="0010281C" w:rsidRDefault="00E51214" w:rsidP="00242C81">
          <w:pPr>
            <w:pStyle w:val="TOC1"/>
            <w:spacing w:line="360" w:lineRule="auto"/>
            <w:rPr>
              <w:rFonts w:ascii="Source Sans Pro" w:hAnsi="Source Sans Pro" w:cstheme="majorHAnsi"/>
              <w:noProof/>
              <w:sz w:val="22"/>
              <w:szCs w:val="22"/>
              <w:lang w:eastAsia="en-AU"/>
            </w:rPr>
          </w:pPr>
          <w:hyperlink w:anchor="_Toc130476828" w:history="1">
            <w:r w:rsidRPr="0010281C">
              <w:rPr>
                <w:rStyle w:val="Hyperlink"/>
                <w:rFonts w:ascii="Source Sans Pro" w:hAnsi="Source Sans Pro" w:cstheme="majorHAnsi"/>
                <w:noProof/>
              </w:rPr>
              <w:t>QAI’s recommendations</w:t>
            </w:r>
            <w:r w:rsidRPr="0010281C">
              <w:rPr>
                <w:rFonts w:ascii="Source Sans Pro" w:hAnsi="Source Sans Pro" w:cstheme="majorHAnsi"/>
                <w:noProof/>
                <w:webHidden/>
              </w:rPr>
              <w:tab/>
            </w:r>
            <w:r w:rsidRPr="0010281C">
              <w:rPr>
                <w:rFonts w:ascii="Source Sans Pro" w:hAnsi="Source Sans Pro" w:cstheme="majorHAnsi"/>
                <w:noProof/>
                <w:webHidden/>
              </w:rPr>
              <w:fldChar w:fldCharType="begin"/>
            </w:r>
            <w:r w:rsidRPr="0010281C">
              <w:rPr>
                <w:rFonts w:ascii="Source Sans Pro" w:hAnsi="Source Sans Pro" w:cstheme="majorHAnsi"/>
                <w:noProof/>
                <w:webHidden/>
              </w:rPr>
              <w:instrText xml:space="preserve"> PAGEREF _Toc130476828 \h </w:instrText>
            </w:r>
            <w:r w:rsidRPr="0010281C">
              <w:rPr>
                <w:rFonts w:ascii="Source Sans Pro" w:hAnsi="Source Sans Pro" w:cstheme="majorHAnsi"/>
                <w:noProof/>
                <w:webHidden/>
              </w:rPr>
            </w:r>
            <w:r w:rsidRPr="0010281C">
              <w:rPr>
                <w:rFonts w:ascii="Source Sans Pro" w:hAnsi="Source Sans Pro" w:cstheme="majorHAnsi"/>
                <w:noProof/>
                <w:webHidden/>
              </w:rPr>
              <w:fldChar w:fldCharType="separate"/>
            </w:r>
            <w:r w:rsidR="001D3D59">
              <w:rPr>
                <w:rFonts w:ascii="Source Sans Pro" w:hAnsi="Source Sans Pro" w:cstheme="majorHAnsi"/>
                <w:noProof/>
                <w:webHidden/>
              </w:rPr>
              <w:t>4</w:t>
            </w:r>
            <w:r w:rsidRPr="0010281C">
              <w:rPr>
                <w:rFonts w:ascii="Source Sans Pro" w:hAnsi="Source Sans Pro" w:cstheme="majorHAnsi"/>
                <w:noProof/>
                <w:webHidden/>
              </w:rPr>
              <w:fldChar w:fldCharType="end"/>
            </w:r>
          </w:hyperlink>
        </w:p>
        <w:p w14:paraId="106BA742" w14:textId="62385FA6" w:rsidR="00E51214" w:rsidRDefault="00F46F57" w:rsidP="00242C81">
          <w:pPr>
            <w:pStyle w:val="TOC1"/>
            <w:spacing w:line="360" w:lineRule="auto"/>
            <w:rPr>
              <w:rFonts w:ascii="Source Sans Pro" w:hAnsi="Source Sans Pro" w:cstheme="majorHAnsi"/>
              <w:noProof/>
            </w:rPr>
          </w:pPr>
          <w:r>
            <w:rPr>
              <w:rFonts w:ascii="Source Sans Pro" w:hAnsi="Source Sans Pro" w:cstheme="majorHAnsi"/>
              <w:noProof/>
            </w:rPr>
            <w:t>Introduction</w:t>
          </w:r>
          <w:r>
            <w:rPr>
              <w:rFonts w:ascii="Source Sans Pro" w:hAnsi="Source Sans Pro" w:cstheme="majorHAnsi"/>
              <w:noProof/>
            </w:rPr>
            <w:tab/>
          </w:r>
          <w:r w:rsidR="00AB34F9">
            <w:rPr>
              <w:rFonts w:ascii="Source Sans Pro" w:hAnsi="Source Sans Pro" w:cstheme="majorHAnsi"/>
              <w:noProof/>
            </w:rPr>
            <w:t>6</w:t>
          </w:r>
        </w:p>
        <w:p w14:paraId="48435D1D" w14:textId="70B24ADF" w:rsidR="00F46F57" w:rsidRDefault="00F46F57" w:rsidP="00E50D63">
          <w:pPr>
            <w:spacing w:after="100"/>
            <w:rPr>
              <w:lang w:val="en-AU" w:eastAsia="ja-JP"/>
            </w:rPr>
          </w:pPr>
          <w:r>
            <w:rPr>
              <w:lang w:val="en-AU" w:eastAsia="ja-JP"/>
            </w:rPr>
            <w:t>Positive changes introduced by the Bill</w:t>
          </w:r>
          <w:r>
            <w:rPr>
              <w:lang w:val="en-AU" w:eastAsia="ja-JP"/>
            </w:rPr>
            <w:tab/>
          </w:r>
          <w:r>
            <w:rPr>
              <w:lang w:val="en-AU" w:eastAsia="ja-JP"/>
            </w:rPr>
            <w:tab/>
          </w:r>
          <w:r>
            <w:rPr>
              <w:lang w:val="en-AU" w:eastAsia="ja-JP"/>
            </w:rPr>
            <w:tab/>
          </w:r>
          <w:r>
            <w:rPr>
              <w:lang w:val="en-AU" w:eastAsia="ja-JP"/>
            </w:rPr>
            <w:tab/>
          </w:r>
          <w:r>
            <w:rPr>
              <w:lang w:val="en-AU" w:eastAsia="ja-JP"/>
            </w:rPr>
            <w:tab/>
          </w:r>
          <w:r>
            <w:rPr>
              <w:lang w:val="en-AU" w:eastAsia="ja-JP"/>
            </w:rPr>
            <w:tab/>
          </w:r>
          <w:r>
            <w:rPr>
              <w:lang w:val="en-AU" w:eastAsia="ja-JP"/>
            </w:rPr>
            <w:tab/>
            <w:t xml:space="preserve">            </w:t>
          </w:r>
          <w:r w:rsidR="00AB34F9">
            <w:rPr>
              <w:lang w:val="en-AU" w:eastAsia="ja-JP"/>
            </w:rPr>
            <w:t>7</w:t>
          </w:r>
        </w:p>
        <w:p w14:paraId="3BD4B652" w14:textId="60B4811B" w:rsidR="00F46F57" w:rsidRDefault="00F46F57" w:rsidP="00242C81">
          <w:pPr>
            <w:spacing w:after="100"/>
            <w:rPr>
              <w:lang w:val="en-AU" w:eastAsia="ja-JP"/>
            </w:rPr>
          </w:pPr>
          <w:r>
            <w:rPr>
              <w:lang w:val="en-AU" w:eastAsia="ja-JP"/>
            </w:rPr>
            <w:t>Issues for consideration by the Committee</w:t>
          </w:r>
          <w:r>
            <w:rPr>
              <w:lang w:val="en-AU" w:eastAsia="ja-JP"/>
            </w:rPr>
            <w:tab/>
          </w:r>
          <w:r>
            <w:rPr>
              <w:lang w:val="en-AU" w:eastAsia="ja-JP"/>
            </w:rPr>
            <w:tab/>
          </w:r>
          <w:r>
            <w:rPr>
              <w:lang w:val="en-AU" w:eastAsia="ja-JP"/>
            </w:rPr>
            <w:tab/>
          </w:r>
          <w:r>
            <w:rPr>
              <w:lang w:val="en-AU" w:eastAsia="ja-JP"/>
            </w:rPr>
            <w:tab/>
          </w:r>
          <w:r>
            <w:rPr>
              <w:lang w:val="en-AU" w:eastAsia="ja-JP"/>
            </w:rPr>
            <w:tab/>
          </w:r>
          <w:r w:rsidR="008B751A">
            <w:rPr>
              <w:lang w:val="en-AU" w:eastAsia="ja-JP"/>
            </w:rPr>
            <w:tab/>
          </w:r>
          <w:r>
            <w:rPr>
              <w:lang w:val="en-AU" w:eastAsia="ja-JP"/>
            </w:rPr>
            <w:tab/>
            <w:t xml:space="preserve">            </w:t>
          </w:r>
          <w:r w:rsidR="00AB34F9">
            <w:rPr>
              <w:lang w:val="en-AU" w:eastAsia="ja-JP"/>
            </w:rPr>
            <w:t>8</w:t>
          </w:r>
        </w:p>
        <w:p w14:paraId="23187F35" w14:textId="07C9DD7A" w:rsidR="00F46F57" w:rsidRDefault="00F46F57" w:rsidP="00242C81">
          <w:pPr>
            <w:spacing w:after="100"/>
            <w:rPr>
              <w:lang w:val="en-AU" w:eastAsia="ja-JP"/>
            </w:rPr>
          </w:pPr>
          <w:r>
            <w:rPr>
              <w:lang w:val="en-AU" w:eastAsia="ja-JP"/>
            </w:rPr>
            <w:t>Amendments required to enhance safeguards for people with disability</w:t>
          </w:r>
          <w:r>
            <w:rPr>
              <w:lang w:val="en-AU" w:eastAsia="ja-JP"/>
            </w:rPr>
            <w:tab/>
          </w:r>
          <w:r>
            <w:rPr>
              <w:lang w:val="en-AU" w:eastAsia="ja-JP"/>
            </w:rPr>
            <w:tab/>
          </w:r>
          <w:r w:rsidR="008B751A">
            <w:rPr>
              <w:lang w:val="en-AU" w:eastAsia="ja-JP"/>
            </w:rPr>
            <w:tab/>
          </w:r>
          <w:r>
            <w:rPr>
              <w:lang w:val="en-AU" w:eastAsia="ja-JP"/>
            </w:rPr>
            <w:t xml:space="preserve">         </w:t>
          </w:r>
          <w:r w:rsidR="00ED7BF9">
            <w:rPr>
              <w:lang w:val="en-AU" w:eastAsia="ja-JP"/>
            </w:rPr>
            <w:t>12</w:t>
          </w:r>
        </w:p>
        <w:p w14:paraId="6000EFF5" w14:textId="37CA245D" w:rsidR="00E51214" w:rsidRPr="0010281C" w:rsidRDefault="00E51214" w:rsidP="00242C81">
          <w:pPr>
            <w:pStyle w:val="TOC1"/>
            <w:spacing w:line="360" w:lineRule="auto"/>
            <w:rPr>
              <w:rFonts w:ascii="Source Sans Pro" w:hAnsi="Source Sans Pro" w:cstheme="majorHAnsi"/>
              <w:noProof/>
              <w:sz w:val="22"/>
              <w:szCs w:val="22"/>
              <w:lang w:eastAsia="en-AU"/>
            </w:rPr>
          </w:pPr>
          <w:hyperlink w:anchor="_Toc130476834" w:history="1">
            <w:r w:rsidRPr="0010281C">
              <w:rPr>
                <w:rStyle w:val="Hyperlink"/>
                <w:rFonts w:ascii="Source Sans Pro" w:hAnsi="Source Sans Pro" w:cstheme="majorHAnsi"/>
                <w:noProof/>
              </w:rPr>
              <w:t>Conclusion</w:t>
            </w:r>
            <w:r w:rsidR="00242C81">
              <w:rPr>
                <w:rFonts w:ascii="Source Sans Pro" w:hAnsi="Source Sans Pro" w:cstheme="majorHAnsi"/>
                <w:noProof/>
                <w:webHidden/>
              </w:rPr>
              <w:tab/>
            </w:r>
            <w:r w:rsidR="00ED7BF9">
              <w:rPr>
                <w:rFonts w:ascii="Source Sans Pro" w:hAnsi="Source Sans Pro" w:cstheme="majorHAnsi"/>
                <w:noProof/>
                <w:webHidden/>
              </w:rPr>
              <w:t>20</w:t>
            </w:r>
          </w:hyperlink>
        </w:p>
        <w:p w14:paraId="1F026C03" w14:textId="77777777" w:rsidR="00E51214" w:rsidRPr="0010281C" w:rsidRDefault="00E51214" w:rsidP="00242C81">
          <w:pPr>
            <w:spacing w:after="100"/>
            <w:rPr>
              <w:b/>
              <w:bCs/>
              <w:noProof/>
            </w:rPr>
          </w:pPr>
          <w:r w:rsidRPr="0010281C">
            <w:rPr>
              <w:rFonts w:cstheme="majorHAnsi"/>
              <w:b/>
              <w:bCs/>
              <w:noProof/>
            </w:rPr>
            <w:fldChar w:fldCharType="end"/>
          </w:r>
        </w:p>
      </w:sdtContent>
    </w:sdt>
    <w:p w14:paraId="459302D9" w14:textId="0441AAAF" w:rsidR="00F259AF" w:rsidRPr="0010281C" w:rsidRDefault="00F259AF" w:rsidP="0001445D"/>
    <w:p w14:paraId="1AA5A4FD" w14:textId="77777777" w:rsidR="00F259AF" w:rsidRPr="0010281C" w:rsidRDefault="00F259AF" w:rsidP="0001445D"/>
    <w:p w14:paraId="4227D72C" w14:textId="77777777" w:rsidR="009C02B0" w:rsidRPr="0010281C" w:rsidRDefault="009C02B0" w:rsidP="0001445D"/>
    <w:p w14:paraId="16368126" w14:textId="77777777" w:rsidR="009C02B0" w:rsidRPr="0010281C" w:rsidRDefault="009C02B0" w:rsidP="0001445D">
      <w:pPr>
        <w:rPr>
          <w:b/>
          <w:bCs/>
        </w:rPr>
      </w:pPr>
    </w:p>
    <w:p w14:paraId="60D24A67" w14:textId="77777777" w:rsidR="00FA70F6" w:rsidRPr="0010281C" w:rsidRDefault="00FA70F6" w:rsidP="0001445D">
      <w:pPr>
        <w:rPr>
          <w:b/>
          <w:bCs/>
        </w:rPr>
      </w:pPr>
    </w:p>
    <w:p w14:paraId="239AED05" w14:textId="77777777" w:rsidR="00FA70F6" w:rsidRPr="0010281C" w:rsidRDefault="00FA70F6" w:rsidP="0001445D">
      <w:pPr>
        <w:rPr>
          <w:b/>
          <w:bCs/>
        </w:rPr>
      </w:pPr>
    </w:p>
    <w:p w14:paraId="1A69FFBA" w14:textId="77777777" w:rsidR="00FA70F6" w:rsidRDefault="00FA70F6" w:rsidP="0001445D">
      <w:pPr>
        <w:rPr>
          <w:b/>
          <w:bCs/>
        </w:rPr>
      </w:pPr>
    </w:p>
    <w:p w14:paraId="40CC1FC5" w14:textId="77777777" w:rsidR="00F46F57" w:rsidRDefault="00F46F57" w:rsidP="0001445D">
      <w:pPr>
        <w:rPr>
          <w:b/>
          <w:bCs/>
        </w:rPr>
      </w:pPr>
    </w:p>
    <w:p w14:paraId="2012A927" w14:textId="77777777" w:rsidR="00F46F57" w:rsidRDefault="00F46F57" w:rsidP="0001445D">
      <w:pPr>
        <w:rPr>
          <w:b/>
          <w:bCs/>
        </w:rPr>
      </w:pPr>
    </w:p>
    <w:p w14:paraId="3F1AAE2A" w14:textId="77777777" w:rsidR="00F46F57" w:rsidRDefault="00F46F57" w:rsidP="0001445D">
      <w:pPr>
        <w:rPr>
          <w:b/>
          <w:bCs/>
        </w:rPr>
      </w:pPr>
    </w:p>
    <w:p w14:paraId="57DD6BE9" w14:textId="77777777" w:rsidR="00F46F57" w:rsidRPr="0010281C" w:rsidRDefault="00F46F57" w:rsidP="0001445D">
      <w:pPr>
        <w:rPr>
          <w:b/>
          <w:bCs/>
        </w:rPr>
      </w:pPr>
    </w:p>
    <w:p w14:paraId="3EBB34CA" w14:textId="77777777" w:rsidR="00FA70F6" w:rsidRPr="0010281C" w:rsidRDefault="00FA70F6" w:rsidP="0001445D">
      <w:pPr>
        <w:rPr>
          <w:b/>
          <w:bCs/>
        </w:rPr>
      </w:pPr>
    </w:p>
    <w:p w14:paraId="2296F4EF" w14:textId="77777777" w:rsidR="00FA70F6" w:rsidRPr="0010281C" w:rsidRDefault="00FA70F6" w:rsidP="0001445D">
      <w:pPr>
        <w:rPr>
          <w:b/>
          <w:bCs/>
        </w:rPr>
      </w:pPr>
    </w:p>
    <w:p w14:paraId="57921147" w14:textId="77777777" w:rsidR="00FA70F6" w:rsidRDefault="00FA70F6" w:rsidP="0001445D">
      <w:pPr>
        <w:rPr>
          <w:b/>
          <w:bCs/>
        </w:rPr>
      </w:pPr>
    </w:p>
    <w:p w14:paraId="1F6AE0A3" w14:textId="77777777" w:rsidR="0026022A" w:rsidRDefault="0026022A" w:rsidP="0001445D">
      <w:pPr>
        <w:rPr>
          <w:b/>
          <w:bCs/>
        </w:rPr>
      </w:pPr>
    </w:p>
    <w:p w14:paraId="2ECFFF67" w14:textId="77777777" w:rsidR="0026022A" w:rsidRDefault="0026022A" w:rsidP="0001445D">
      <w:pPr>
        <w:rPr>
          <w:b/>
          <w:bCs/>
        </w:rPr>
      </w:pPr>
    </w:p>
    <w:p w14:paraId="36588D95" w14:textId="77777777" w:rsidR="0026022A" w:rsidRPr="0010281C" w:rsidRDefault="0026022A" w:rsidP="0001445D">
      <w:pPr>
        <w:rPr>
          <w:b/>
          <w:bCs/>
        </w:rPr>
      </w:pPr>
    </w:p>
    <w:p w14:paraId="3AB0A9E6" w14:textId="77777777" w:rsidR="00FA70F6" w:rsidRPr="0010281C" w:rsidRDefault="00FA70F6" w:rsidP="0001445D">
      <w:pPr>
        <w:rPr>
          <w:b/>
          <w:bCs/>
        </w:rPr>
      </w:pPr>
    </w:p>
    <w:p w14:paraId="177BED02" w14:textId="77777777" w:rsidR="00FA70F6" w:rsidRPr="0010281C" w:rsidRDefault="00FA70F6" w:rsidP="0001445D">
      <w:pPr>
        <w:rPr>
          <w:b/>
          <w:bCs/>
        </w:rPr>
      </w:pPr>
    </w:p>
    <w:p w14:paraId="4F08A2D0" w14:textId="7F1DC26F" w:rsidR="006B3448" w:rsidRPr="0010281C" w:rsidRDefault="00FA70F6" w:rsidP="00AB16F1">
      <w:pPr>
        <w:pStyle w:val="QAIHeading2"/>
      </w:pPr>
      <w:bookmarkStart w:id="2" w:name="_Toc130476828"/>
      <w:r w:rsidRPr="0010281C">
        <w:lastRenderedPageBreak/>
        <w:t>QAI’s recommendations</w:t>
      </w:r>
      <w:bookmarkEnd w:id="2"/>
    </w:p>
    <w:tbl>
      <w:tblPr>
        <w:tblStyle w:val="TableGrid"/>
        <w:tblW w:w="0" w:type="auto"/>
        <w:tblLook w:val="04A0" w:firstRow="1" w:lastRow="0" w:firstColumn="1" w:lastColumn="0" w:noHBand="0" w:noVBand="1"/>
      </w:tblPr>
      <w:tblGrid>
        <w:gridCol w:w="9346"/>
      </w:tblGrid>
      <w:tr w:rsidR="00FA70F6" w:rsidRPr="0010281C" w14:paraId="4550F943" w14:textId="77777777" w:rsidTr="006B3448">
        <w:tc>
          <w:tcPr>
            <w:tcW w:w="9346" w:type="dxa"/>
            <w:shd w:val="clear" w:color="auto" w:fill="F2F2F2" w:themeFill="background1" w:themeFillShade="F2"/>
          </w:tcPr>
          <w:p w14:paraId="05285A54" w14:textId="7096D232" w:rsidR="00FA70F6" w:rsidRPr="00972C58" w:rsidRDefault="00FA70F6" w:rsidP="00972C58">
            <w:pPr>
              <w:spacing w:before="240" w:after="240"/>
            </w:pPr>
            <w:r w:rsidRPr="00972C58">
              <w:t xml:space="preserve">1. </w:t>
            </w:r>
            <w:r w:rsidR="00362CCF" w:rsidRPr="00972C58">
              <w:t xml:space="preserve">Amend the proposed authorisation framework to ensure it </w:t>
            </w:r>
            <w:r w:rsidR="000035D6" w:rsidRPr="00972C58">
              <w:t xml:space="preserve">applies to </w:t>
            </w:r>
            <w:r w:rsidR="006B3448" w:rsidRPr="00972C58">
              <w:t xml:space="preserve">all settings in which people with disability are subjected to restrictive practices, including </w:t>
            </w:r>
            <w:r w:rsidR="000035D6" w:rsidRPr="00972C58">
              <w:t xml:space="preserve">residential service providers accredited under the </w:t>
            </w:r>
            <w:r w:rsidR="000035D6" w:rsidRPr="00972C58">
              <w:rPr>
                <w:i/>
                <w:iCs/>
              </w:rPr>
              <w:t>Residential Services</w:t>
            </w:r>
            <w:r w:rsidR="00887437" w:rsidRPr="00972C58">
              <w:rPr>
                <w:i/>
                <w:iCs/>
              </w:rPr>
              <w:t xml:space="preserve"> (Accreditation) Act 2002</w:t>
            </w:r>
            <w:r w:rsidR="00887437" w:rsidRPr="00972C58">
              <w:t>.</w:t>
            </w:r>
          </w:p>
          <w:p w14:paraId="3E6FFDAC" w14:textId="03083E9F" w:rsidR="006D612D" w:rsidRPr="00972C58" w:rsidRDefault="00887437" w:rsidP="00972C58">
            <w:pPr>
              <w:spacing w:after="240"/>
            </w:pPr>
            <w:r w:rsidRPr="00972C58">
              <w:t xml:space="preserve">2. </w:t>
            </w:r>
            <w:r w:rsidR="002A1095" w:rsidRPr="00972C58">
              <w:t>Enhance</w:t>
            </w:r>
            <w:r w:rsidR="00225C38" w:rsidRPr="00972C58">
              <w:t xml:space="preserve"> checks and balances on the appoint</w:t>
            </w:r>
            <w:r w:rsidR="00C44124" w:rsidRPr="00972C58">
              <w:t>ment of</w:t>
            </w:r>
            <w:r w:rsidRPr="00972C58">
              <w:t xml:space="preserve"> the Senior Practitioner</w:t>
            </w:r>
            <w:r w:rsidR="00C44124" w:rsidRPr="00972C58">
              <w:t xml:space="preserve"> to ensure they</w:t>
            </w:r>
            <w:r w:rsidRPr="00972C58">
              <w:t xml:space="preserve"> do not make decisions in an </w:t>
            </w:r>
            <w:r w:rsidR="009B3B97" w:rsidRPr="00972C58">
              <w:t>overly paternalistic</w:t>
            </w:r>
            <w:r w:rsidR="004137F9" w:rsidRPr="00972C58">
              <w:t xml:space="preserve"> way</w:t>
            </w:r>
            <w:r w:rsidR="00DD7E73" w:rsidRPr="00972C58">
              <w:t>.</w:t>
            </w:r>
            <w:r w:rsidR="001924C1" w:rsidRPr="00972C58">
              <w:t xml:space="preserve"> </w:t>
            </w:r>
            <w:r w:rsidR="002A1095" w:rsidRPr="00972C58">
              <w:t xml:space="preserve">For example, require the Senior Practitioner to consider the human rights listed in section 18 when </w:t>
            </w:r>
            <w:proofErr w:type="gramStart"/>
            <w:r w:rsidR="002A1095" w:rsidRPr="00972C58">
              <w:t>making a decision</w:t>
            </w:r>
            <w:proofErr w:type="gramEnd"/>
            <w:r w:rsidR="002A1095" w:rsidRPr="00972C58">
              <w:t xml:space="preserve"> to authorise a restrictive practice </w:t>
            </w:r>
            <w:r w:rsidR="006E5447" w:rsidRPr="00972C58">
              <w:t>and require them to report how</w:t>
            </w:r>
            <w:r w:rsidR="002760C0" w:rsidRPr="00972C58">
              <w:t xml:space="preserve"> their decisions impact on human rights.</w:t>
            </w:r>
          </w:p>
          <w:p w14:paraId="1A099A5B" w14:textId="5C59DC59" w:rsidR="00225C38" w:rsidRPr="00972C58" w:rsidRDefault="00DD7E73" w:rsidP="00972C58">
            <w:pPr>
              <w:spacing w:after="240"/>
            </w:pPr>
            <w:r w:rsidRPr="00972C58">
              <w:t xml:space="preserve">3. </w:t>
            </w:r>
            <w:r w:rsidR="00D81D57" w:rsidRPr="00972C58">
              <w:t xml:space="preserve">Consider </w:t>
            </w:r>
            <w:r w:rsidR="00225C38" w:rsidRPr="00972C58">
              <w:t>the cultural safety of the Senior Practitioner model for First Nations people with disability</w:t>
            </w:r>
            <w:r w:rsidR="00D81D57" w:rsidRPr="00972C58">
              <w:t xml:space="preserve"> and engage in further consultation with First Nations people with disability and their </w:t>
            </w:r>
            <w:r w:rsidR="002760C0" w:rsidRPr="00972C58">
              <w:t>representative organisations</w:t>
            </w:r>
            <w:r w:rsidR="00BC7581" w:rsidRPr="00972C58">
              <w:t>.</w:t>
            </w:r>
          </w:p>
          <w:p w14:paraId="7CBBF9F2" w14:textId="36DF703F" w:rsidR="005514DD" w:rsidRDefault="00D33FCC" w:rsidP="00972C58">
            <w:pPr>
              <w:spacing w:after="240"/>
            </w:pPr>
            <w:r w:rsidRPr="00972C58">
              <w:t>4</w:t>
            </w:r>
            <w:r w:rsidR="005514DD" w:rsidRPr="00972C58">
              <w:t>. Provide people with disability who are subjected to authorised restrictive practices with automatic legal representation that is free and not means tested.</w:t>
            </w:r>
          </w:p>
          <w:p w14:paraId="2862DA91" w14:textId="1F055AC8" w:rsidR="00347DAC" w:rsidRPr="00972C58" w:rsidRDefault="00347DAC" w:rsidP="00972C58">
            <w:pPr>
              <w:spacing w:after="240"/>
            </w:pPr>
            <w:r>
              <w:t>5. Ensure that expert evidence from a multidisciplinary team of clinicians is gathered as part of developing behaviour support plans, particularly in circumstances where a service provider seeks to contain or seclude a person with disability</w:t>
            </w:r>
            <w:r w:rsidR="000F4DC6">
              <w:t>.</w:t>
            </w:r>
          </w:p>
          <w:p w14:paraId="0A2619CA" w14:textId="48045EE1" w:rsidR="007B33A2" w:rsidRPr="00972C58" w:rsidRDefault="000F4DC6" w:rsidP="00972C58">
            <w:pPr>
              <w:spacing w:after="240"/>
              <w:rPr>
                <w:rStyle w:val="BookTitle"/>
                <w:b w:val="0"/>
                <w:bCs w:val="0"/>
                <w:i w:val="0"/>
                <w:iCs w:val="0"/>
              </w:rPr>
            </w:pPr>
            <w:r>
              <w:t>6</w:t>
            </w:r>
            <w:r w:rsidR="00D33FCC" w:rsidRPr="00972C58">
              <w:t xml:space="preserve">. Include </w:t>
            </w:r>
            <w:r w:rsidR="00D33FCC" w:rsidRPr="00972C58">
              <w:rPr>
                <w:rStyle w:val="BookTitle"/>
                <w:b w:val="0"/>
                <w:bCs w:val="0"/>
                <w:i w:val="0"/>
                <w:iCs w:val="0"/>
              </w:rPr>
              <w:t>the right to freedom from torture or cruel, inhuman or degrading treatment or punishment as a supporting right to the human rights principle stated in clause 18.</w:t>
            </w:r>
          </w:p>
          <w:p w14:paraId="2D01CFC1" w14:textId="4C5EAF51" w:rsidR="00736C66" w:rsidRPr="00972C58" w:rsidRDefault="000F4DC6" w:rsidP="00972C58">
            <w:pPr>
              <w:spacing w:after="240"/>
            </w:pPr>
            <w:r>
              <w:t>7</w:t>
            </w:r>
            <w:r w:rsidR="00736C66" w:rsidRPr="00972C58">
              <w:t xml:space="preserve">. Add the word ‘serious’ </w:t>
            </w:r>
            <w:r w:rsidR="00F37046" w:rsidRPr="00972C58">
              <w:t xml:space="preserve">so that the Bill </w:t>
            </w:r>
            <w:r w:rsidR="00FA60D8" w:rsidRPr="00972C58">
              <w:t>states that restrictive practices can only be used</w:t>
            </w:r>
            <w:r w:rsidR="00F37046" w:rsidRPr="00972C58">
              <w:t xml:space="preserve"> as a last resort, in response to a </w:t>
            </w:r>
            <w:r w:rsidR="00F37046" w:rsidRPr="00972C58">
              <w:rPr>
                <w:i/>
                <w:iCs/>
              </w:rPr>
              <w:t xml:space="preserve">serious </w:t>
            </w:r>
            <w:r w:rsidR="00F37046" w:rsidRPr="00972C58">
              <w:t>risk of harm to a person with disability or others</w:t>
            </w:r>
            <w:r w:rsidR="00FA60D8" w:rsidRPr="00972C58">
              <w:t>, at relevant clauses.</w:t>
            </w:r>
          </w:p>
          <w:p w14:paraId="5770B653" w14:textId="15D362EE" w:rsidR="00B771C0" w:rsidRPr="00972C58" w:rsidRDefault="000F4DC6" w:rsidP="00972C58">
            <w:pPr>
              <w:spacing w:after="240"/>
            </w:pPr>
            <w:r>
              <w:t>8</w:t>
            </w:r>
            <w:r w:rsidR="00B771C0" w:rsidRPr="00972C58">
              <w:t>. Explicitly include</w:t>
            </w:r>
            <w:r w:rsidR="00E111E9">
              <w:t xml:space="preserve"> reference to the need for people with disability to have access to supported decision-making</w:t>
            </w:r>
            <w:r w:rsidR="00AB34F9">
              <w:t xml:space="preserve">. </w:t>
            </w:r>
          </w:p>
          <w:p w14:paraId="50653EC2" w14:textId="7E2112F8" w:rsidR="0015194F" w:rsidRPr="00972C58" w:rsidRDefault="000F4DC6" w:rsidP="00972C58">
            <w:pPr>
              <w:spacing w:after="240"/>
            </w:pPr>
            <w:r>
              <w:t>9</w:t>
            </w:r>
            <w:r w:rsidR="006B3448" w:rsidRPr="00972C58">
              <w:t>. Clarify which restrictive practices are to be prohibited and include them in legislation rather than regulation.</w:t>
            </w:r>
          </w:p>
          <w:p w14:paraId="5306DA71" w14:textId="54C72AFC" w:rsidR="0015194F" w:rsidRPr="00972C58" w:rsidRDefault="000F4DC6" w:rsidP="00972C58">
            <w:pPr>
              <w:spacing w:after="240"/>
            </w:pPr>
            <w:r>
              <w:t>10</w:t>
            </w:r>
            <w:r w:rsidR="006B3448" w:rsidRPr="00972C58">
              <w:t>. Introduce a provider of last resort with regards to the preparation of positive behaviour support plans.</w:t>
            </w:r>
          </w:p>
          <w:p w14:paraId="46B6067B" w14:textId="73144945" w:rsidR="0015194F" w:rsidRPr="00972C58" w:rsidRDefault="006B3448" w:rsidP="00972C58">
            <w:pPr>
              <w:spacing w:after="240"/>
            </w:pPr>
            <w:r w:rsidRPr="00972C58">
              <w:lastRenderedPageBreak/>
              <w:t>1</w:t>
            </w:r>
            <w:r w:rsidR="000F4DC6">
              <w:t>1</w:t>
            </w:r>
            <w:r w:rsidRPr="00972C58">
              <w:t xml:space="preserve">. </w:t>
            </w:r>
            <w:r w:rsidR="0015194F" w:rsidRPr="00972C58">
              <w:t>Introduce penalties for service providers who fail to adhere to positive behaviour support plans.</w:t>
            </w:r>
          </w:p>
          <w:p w14:paraId="79109993" w14:textId="512F70AB" w:rsidR="0015194F" w:rsidRPr="00972C58" w:rsidRDefault="006B3448" w:rsidP="00972C58">
            <w:pPr>
              <w:spacing w:before="240" w:after="240"/>
            </w:pPr>
            <w:r w:rsidRPr="00972C58">
              <w:t>1</w:t>
            </w:r>
            <w:r w:rsidR="000F4DC6">
              <w:t>2.</w:t>
            </w:r>
            <w:r w:rsidRPr="00972C58">
              <w:t xml:space="preserve"> </w:t>
            </w:r>
            <w:r w:rsidR="002A5330">
              <w:t xml:space="preserve">Regulate which </w:t>
            </w:r>
            <w:r w:rsidR="0015194F" w:rsidRPr="00972C58">
              <w:t xml:space="preserve">staff members </w:t>
            </w:r>
            <w:r w:rsidR="009B213A" w:rsidRPr="00972C58">
              <w:t>at</w:t>
            </w:r>
            <w:r w:rsidR="0015194F" w:rsidRPr="00972C58">
              <w:t xml:space="preserve"> a service provider can implement restrictive practices.</w:t>
            </w:r>
            <w:r w:rsidR="009B213A" w:rsidRPr="00972C58">
              <w:t xml:space="preserve"> For example, require that only staff</w:t>
            </w:r>
            <w:r w:rsidR="000C49A6">
              <w:t xml:space="preserve"> members</w:t>
            </w:r>
            <w:r w:rsidR="009B213A" w:rsidRPr="00972C58">
              <w:t xml:space="preserve"> with certain training</w:t>
            </w:r>
            <w:r w:rsidR="000C49A6">
              <w:t>,</w:t>
            </w:r>
            <w:r w:rsidR="009B213A" w:rsidRPr="00972C58">
              <w:t xml:space="preserve"> qualifications </w:t>
            </w:r>
            <w:r w:rsidR="000C49A6">
              <w:t>and/or experience c</w:t>
            </w:r>
            <w:r w:rsidR="005352FF" w:rsidRPr="00972C58">
              <w:t>an</w:t>
            </w:r>
            <w:r w:rsidR="00A51A75" w:rsidRPr="00972C58">
              <w:t xml:space="preserve"> implement restrictive practices.</w:t>
            </w:r>
          </w:p>
          <w:p w14:paraId="16974C26" w14:textId="02DCAADC" w:rsidR="00887437" w:rsidRPr="0010281C" w:rsidRDefault="006B3448" w:rsidP="00972C58">
            <w:pPr>
              <w:spacing w:after="240"/>
            </w:pPr>
            <w:r w:rsidRPr="00972C58">
              <w:t>1</w:t>
            </w:r>
            <w:r w:rsidR="000F4DC6">
              <w:t>3</w:t>
            </w:r>
            <w:r w:rsidRPr="00972C58">
              <w:t xml:space="preserve">. </w:t>
            </w:r>
            <w:r w:rsidR="0015194F" w:rsidRPr="00972C58">
              <w:t>Require the team working alongside the Senior Practitioner to include people with lived experience of disability and restrictive practices.</w:t>
            </w:r>
          </w:p>
        </w:tc>
      </w:tr>
    </w:tbl>
    <w:p w14:paraId="5E5D463D" w14:textId="77777777" w:rsidR="006B3448" w:rsidRDefault="006B3448" w:rsidP="00AB16F1">
      <w:pPr>
        <w:pStyle w:val="QAIHeading2"/>
      </w:pPr>
      <w:bookmarkStart w:id="3" w:name="_Toc130476830"/>
    </w:p>
    <w:p w14:paraId="659F170A" w14:textId="77777777" w:rsidR="006B3448" w:rsidRDefault="006B3448" w:rsidP="00AB16F1">
      <w:pPr>
        <w:pStyle w:val="QAIHeading2"/>
      </w:pPr>
    </w:p>
    <w:p w14:paraId="78862B15" w14:textId="77777777" w:rsidR="006B3448" w:rsidRDefault="006B3448" w:rsidP="00AB16F1">
      <w:pPr>
        <w:pStyle w:val="QAIHeading2"/>
      </w:pPr>
    </w:p>
    <w:p w14:paraId="1723ADC9" w14:textId="77777777" w:rsidR="006B3448" w:rsidRDefault="006B3448" w:rsidP="00AB16F1">
      <w:pPr>
        <w:pStyle w:val="QAIHeading2"/>
      </w:pPr>
    </w:p>
    <w:p w14:paraId="6A1D12BA" w14:textId="77777777" w:rsidR="006B3448" w:rsidRDefault="006B3448" w:rsidP="00AB16F1">
      <w:pPr>
        <w:pStyle w:val="QAIHeading2"/>
      </w:pPr>
    </w:p>
    <w:p w14:paraId="3EE1869C" w14:textId="77777777" w:rsidR="006B3448" w:rsidRDefault="006B3448" w:rsidP="00AB16F1">
      <w:pPr>
        <w:pStyle w:val="QAIHeading2"/>
      </w:pPr>
    </w:p>
    <w:p w14:paraId="32BD260E" w14:textId="77777777" w:rsidR="006B3448" w:rsidRDefault="006B3448" w:rsidP="00AB16F1">
      <w:pPr>
        <w:pStyle w:val="QAIHeading2"/>
      </w:pPr>
    </w:p>
    <w:p w14:paraId="79833F27" w14:textId="77777777" w:rsidR="006B3448" w:rsidRDefault="006B3448" w:rsidP="00AB16F1">
      <w:pPr>
        <w:pStyle w:val="QAIHeading2"/>
      </w:pPr>
    </w:p>
    <w:p w14:paraId="07E9E76C" w14:textId="77777777" w:rsidR="006B3448" w:rsidRDefault="006B3448" w:rsidP="00AB16F1">
      <w:pPr>
        <w:pStyle w:val="QAIHeading2"/>
      </w:pPr>
    </w:p>
    <w:p w14:paraId="7E7A643E" w14:textId="77777777" w:rsidR="006B3448" w:rsidRDefault="006B3448" w:rsidP="00AB16F1">
      <w:pPr>
        <w:pStyle w:val="QAIHeading2"/>
      </w:pPr>
    </w:p>
    <w:p w14:paraId="04AED3FA" w14:textId="77777777" w:rsidR="006B3448" w:rsidRDefault="006B3448" w:rsidP="00AB16F1">
      <w:pPr>
        <w:pStyle w:val="QAIHeading2"/>
      </w:pPr>
    </w:p>
    <w:p w14:paraId="1B1F3C35" w14:textId="77777777" w:rsidR="006B3448" w:rsidRDefault="006B3448" w:rsidP="00AB16F1">
      <w:pPr>
        <w:pStyle w:val="QAIHeading2"/>
      </w:pPr>
    </w:p>
    <w:p w14:paraId="20796B9E" w14:textId="77777777" w:rsidR="006B3448" w:rsidRDefault="006B3448" w:rsidP="00AB16F1">
      <w:pPr>
        <w:pStyle w:val="QAIHeading2"/>
      </w:pPr>
    </w:p>
    <w:p w14:paraId="0BE40910" w14:textId="13AD1F9D" w:rsidR="00D765EF" w:rsidRDefault="00D33FCC" w:rsidP="00AB16F1">
      <w:pPr>
        <w:pStyle w:val="QAIHeading2"/>
      </w:pPr>
      <w:r>
        <w:lastRenderedPageBreak/>
        <w:t>I</w:t>
      </w:r>
      <w:r w:rsidR="00FA70F6" w:rsidRPr="0010281C">
        <w:t>ntroduction</w:t>
      </w:r>
      <w:bookmarkStart w:id="4" w:name="_Toc130476831"/>
      <w:bookmarkEnd w:id="3"/>
    </w:p>
    <w:p w14:paraId="637E3CDA" w14:textId="1E2F3A2F" w:rsidR="00CB1AED" w:rsidRDefault="004E7D44" w:rsidP="00CB1AED">
      <w:pPr>
        <w:spacing w:after="240"/>
      </w:pPr>
      <w:r>
        <w:t>QAI</w:t>
      </w:r>
      <w:r w:rsidR="006B4591">
        <w:t xml:space="preserve"> welcome</w:t>
      </w:r>
      <w:r>
        <w:t>s</w:t>
      </w:r>
      <w:r w:rsidR="006B4591">
        <w:t xml:space="preserve"> the</w:t>
      </w:r>
      <w:r>
        <w:t xml:space="preserve"> introduction of the </w:t>
      </w:r>
      <w:r w:rsidRPr="005F3CEB">
        <w:rPr>
          <w:i/>
          <w:iCs/>
        </w:rPr>
        <w:t>Disability Services (Restrictive Practices)</w:t>
      </w:r>
      <w:r w:rsidR="001015BB" w:rsidRPr="005F3CEB">
        <w:rPr>
          <w:i/>
          <w:iCs/>
        </w:rPr>
        <w:t xml:space="preserve"> and Other Legislation Amendment Bill 2024</w:t>
      </w:r>
      <w:r w:rsidR="006B4591" w:rsidRPr="005F3CEB">
        <w:rPr>
          <w:i/>
          <w:iCs/>
        </w:rPr>
        <w:t xml:space="preserve"> </w:t>
      </w:r>
      <w:r w:rsidR="001015BB">
        <w:t>(</w:t>
      </w:r>
      <w:r w:rsidR="001015BB" w:rsidRPr="001015BB">
        <w:rPr>
          <w:b/>
          <w:bCs/>
        </w:rPr>
        <w:t xml:space="preserve">the </w:t>
      </w:r>
      <w:r w:rsidR="006B4591" w:rsidRPr="001015BB">
        <w:rPr>
          <w:b/>
          <w:bCs/>
        </w:rPr>
        <w:t>Bill</w:t>
      </w:r>
      <w:r w:rsidR="001015BB">
        <w:t>)</w:t>
      </w:r>
      <w:r w:rsidR="006B4591">
        <w:t xml:space="preserve"> and the</w:t>
      </w:r>
      <w:r w:rsidR="001015BB">
        <w:t xml:space="preserve"> Queensland</w:t>
      </w:r>
      <w:r w:rsidR="006B4591">
        <w:t xml:space="preserve"> </w:t>
      </w:r>
      <w:r w:rsidR="001015BB">
        <w:t>G</w:t>
      </w:r>
      <w:r w:rsidR="006B4591">
        <w:t xml:space="preserve">overnment’s </w:t>
      </w:r>
      <w:r w:rsidR="005F3CEB">
        <w:t>commitment</w:t>
      </w:r>
      <w:r w:rsidR="006B4591">
        <w:t xml:space="preserve"> to improv</w:t>
      </w:r>
      <w:r w:rsidR="005F3CEB">
        <w:t>ing</w:t>
      </w:r>
      <w:r>
        <w:t xml:space="preserve"> the regulatory framework authori</w:t>
      </w:r>
      <w:r w:rsidR="001015BB">
        <w:t>s</w:t>
      </w:r>
      <w:r>
        <w:t>ing the use of restrictive practices.</w:t>
      </w:r>
      <w:r w:rsidR="004C088D">
        <w:t xml:space="preserve"> </w:t>
      </w:r>
    </w:p>
    <w:p w14:paraId="19B645E7" w14:textId="410514C1" w:rsidR="00D96114" w:rsidRDefault="006D289B" w:rsidP="007D7F0D">
      <w:pPr>
        <w:spacing w:after="240"/>
      </w:pPr>
      <w:r>
        <w:t>As</w:t>
      </w:r>
      <w:r w:rsidR="004C088D">
        <w:t xml:space="preserve"> the Minister</w:t>
      </w:r>
      <w:r>
        <w:t xml:space="preserve"> </w:t>
      </w:r>
      <w:r w:rsidR="004C088D">
        <w:t>acknowledge</w:t>
      </w:r>
      <w:r>
        <w:t>d,</w:t>
      </w:r>
      <w:r w:rsidR="00283EBE">
        <w:t xml:space="preserve"> “restrictive practices are used too often and sometimes inappropriately”</w:t>
      </w:r>
      <w:r w:rsidR="00283EBE">
        <w:rPr>
          <w:rStyle w:val="FootnoteReference"/>
        </w:rPr>
        <w:footnoteReference w:id="2"/>
      </w:r>
      <w:r w:rsidR="00B03D16">
        <w:t xml:space="preserve"> and “can have substantial impacts on the rights and freedoms as well as the physical and emotional wellbeing</w:t>
      </w:r>
      <w:r w:rsidR="00D91725">
        <w:t xml:space="preserve">” of the person subjected to them. </w:t>
      </w:r>
    </w:p>
    <w:p w14:paraId="498ADA13" w14:textId="1AADD511" w:rsidR="007D7F0D" w:rsidRDefault="0006797A" w:rsidP="007D7F0D">
      <w:pPr>
        <w:spacing w:after="240"/>
      </w:pPr>
      <w:r>
        <w:t>During the Bill’s explanatory speech, the Minister</w:t>
      </w:r>
      <w:r w:rsidR="007D7F0D">
        <w:t xml:space="preserve"> cited the findings of the Royal Commission into Violence, Abuse, Neglect and Exploitation of People with Disability</w:t>
      </w:r>
      <w:r w:rsidR="00165469">
        <w:t xml:space="preserve"> (</w:t>
      </w:r>
      <w:r w:rsidR="00165469" w:rsidRPr="00165469">
        <w:rPr>
          <w:b/>
          <w:bCs/>
        </w:rPr>
        <w:t>Disability Royal Commission</w:t>
      </w:r>
      <w:r w:rsidR="00165469">
        <w:t xml:space="preserve">) as a key reason </w:t>
      </w:r>
      <w:r>
        <w:t>for introducing</w:t>
      </w:r>
      <w:r w:rsidR="00D96114">
        <w:t xml:space="preserve"> </w:t>
      </w:r>
      <w:r w:rsidR="00165469">
        <w:t>this Bill</w:t>
      </w:r>
      <w:r>
        <w:t xml:space="preserve"> into parliament</w:t>
      </w:r>
      <w:r w:rsidR="00165469">
        <w:t>.</w:t>
      </w:r>
      <w:r>
        <w:t xml:space="preserve"> </w:t>
      </w:r>
      <w:r w:rsidR="00DC4DC6">
        <w:t>However, w</w:t>
      </w:r>
      <w:r w:rsidR="00165469">
        <w:t>hile</w:t>
      </w:r>
      <w:r>
        <w:t xml:space="preserve"> </w:t>
      </w:r>
      <w:r w:rsidR="00DC4DC6">
        <w:t>the Bill</w:t>
      </w:r>
      <w:r w:rsidR="00165469">
        <w:t xml:space="preserve"> in</w:t>
      </w:r>
      <w:r w:rsidR="007A7767">
        <w:t>troduces</w:t>
      </w:r>
      <w:r w:rsidR="00165469">
        <w:t xml:space="preserve"> some welcome changes, QAI is disappointed to see that </w:t>
      </w:r>
      <w:r w:rsidR="00DC4DC6">
        <w:t>it</w:t>
      </w:r>
      <w:r w:rsidR="00165469">
        <w:t xml:space="preserve"> falls short of the re</w:t>
      </w:r>
      <w:r w:rsidR="00325E56">
        <w:t>commendations</w:t>
      </w:r>
      <w:r w:rsidR="007A7767">
        <w:t xml:space="preserve"> made by</w:t>
      </w:r>
      <w:r w:rsidR="00325E56">
        <w:t xml:space="preserve"> the Disability Royal Commission</w:t>
      </w:r>
      <w:r w:rsidR="00D50E7F">
        <w:t xml:space="preserve"> (see Recommendations 6.35-6.4</w:t>
      </w:r>
      <w:r w:rsidR="009E6496">
        <w:t>1</w:t>
      </w:r>
      <w:r w:rsidR="00D50E7F">
        <w:t>)</w:t>
      </w:r>
      <w:r w:rsidR="00ED0F73">
        <w:t xml:space="preserve">; recommendations that many in the sector consider to be </w:t>
      </w:r>
      <w:r w:rsidR="00544E17">
        <w:t>moderate</w:t>
      </w:r>
      <w:r w:rsidR="000D5FC2">
        <w:t>,</w:t>
      </w:r>
      <w:r w:rsidR="00ED0F73">
        <w:t xml:space="preserve"> </w:t>
      </w:r>
      <w:r w:rsidR="00324EE3">
        <w:t>at best</w:t>
      </w:r>
      <w:r w:rsidR="00D50E7F">
        <w:t>.</w:t>
      </w:r>
      <w:r w:rsidR="00544E17">
        <w:rPr>
          <w:rStyle w:val="FootnoteReference"/>
        </w:rPr>
        <w:footnoteReference w:id="3"/>
      </w:r>
    </w:p>
    <w:p w14:paraId="656D410A" w14:textId="2866979E" w:rsidR="00F01022" w:rsidRDefault="00454AB9" w:rsidP="0026022A">
      <w:pPr>
        <w:spacing w:after="240"/>
      </w:pPr>
      <w:r>
        <w:t>While QAI supports t</w:t>
      </w:r>
      <w:r w:rsidR="000D5FC2">
        <w:t xml:space="preserve">he introduction of a </w:t>
      </w:r>
      <w:r w:rsidR="005D3B78">
        <w:t>S</w:t>
      </w:r>
      <w:r w:rsidR="000D5FC2">
        <w:t xml:space="preserve">enior </w:t>
      </w:r>
      <w:r w:rsidR="005D3B78">
        <w:t>P</w:t>
      </w:r>
      <w:r w:rsidR="000D5FC2">
        <w:t>ractitioner model</w:t>
      </w:r>
      <w:r>
        <w:t>, its implementation will present its own challenges</w:t>
      </w:r>
      <w:r w:rsidR="00F01022">
        <w:t xml:space="preserve">. For example, </w:t>
      </w:r>
      <w:r w:rsidR="007D0684">
        <w:t>how culturally safe is</w:t>
      </w:r>
      <w:r w:rsidR="00F01022">
        <w:t xml:space="preserve"> the </w:t>
      </w:r>
      <w:r w:rsidR="005D3B78">
        <w:t>S</w:t>
      </w:r>
      <w:r w:rsidR="00F01022">
        <w:t xml:space="preserve">enior </w:t>
      </w:r>
      <w:r w:rsidR="005D3B78">
        <w:t>P</w:t>
      </w:r>
      <w:r w:rsidR="00F01022">
        <w:t xml:space="preserve">ractitioner </w:t>
      </w:r>
      <w:r w:rsidR="00927E2E">
        <w:t xml:space="preserve">model for First Nations people with disability? </w:t>
      </w:r>
      <w:r w:rsidR="007D0684">
        <w:t xml:space="preserve">And what safeguards will ensure that the person occupying the role </w:t>
      </w:r>
      <w:r w:rsidR="005C15BD">
        <w:t>does</w:t>
      </w:r>
      <w:r w:rsidR="007D0684">
        <w:t xml:space="preserve"> not </w:t>
      </w:r>
      <w:r w:rsidR="00BC47E1">
        <w:t>make decisions in an overly paternalistic way?</w:t>
      </w:r>
    </w:p>
    <w:p w14:paraId="24DF46F1" w14:textId="664FF2F9" w:rsidR="00D64A1E" w:rsidRDefault="00070CB6" w:rsidP="0026022A">
      <w:pPr>
        <w:spacing w:after="240"/>
      </w:pPr>
      <w:r>
        <w:t>Enhancing</w:t>
      </w:r>
      <w:r w:rsidR="003E07A7">
        <w:t xml:space="preserve"> </w:t>
      </w:r>
      <w:r w:rsidR="00C705CC">
        <w:t xml:space="preserve">rights, including </w:t>
      </w:r>
      <w:r w:rsidR="00226FC2">
        <w:t xml:space="preserve">review and appeal rights for </w:t>
      </w:r>
      <w:r>
        <w:t xml:space="preserve">authorisation </w:t>
      </w:r>
      <w:r w:rsidR="00226FC2">
        <w:t>decisions</w:t>
      </w:r>
      <w:r w:rsidR="00BC3BAB">
        <w:t>,</w:t>
      </w:r>
      <w:r w:rsidR="00226FC2">
        <w:t xml:space="preserve"> is </w:t>
      </w:r>
      <w:r w:rsidR="007B3767">
        <w:t>important</w:t>
      </w:r>
      <w:r w:rsidR="00F32E10">
        <w:t>. However, new rights</w:t>
      </w:r>
      <w:r w:rsidR="006169A8">
        <w:t xml:space="preserve"> introduced </w:t>
      </w:r>
      <w:r w:rsidR="004D3F36">
        <w:t>by</w:t>
      </w:r>
      <w:r w:rsidR="006169A8">
        <w:t xml:space="preserve"> the Bill</w:t>
      </w:r>
      <w:r w:rsidR="00454AB9">
        <w:t xml:space="preserve"> must be accompanied by </w:t>
      </w:r>
      <w:r w:rsidR="005F78F6">
        <w:t xml:space="preserve">additional support </w:t>
      </w:r>
      <w:r w:rsidR="005D1A96">
        <w:t>avenue</w:t>
      </w:r>
      <w:r w:rsidR="005F78F6">
        <w:t>s for people with disability to exercise and enforce them.</w:t>
      </w:r>
      <w:r w:rsidR="00DB3C52">
        <w:t xml:space="preserve"> </w:t>
      </w:r>
      <w:r w:rsidR="00BB7767">
        <w:t xml:space="preserve">Accountability is </w:t>
      </w:r>
      <w:r w:rsidR="002850E6">
        <w:t>fundamental</w:t>
      </w:r>
      <w:r w:rsidR="003350ED">
        <w:t xml:space="preserve"> to </w:t>
      </w:r>
      <w:r w:rsidR="0002775A">
        <w:t>ensuring</w:t>
      </w:r>
      <w:r w:rsidR="00D942ED">
        <w:t xml:space="preserve"> restrictive practices are only used as a last resort measure within</w:t>
      </w:r>
      <w:r w:rsidR="0002775A">
        <w:t xml:space="preserve"> a framework that </w:t>
      </w:r>
      <w:r w:rsidR="004B748E">
        <w:t xml:space="preserve">is genuinely trying to </w:t>
      </w:r>
      <w:r w:rsidR="0002775A">
        <w:t>work to</w:t>
      </w:r>
      <w:r w:rsidR="00C25CB1">
        <w:t>wards</w:t>
      </w:r>
      <w:r w:rsidR="0002775A">
        <w:t xml:space="preserve"> reduc</w:t>
      </w:r>
      <w:r w:rsidR="00C25CB1">
        <w:t>ing</w:t>
      </w:r>
      <w:r w:rsidR="0002775A">
        <w:t xml:space="preserve"> and eliminat</w:t>
      </w:r>
      <w:r w:rsidR="00C25CB1">
        <w:t>ing</w:t>
      </w:r>
      <w:r w:rsidR="0002775A">
        <w:t xml:space="preserve"> the</w:t>
      </w:r>
      <w:r w:rsidR="00D942ED">
        <w:t>ir</w:t>
      </w:r>
      <w:r w:rsidR="0002775A">
        <w:t xml:space="preserve"> use</w:t>
      </w:r>
      <w:r w:rsidR="005F2B07">
        <w:t>.</w:t>
      </w:r>
    </w:p>
    <w:p w14:paraId="7D64536F" w14:textId="77777777" w:rsidR="00502A04" w:rsidRDefault="00502A04" w:rsidP="0026022A">
      <w:pPr>
        <w:spacing w:after="240"/>
      </w:pPr>
    </w:p>
    <w:p w14:paraId="09C9583F" w14:textId="20AFCA44" w:rsidR="0007454A" w:rsidRDefault="00BC3BAB" w:rsidP="0026022A">
      <w:pPr>
        <w:spacing w:after="240"/>
      </w:pPr>
      <w:r>
        <w:lastRenderedPageBreak/>
        <w:t>QAI’s submission</w:t>
      </w:r>
      <w:r w:rsidR="000C44C4">
        <w:t xml:space="preserve"> </w:t>
      </w:r>
      <w:r w:rsidR="0007454A">
        <w:t xml:space="preserve">will </w:t>
      </w:r>
      <w:r w:rsidR="00484B69">
        <w:t>discuss</w:t>
      </w:r>
      <w:r w:rsidR="0007454A">
        <w:t xml:space="preserve"> the following:</w:t>
      </w:r>
    </w:p>
    <w:p w14:paraId="07C8CA37" w14:textId="6C20831C" w:rsidR="0007454A" w:rsidRDefault="0007454A" w:rsidP="005A5311">
      <w:pPr>
        <w:spacing w:after="240"/>
        <w:ind w:firstLine="720"/>
      </w:pPr>
      <w:r>
        <w:t>1. Positive changes introduced by the Bill</w:t>
      </w:r>
    </w:p>
    <w:p w14:paraId="348F94EA" w14:textId="4AE53AAF" w:rsidR="00A51DC9" w:rsidRDefault="00A51DC9" w:rsidP="005A5311">
      <w:pPr>
        <w:spacing w:after="240"/>
        <w:ind w:firstLine="720"/>
      </w:pPr>
      <w:r>
        <w:t>2. Issues for consideration by the Committee</w:t>
      </w:r>
    </w:p>
    <w:p w14:paraId="45C0C312" w14:textId="1F01F751" w:rsidR="00484B69" w:rsidRDefault="00A51DC9" w:rsidP="005A5311">
      <w:pPr>
        <w:ind w:firstLine="720"/>
      </w:pPr>
      <w:r>
        <w:t>3.</w:t>
      </w:r>
      <w:r w:rsidR="0007454A">
        <w:t xml:space="preserve"> </w:t>
      </w:r>
      <w:r w:rsidR="00484B69">
        <w:t>Amendments re</w:t>
      </w:r>
      <w:r w:rsidR="001C6C72">
        <w:t>quired</w:t>
      </w:r>
      <w:r w:rsidR="00484B69">
        <w:t xml:space="preserve"> to enhance safeguards for people with disability</w:t>
      </w:r>
      <w:r w:rsidR="0018682A">
        <w:t>.</w:t>
      </w:r>
    </w:p>
    <w:p w14:paraId="55C7D5DB" w14:textId="77777777" w:rsidR="00134A67" w:rsidRDefault="00134A67" w:rsidP="00134A67">
      <w:pPr>
        <w:pStyle w:val="NoSpacing"/>
      </w:pPr>
    </w:p>
    <w:p w14:paraId="753B0D98" w14:textId="72B646D2" w:rsidR="00A51DC9" w:rsidRDefault="00544C26" w:rsidP="00AB16F1">
      <w:pPr>
        <w:pStyle w:val="QAIHeading2"/>
      </w:pPr>
      <w:r>
        <w:t xml:space="preserve">1. </w:t>
      </w:r>
      <w:r w:rsidR="00A51DC9">
        <w:t>Positive changes introduced by the Bill</w:t>
      </w:r>
    </w:p>
    <w:p w14:paraId="393B4592" w14:textId="3689841A" w:rsidR="0007454A" w:rsidRDefault="00363DCF" w:rsidP="0026022A">
      <w:pPr>
        <w:spacing w:after="240"/>
      </w:pPr>
      <w:r>
        <w:t xml:space="preserve">QAI </w:t>
      </w:r>
      <w:r w:rsidR="00A24A86">
        <w:t>welcomes</w:t>
      </w:r>
      <w:r>
        <w:t xml:space="preserve"> the </w:t>
      </w:r>
      <w:r w:rsidR="00BE2B70">
        <w:t xml:space="preserve">improvements to the </w:t>
      </w:r>
      <w:r w:rsidR="007C0C4D">
        <w:t>authorisation</w:t>
      </w:r>
      <w:r w:rsidR="00BE2B70">
        <w:t xml:space="preserve"> framework for</w:t>
      </w:r>
      <w:r w:rsidR="007C0C4D">
        <w:t xml:space="preserve"> restrictive practices </w:t>
      </w:r>
      <w:r>
        <w:t>introduced by this Bill</w:t>
      </w:r>
      <w:r w:rsidR="007C0C4D">
        <w:t>, many of which QAI has recommended for some time. These include:</w:t>
      </w:r>
    </w:p>
    <w:p w14:paraId="70A05098" w14:textId="4F7FAC24" w:rsidR="00E1695C" w:rsidRDefault="00E1695C" w:rsidP="006B4071">
      <w:pPr>
        <w:pStyle w:val="ListParagraph"/>
      </w:pPr>
      <w:r>
        <w:t>Expanding the scope of Queensland’s restrictive practices authorisation framework to include all people with disability, including children with disability and persons with disabilities other than intellectual or</w:t>
      </w:r>
      <w:r>
        <w:rPr>
          <w:spacing w:val="1"/>
        </w:rPr>
        <w:t xml:space="preserve"> </w:t>
      </w:r>
      <w:r>
        <w:t>cognitive disability.</w:t>
      </w:r>
    </w:p>
    <w:p w14:paraId="7B0D12CF" w14:textId="14D88883" w:rsidR="00DD77CA" w:rsidRPr="0026336B" w:rsidRDefault="00C06549" w:rsidP="006B4071">
      <w:pPr>
        <w:pStyle w:val="ListParagraph"/>
      </w:pPr>
      <w:r w:rsidRPr="00C06549">
        <w:t>Align</w:t>
      </w:r>
      <w:r>
        <w:t>ing</w:t>
      </w:r>
      <w:r w:rsidRPr="00C06549">
        <w:t xml:space="preserve"> Queensland’s restrictive practice definitions with those in the </w:t>
      </w:r>
      <w:r w:rsidR="00C83F9F">
        <w:t>National D</w:t>
      </w:r>
      <w:r w:rsidR="00FB02F6">
        <w:t xml:space="preserve">isability </w:t>
      </w:r>
      <w:r w:rsidR="00C03DE5">
        <w:t>Insurance Scheme</w:t>
      </w:r>
      <w:r w:rsidR="00C2784D">
        <w:t xml:space="preserve"> (</w:t>
      </w:r>
      <w:r w:rsidRPr="00C2784D">
        <w:rPr>
          <w:b/>
          <w:bCs/>
        </w:rPr>
        <w:t>NDIS</w:t>
      </w:r>
      <w:r w:rsidR="00C2784D">
        <w:t>)</w:t>
      </w:r>
      <w:r w:rsidRPr="00C06549">
        <w:t xml:space="preserve"> Rules. </w:t>
      </w:r>
      <w:r w:rsidR="00AC42C8">
        <w:t xml:space="preserve">For example, including </w:t>
      </w:r>
      <w:r w:rsidRPr="00C06549">
        <w:t>lock</w:t>
      </w:r>
      <w:r w:rsidR="000C18F4">
        <w:t>ed</w:t>
      </w:r>
      <w:r w:rsidRPr="00C06549">
        <w:t xml:space="preserve"> gates, doors, and windows </w:t>
      </w:r>
      <w:r w:rsidR="000C18F4">
        <w:t>as a regulated restrictive practice outside of the NDIS setting.</w:t>
      </w:r>
    </w:p>
    <w:p w14:paraId="6EB6BEC6" w14:textId="0133AF57" w:rsidR="0026336B" w:rsidRDefault="00187C65" w:rsidP="006B4071">
      <w:pPr>
        <w:pStyle w:val="ListParagraph"/>
      </w:pPr>
      <w:r>
        <w:t xml:space="preserve">Legislating </w:t>
      </w:r>
      <w:r w:rsidR="007439F0">
        <w:t>a</w:t>
      </w:r>
      <w:r>
        <w:t xml:space="preserve"> </w:t>
      </w:r>
      <w:r w:rsidR="00E02D81">
        <w:t xml:space="preserve">complete </w:t>
      </w:r>
      <w:r>
        <w:t>prohibition o</w:t>
      </w:r>
      <w:r w:rsidR="007439F0">
        <w:t>n certain types of restrictive practices.</w:t>
      </w:r>
    </w:p>
    <w:p w14:paraId="43729ADC" w14:textId="5ECA8C09" w:rsidR="007439F0" w:rsidRDefault="007439F0" w:rsidP="006B4071">
      <w:pPr>
        <w:pStyle w:val="ListParagraph"/>
      </w:pPr>
      <w:r>
        <w:t>Introducing review and appeal rights for all authorisation decisions</w:t>
      </w:r>
      <w:r w:rsidR="009B2650">
        <w:t>, with avenues to seek merits review at</w:t>
      </w:r>
      <w:r>
        <w:t xml:space="preserve"> the Queensland Civil and Administrative Tribunal (QCAT).</w:t>
      </w:r>
    </w:p>
    <w:p w14:paraId="497D68EE" w14:textId="77777777" w:rsidR="006241E5" w:rsidRDefault="00F767E0" w:rsidP="006B4071">
      <w:pPr>
        <w:pStyle w:val="ListParagraph"/>
      </w:pPr>
      <w:r>
        <w:t>The introduction of an administrative model of authorisation through the establishment of the Office of the Senior Practitioner</w:t>
      </w:r>
      <w:r w:rsidR="00E02D81">
        <w:t xml:space="preserve"> and the removal of the consent-based model of authorisation.</w:t>
      </w:r>
    </w:p>
    <w:p w14:paraId="0CA3A53D" w14:textId="5C570384" w:rsidR="00A51DC9" w:rsidRDefault="00AB16F1" w:rsidP="006B4071">
      <w:pPr>
        <w:pStyle w:val="ListParagraph"/>
      </w:pPr>
      <w:r>
        <w:t>Greater</w:t>
      </w:r>
      <w:r w:rsidR="006241E5">
        <w:t xml:space="preserve"> national consistency in authorisation processes based on the </w:t>
      </w:r>
      <w:r w:rsidR="00250E14">
        <w:t>principles</w:t>
      </w:r>
      <w:r w:rsidR="006241E5">
        <w:t xml:space="preserve"> for nationally consistent restrictive practices authorisation processes (the National Principles)</w:t>
      </w:r>
      <w:r>
        <w:t>.</w:t>
      </w:r>
    </w:p>
    <w:p w14:paraId="6D7F1261" w14:textId="77777777" w:rsidR="0018682A" w:rsidRDefault="0018682A" w:rsidP="00AB16F1">
      <w:pPr>
        <w:pStyle w:val="QAIHeading2"/>
      </w:pPr>
    </w:p>
    <w:p w14:paraId="05E43F0E" w14:textId="77777777" w:rsidR="00765511" w:rsidRDefault="00765511" w:rsidP="00AB16F1">
      <w:pPr>
        <w:pStyle w:val="QAIHeading2"/>
      </w:pPr>
    </w:p>
    <w:p w14:paraId="41370279" w14:textId="050207E1" w:rsidR="00BC6E40" w:rsidRDefault="00544C26" w:rsidP="00AB16F1">
      <w:pPr>
        <w:pStyle w:val="QAIHeading2"/>
      </w:pPr>
      <w:r>
        <w:lastRenderedPageBreak/>
        <w:t xml:space="preserve">2. </w:t>
      </w:r>
      <w:r w:rsidR="00035CF1">
        <w:t>Issues for consideration</w:t>
      </w:r>
      <w:r>
        <w:t xml:space="preserve"> by the Committee</w:t>
      </w:r>
    </w:p>
    <w:p w14:paraId="27F71CD2" w14:textId="77777777" w:rsidR="000759C6" w:rsidRDefault="00FC31EB" w:rsidP="0026022A">
      <w:pPr>
        <w:spacing w:after="240"/>
      </w:pPr>
      <w:r>
        <w:t xml:space="preserve">While many of the changes are </w:t>
      </w:r>
      <w:r w:rsidR="00DF6970">
        <w:t>welcome</w:t>
      </w:r>
      <w:r>
        <w:t xml:space="preserve">, the </w:t>
      </w:r>
      <w:r w:rsidR="00DF6970">
        <w:t>implementation of a new authorisation regime will present new challenges</w:t>
      </w:r>
      <w:r w:rsidR="000216F1">
        <w:t xml:space="preserve">. </w:t>
      </w:r>
      <w:r w:rsidR="00766F89">
        <w:t>C</w:t>
      </w:r>
      <w:r w:rsidR="001240BB">
        <w:t>urrent</w:t>
      </w:r>
      <w:r w:rsidR="00DF6970">
        <w:t xml:space="preserve"> problems</w:t>
      </w:r>
      <w:r w:rsidR="00AC37C9">
        <w:t xml:space="preserve"> </w:t>
      </w:r>
      <w:r w:rsidR="00766F89">
        <w:t>might</w:t>
      </w:r>
      <w:r w:rsidR="003F3912">
        <w:t xml:space="preserve"> </w:t>
      </w:r>
      <w:proofErr w:type="gramStart"/>
      <w:r w:rsidR="003F3912">
        <w:t>persist</w:t>
      </w:r>
      <w:proofErr w:type="gramEnd"/>
      <w:r w:rsidR="003F3912">
        <w:t xml:space="preserve"> and </w:t>
      </w:r>
      <w:r w:rsidR="002203F1">
        <w:t>a lack of adequate</w:t>
      </w:r>
      <w:r w:rsidR="003D205F">
        <w:t xml:space="preserve"> oversight</w:t>
      </w:r>
      <w:r w:rsidR="002203F1">
        <w:t xml:space="preserve"> </w:t>
      </w:r>
      <w:r w:rsidR="00044F05">
        <w:t xml:space="preserve">will </w:t>
      </w:r>
      <w:r w:rsidR="00AB626C">
        <w:t>continue to see people with disability having their human rights</w:t>
      </w:r>
      <w:r w:rsidR="00A74351">
        <w:t xml:space="preserve"> infringed</w:t>
      </w:r>
      <w:r w:rsidR="00AC37C9">
        <w:t xml:space="preserve">. </w:t>
      </w:r>
    </w:p>
    <w:p w14:paraId="29BEFB62" w14:textId="5042FE7E" w:rsidR="00AC37C9" w:rsidRDefault="00AC37C9" w:rsidP="0026022A">
      <w:pPr>
        <w:spacing w:after="240"/>
      </w:pPr>
      <w:r>
        <w:t xml:space="preserve">QAI therefore </w:t>
      </w:r>
      <w:r w:rsidR="000759C6">
        <w:t>recommends</w:t>
      </w:r>
      <w:r>
        <w:t xml:space="preserve"> the Committee</w:t>
      </w:r>
      <w:r w:rsidR="000759C6">
        <w:t xml:space="preserve"> consider the following</w:t>
      </w:r>
      <w:r>
        <w:t>:</w:t>
      </w:r>
    </w:p>
    <w:p w14:paraId="454DBCF6" w14:textId="3397D4CD" w:rsidR="00684C4E" w:rsidRDefault="00684C4E" w:rsidP="00684C4E">
      <w:pPr>
        <w:spacing w:after="240"/>
        <w:rPr>
          <w:rStyle w:val="BookTitle"/>
        </w:rPr>
      </w:pPr>
      <w:r>
        <w:rPr>
          <w:rStyle w:val="BookTitle"/>
        </w:rPr>
        <w:t>Will the new framework apply to supported accommodation settings?</w:t>
      </w:r>
    </w:p>
    <w:p w14:paraId="6C3C54FF" w14:textId="0FF8DC4C" w:rsidR="00684C4E" w:rsidRDefault="00684C4E" w:rsidP="00EE38E2">
      <w:pPr>
        <w:spacing w:after="240"/>
      </w:pPr>
      <w:r>
        <w:t>The recent inquiry into the provision and regulation of supported accommodation in Queensland</w:t>
      </w:r>
      <w:r w:rsidR="00442AF5">
        <w:t xml:space="preserve"> </w:t>
      </w:r>
      <w:r w:rsidR="008C09D9">
        <w:t>noted stakeholder concern about restrictive practices being used in level 3 residential services.</w:t>
      </w:r>
      <w:r w:rsidR="00244E4E">
        <w:rPr>
          <w:rStyle w:val="FootnoteReference"/>
        </w:rPr>
        <w:footnoteReference w:id="4"/>
      </w:r>
      <w:r w:rsidR="00924DD7">
        <w:t xml:space="preserve"> The Public Advocate </w:t>
      </w:r>
      <w:r w:rsidR="005F28C6">
        <w:t>states</w:t>
      </w:r>
      <w:r w:rsidR="00924DD7">
        <w:t xml:space="preserve"> that the extent </w:t>
      </w:r>
      <w:r w:rsidR="0011791E">
        <w:t xml:space="preserve">to which restrictive practices are used </w:t>
      </w:r>
      <w:r w:rsidR="000A7D4D">
        <w:t xml:space="preserve">in these settings </w:t>
      </w:r>
      <w:r w:rsidR="0011791E">
        <w:t>is unknown and</w:t>
      </w:r>
      <w:r w:rsidR="001D2A3A">
        <w:t xml:space="preserve"> that</w:t>
      </w:r>
      <w:r w:rsidR="0011791E">
        <w:t xml:space="preserve"> the appropriateness of their authorisation </w:t>
      </w:r>
      <w:r w:rsidR="001D2A3A">
        <w:t xml:space="preserve">is </w:t>
      </w:r>
      <w:r w:rsidR="0011791E">
        <w:t>unclear.</w:t>
      </w:r>
      <w:r w:rsidR="00643F25">
        <w:rPr>
          <w:rStyle w:val="FootnoteReference"/>
        </w:rPr>
        <w:footnoteReference w:id="5"/>
      </w:r>
    </w:p>
    <w:p w14:paraId="783FD935" w14:textId="32721623" w:rsidR="009B3C4C" w:rsidRDefault="00CB02FC" w:rsidP="004A47EE">
      <w:pPr>
        <w:spacing w:after="240"/>
        <w:rPr>
          <w:rStyle w:val="BookTitle"/>
          <w:b w:val="0"/>
          <w:bCs w:val="0"/>
          <w:i w:val="0"/>
          <w:iCs w:val="0"/>
        </w:rPr>
      </w:pPr>
      <w:r>
        <w:rPr>
          <w:rStyle w:val="BookTitle"/>
          <w:b w:val="0"/>
          <w:bCs w:val="0"/>
          <w:i w:val="0"/>
          <w:iCs w:val="0"/>
        </w:rPr>
        <w:t xml:space="preserve">In </w:t>
      </w:r>
      <w:r w:rsidR="00AB36CF">
        <w:rPr>
          <w:rStyle w:val="BookTitle"/>
          <w:b w:val="0"/>
          <w:bCs w:val="0"/>
          <w:i w:val="0"/>
          <w:iCs w:val="0"/>
        </w:rPr>
        <w:t>the inquiry’s</w:t>
      </w:r>
      <w:r>
        <w:rPr>
          <w:rStyle w:val="BookTitle"/>
          <w:b w:val="0"/>
          <w:bCs w:val="0"/>
          <w:i w:val="0"/>
          <w:iCs w:val="0"/>
        </w:rPr>
        <w:t xml:space="preserve"> final report, the Community Support and Services Committee noted the </w:t>
      </w:r>
      <w:r w:rsidR="00DF2DBC" w:rsidRPr="00491E38">
        <w:rPr>
          <w:rStyle w:val="BookTitle"/>
          <w:b w:val="0"/>
          <w:bCs w:val="0"/>
        </w:rPr>
        <w:t>Positive Behaviour Support and Restrictive Practices Review</w:t>
      </w:r>
      <w:r w:rsidR="00DF2DBC">
        <w:rPr>
          <w:rStyle w:val="BookTitle"/>
          <w:b w:val="0"/>
          <w:bCs w:val="0"/>
          <w:i w:val="0"/>
          <w:iCs w:val="0"/>
        </w:rPr>
        <w:t xml:space="preserve"> </w:t>
      </w:r>
      <w:r w:rsidR="009B3C4C">
        <w:rPr>
          <w:rStyle w:val="BookTitle"/>
          <w:b w:val="0"/>
          <w:bCs w:val="0"/>
          <w:i w:val="0"/>
          <w:iCs w:val="0"/>
        </w:rPr>
        <w:t>being undertaken by the Department of Child Safety, Seniors and Disability Services</w:t>
      </w:r>
      <w:r w:rsidR="002B3BD4">
        <w:rPr>
          <w:rStyle w:val="BookTitle"/>
          <w:b w:val="0"/>
          <w:bCs w:val="0"/>
          <w:i w:val="0"/>
          <w:iCs w:val="0"/>
        </w:rPr>
        <w:t xml:space="preserve">, which has </w:t>
      </w:r>
      <w:r w:rsidR="00227212">
        <w:rPr>
          <w:rStyle w:val="BookTitle"/>
          <w:b w:val="0"/>
          <w:bCs w:val="0"/>
          <w:i w:val="0"/>
          <w:iCs w:val="0"/>
        </w:rPr>
        <w:t>culminated in</w:t>
      </w:r>
      <w:r w:rsidR="002B3BD4">
        <w:rPr>
          <w:rStyle w:val="BookTitle"/>
          <w:b w:val="0"/>
          <w:bCs w:val="0"/>
          <w:i w:val="0"/>
          <w:iCs w:val="0"/>
        </w:rPr>
        <w:t xml:space="preserve"> the current Bill. </w:t>
      </w:r>
      <w:r w:rsidR="00227212">
        <w:rPr>
          <w:rStyle w:val="BookTitle"/>
          <w:b w:val="0"/>
          <w:bCs w:val="0"/>
          <w:i w:val="0"/>
          <w:iCs w:val="0"/>
        </w:rPr>
        <w:t>T</w:t>
      </w:r>
      <w:r w:rsidR="004A47EE">
        <w:rPr>
          <w:rStyle w:val="BookTitle"/>
          <w:b w:val="0"/>
          <w:bCs w:val="0"/>
          <w:i w:val="0"/>
          <w:iCs w:val="0"/>
        </w:rPr>
        <w:t xml:space="preserve">he Committee </w:t>
      </w:r>
      <w:r w:rsidR="00491E38">
        <w:rPr>
          <w:rStyle w:val="BookTitle"/>
          <w:b w:val="0"/>
          <w:bCs w:val="0"/>
          <w:i w:val="0"/>
          <w:iCs w:val="0"/>
        </w:rPr>
        <w:t>stated</w:t>
      </w:r>
      <w:r w:rsidR="004A47EE">
        <w:rPr>
          <w:rStyle w:val="BookTitle"/>
          <w:b w:val="0"/>
          <w:bCs w:val="0"/>
          <w:i w:val="0"/>
          <w:iCs w:val="0"/>
        </w:rPr>
        <w:t>:</w:t>
      </w:r>
    </w:p>
    <w:p w14:paraId="10FF9FC7" w14:textId="450583A1" w:rsidR="004A47EE" w:rsidRPr="00730599" w:rsidRDefault="00730599" w:rsidP="006C7413">
      <w:pPr>
        <w:spacing w:after="240"/>
        <w:ind w:left="284" w:right="284"/>
        <w:rPr>
          <w:rStyle w:val="BookTitle"/>
          <w:b w:val="0"/>
          <w:bCs w:val="0"/>
          <w:i w:val="0"/>
          <w:iCs w:val="0"/>
        </w:rPr>
      </w:pPr>
      <w:r w:rsidRPr="00730599">
        <w:rPr>
          <w:i/>
          <w:iCs/>
          <w:spacing w:val="5"/>
          <w:lang w:val="en-AU"/>
        </w:rPr>
        <w:t>We encourage the DCSSDS to continue with this important work, and to give due consideration to the current regulatory complexity around the use of restrictive practices as it pertains to level 3 residential services. We have received evidence of the harm that can result from poorly administered restrictive practices and the physical and emotional damage that results.</w:t>
      </w:r>
      <w:r>
        <w:rPr>
          <w:rStyle w:val="FootnoteReference"/>
          <w:i/>
          <w:iCs/>
          <w:spacing w:val="5"/>
          <w:lang w:val="en-AU"/>
        </w:rPr>
        <w:footnoteReference w:id="6"/>
      </w:r>
    </w:p>
    <w:p w14:paraId="29609AF8" w14:textId="274AAC54" w:rsidR="005F2D82" w:rsidRDefault="006C7413" w:rsidP="0026022A">
      <w:pPr>
        <w:spacing w:after="240"/>
      </w:pPr>
      <w:r>
        <w:t xml:space="preserve">While the Committee provided its support for the introduction of a </w:t>
      </w:r>
      <w:r w:rsidR="00D606D3">
        <w:t>S</w:t>
      </w:r>
      <w:r>
        <w:t xml:space="preserve">enior </w:t>
      </w:r>
      <w:r w:rsidR="00D606D3">
        <w:t>P</w:t>
      </w:r>
      <w:r>
        <w:t xml:space="preserve">ractitioner model, it did not </w:t>
      </w:r>
      <w:r w:rsidR="005A4CA3">
        <w:t>provide any guidance</w:t>
      </w:r>
      <w:r w:rsidR="005F2D82">
        <w:t xml:space="preserve"> or make recommendations t</w:t>
      </w:r>
      <w:r w:rsidR="009F07F0">
        <w:t>o</w:t>
      </w:r>
      <w:r w:rsidR="005F2D82">
        <w:t xml:space="preserve"> address</w:t>
      </w:r>
      <w:r w:rsidR="007973B7">
        <w:t xml:space="preserve"> the current gap in authorisation processes </w:t>
      </w:r>
      <w:r w:rsidR="009F07F0">
        <w:t>that</w:t>
      </w:r>
      <w:r w:rsidR="007973B7">
        <w:t xml:space="preserve"> </w:t>
      </w:r>
      <w:r w:rsidR="000F6F53">
        <w:t xml:space="preserve">results in residential service providers only being required to </w:t>
      </w:r>
      <w:r w:rsidR="000F6F53">
        <w:lastRenderedPageBreak/>
        <w:t>report</w:t>
      </w:r>
      <w:r w:rsidR="006D564A">
        <w:t xml:space="preserve"> on and seek authorisation for</w:t>
      </w:r>
      <w:r w:rsidR="000F6F53">
        <w:t xml:space="preserve"> the use of restrictive practices in relation to residents </w:t>
      </w:r>
      <w:r w:rsidR="000F6F53" w:rsidRPr="003A717F">
        <w:rPr>
          <w:i/>
          <w:iCs/>
        </w:rPr>
        <w:t xml:space="preserve">who are also NDIS </w:t>
      </w:r>
      <w:r w:rsidR="00AE47BC" w:rsidRPr="003A717F">
        <w:rPr>
          <w:i/>
          <w:iCs/>
        </w:rPr>
        <w:t>participants</w:t>
      </w:r>
      <w:r w:rsidR="00AE47BC">
        <w:t>.</w:t>
      </w:r>
      <w:r w:rsidR="003A717F">
        <w:t xml:space="preserve"> This means that residential service providers </w:t>
      </w:r>
      <w:r w:rsidR="008352BB">
        <w:t>can</w:t>
      </w:r>
      <w:r w:rsidR="003A717F">
        <w:t xml:space="preserve"> use restrictive practices on residents who are not NDIS participants without </w:t>
      </w:r>
      <w:r w:rsidR="00F75E5E">
        <w:t xml:space="preserve">needing to comply with </w:t>
      </w:r>
      <w:r w:rsidR="00E70DBA">
        <w:t>Queensland’s</w:t>
      </w:r>
      <w:r w:rsidR="003A717F">
        <w:t xml:space="preserve"> authorisation</w:t>
      </w:r>
      <w:r w:rsidR="00F75E5E">
        <w:t xml:space="preserve"> framework. </w:t>
      </w:r>
    </w:p>
    <w:p w14:paraId="7075D120" w14:textId="700B8A78" w:rsidR="00CF1194" w:rsidRDefault="00CF1194" w:rsidP="0026022A">
      <w:pPr>
        <w:spacing w:after="240"/>
      </w:pPr>
      <w:r>
        <w:t xml:space="preserve">The Committee’s </w:t>
      </w:r>
      <w:r w:rsidR="00EB5883">
        <w:t xml:space="preserve">quoted statement </w:t>
      </w:r>
      <w:r>
        <w:t>above seems to i</w:t>
      </w:r>
      <w:r w:rsidR="00D57DA2">
        <w:t>nfer</w:t>
      </w:r>
      <w:r>
        <w:t xml:space="preserve"> that </w:t>
      </w:r>
      <w:r w:rsidR="00D57DA2">
        <w:t>“</w:t>
      </w:r>
      <w:r w:rsidR="00D57DA2" w:rsidRPr="00D57DA2">
        <w:rPr>
          <w:i/>
          <w:iCs/>
        </w:rPr>
        <w:t>the current regulatory complexity around the use of restrictive practices as it pertains to level 3 residential services</w:t>
      </w:r>
      <w:r w:rsidR="00D57DA2">
        <w:t xml:space="preserve">” would be addressed by </w:t>
      </w:r>
      <w:r w:rsidR="00EB5883">
        <w:t xml:space="preserve">the </w:t>
      </w:r>
      <w:r w:rsidR="00EB5883">
        <w:rPr>
          <w:rStyle w:val="BookTitle"/>
          <w:b w:val="0"/>
          <w:bCs w:val="0"/>
          <w:i w:val="0"/>
          <w:iCs w:val="0"/>
        </w:rPr>
        <w:t>Department of Child Safety, Seniors and Disability Services</w:t>
      </w:r>
      <w:r w:rsidR="00EB5883">
        <w:t xml:space="preserve"> in the present</w:t>
      </w:r>
      <w:r w:rsidR="0095281E">
        <w:t xml:space="preserve"> review </w:t>
      </w:r>
      <w:r w:rsidR="004F0663">
        <w:t xml:space="preserve">of the restrictive </w:t>
      </w:r>
      <w:proofErr w:type="gramStart"/>
      <w:r w:rsidR="004F0663">
        <w:t>practices</w:t>
      </w:r>
      <w:proofErr w:type="gramEnd"/>
      <w:r w:rsidR="004F0663">
        <w:t xml:space="preserve"> authorisation framework </w:t>
      </w:r>
      <w:r w:rsidR="0095281E">
        <w:t xml:space="preserve">and </w:t>
      </w:r>
      <w:r w:rsidR="004F0663">
        <w:t xml:space="preserve">the </w:t>
      </w:r>
      <w:r w:rsidR="002267E1">
        <w:t xml:space="preserve">current </w:t>
      </w:r>
      <w:r w:rsidR="0095281E">
        <w:t>Bill</w:t>
      </w:r>
      <w:r w:rsidR="00E70DBA">
        <w:t xml:space="preserve"> before the Committee</w:t>
      </w:r>
      <w:r w:rsidR="004F0663">
        <w:t>. However, neither</w:t>
      </w:r>
      <w:r w:rsidR="00C81A01">
        <w:t xml:space="preserve"> the Bill</w:t>
      </w:r>
      <w:r w:rsidR="004F0663">
        <w:t xml:space="preserve"> nor</w:t>
      </w:r>
      <w:r w:rsidR="00C81A01">
        <w:t xml:space="preserve"> </w:t>
      </w:r>
      <w:r w:rsidR="00EC4AB0">
        <w:t xml:space="preserve">the </w:t>
      </w:r>
      <w:r w:rsidR="00C81A01">
        <w:t>Explanatory Memorandum mention</w:t>
      </w:r>
      <w:r w:rsidR="00EC4AB0">
        <w:t>s</w:t>
      </w:r>
      <w:r w:rsidR="00C81A01">
        <w:t xml:space="preserve"> </w:t>
      </w:r>
      <w:r w:rsidR="008078A9">
        <w:t>accredited</w:t>
      </w:r>
      <w:r w:rsidR="00C81A01">
        <w:t xml:space="preserve"> residential service providers</w:t>
      </w:r>
      <w:r w:rsidR="008078A9">
        <w:t>. Th</w:t>
      </w:r>
      <w:r w:rsidR="00A418C2">
        <w:t>is means that the current gap in authorisation processes will continue to exist</w:t>
      </w:r>
      <w:r w:rsidR="00042CC3">
        <w:t xml:space="preserve"> and that</w:t>
      </w:r>
      <w:r w:rsidR="00DF1DC4">
        <w:t xml:space="preserve"> a significant cohort of residents </w:t>
      </w:r>
      <w:r w:rsidR="00042CC3">
        <w:t>in</w:t>
      </w:r>
      <w:r w:rsidR="00DF1DC4">
        <w:t xml:space="preserve"> supported accommodation will continue to be at risk of </w:t>
      </w:r>
      <w:r w:rsidR="00EC4AB0">
        <w:t xml:space="preserve">and </w:t>
      </w:r>
      <w:r w:rsidR="00DF1DC4">
        <w:t xml:space="preserve">be subjected to </w:t>
      </w:r>
      <w:r w:rsidR="00042CC3">
        <w:t xml:space="preserve">unauthorised and unregulated </w:t>
      </w:r>
      <w:r w:rsidR="00DF1DC4">
        <w:t>restrictive practices</w:t>
      </w:r>
      <w:r w:rsidR="00042CC3">
        <w:t xml:space="preserve">, </w:t>
      </w:r>
      <w:r w:rsidR="00455534">
        <w:t>with no oversight and no safeguards in place.</w:t>
      </w:r>
    </w:p>
    <w:p w14:paraId="047E862A" w14:textId="47D40A1D" w:rsidR="00202148" w:rsidRDefault="00202148" w:rsidP="0026022A">
      <w:pPr>
        <w:spacing w:after="240"/>
      </w:pPr>
      <w:r>
        <w:t>The Disability Royal Commission clearly stated:</w:t>
      </w:r>
    </w:p>
    <w:p w14:paraId="6325E9BF" w14:textId="2ABF1151" w:rsidR="00202148" w:rsidRPr="00202148" w:rsidRDefault="00202148" w:rsidP="00202148">
      <w:pPr>
        <w:tabs>
          <w:tab w:val="left" w:pos="9072"/>
        </w:tabs>
        <w:spacing w:after="240"/>
        <w:ind w:left="284" w:right="284"/>
        <w:rPr>
          <w:i/>
          <w:iCs/>
        </w:rPr>
      </w:pPr>
      <w:r w:rsidRPr="00202148">
        <w:rPr>
          <w:i/>
          <w:iCs/>
        </w:rPr>
        <w:t>States and territories should have legal frameworks in place providing that a person with disability cannot be subjected to restrictive practices, except in accordance with procedures for authorisation, review and oversight established by law.</w:t>
      </w:r>
      <w:r w:rsidR="00F84E97">
        <w:rPr>
          <w:rStyle w:val="FootnoteReference"/>
          <w:i/>
          <w:iCs/>
        </w:rPr>
        <w:footnoteReference w:id="7"/>
      </w:r>
    </w:p>
    <w:p w14:paraId="00ACA4CA" w14:textId="3139C362" w:rsidR="00455534" w:rsidRDefault="00455534" w:rsidP="0026022A">
      <w:pPr>
        <w:spacing w:after="240"/>
      </w:pPr>
      <w:r>
        <w:t>Given the Queensland Government’s commit</w:t>
      </w:r>
      <w:r w:rsidR="00317FE0">
        <w:t xml:space="preserve">ment to reforming the supported accommodation sector, as well as </w:t>
      </w:r>
      <w:r w:rsidR="002F4CD9">
        <w:t>its</w:t>
      </w:r>
      <w:r w:rsidR="00317FE0">
        <w:t xml:space="preserve"> commitment to improving the authorisation framework </w:t>
      </w:r>
      <w:r w:rsidR="002F4CD9">
        <w:t>for the use</w:t>
      </w:r>
      <w:r w:rsidR="00317FE0">
        <w:t xml:space="preserve"> of restrictive practices, it would be a</w:t>
      </w:r>
      <w:r w:rsidR="009800F3">
        <w:t xml:space="preserve"> great</w:t>
      </w:r>
      <w:r w:rsidR="00317FE0">
        <w:t xml:space="preserve"> travesty </w:t>
      </w:r>
      <w:r w:rsidR="00B96189">
        <w:t>to allow both inquiries to conclude without either one</w:t>
      </w:r>
      <w:r w:rsidR="00D225A2">
        <w:t xml:space="preserve"> of them</w:t>
      </w:r>
      <w:r w:rsidR="00B96189">
        <w:t xml:space="preserve"> having addressed this </w:t>
      </w:r>
      <w:r w:rsidR="00917083">
        <w:t>critical</w:t>
      </w:r>
      <w:r w:rsidR="00B96189">
        <w:t xml:space="preserve"> issue.</w:t>
      </w:r>
    </w:p>
    <w:p w14:paraId="0666B67E" w14:textId="3065C2EE" w:rsidR="00BD4F2A" w:rsidRPr="00BD4F2A" w:rsidRDefault="00BD4F2A" w:rsidP="0026022A">
      <w:pPr>
        <w:spacing w:after="240"/>
        <w:rPr>
          <w:rStyle w:val="BookTitle"/>
        </w:rPr>
      </w:pPr>
      <w:r w:rsidRPr="00BD4F2A">
        <w:rPr>
          <w:rStyle w:val="BookTitle"/>
        </w:rPr>
        <w:t xml:space="preserve">What safeguards will ensure the </w:t>
      </w:r>
      <w:r w:rsidR="001E2735">
        <w:rPr>
          <w:rStyle w:val="BookTitle"/>
        </w:rPr>
        <w:t>S</w:t>
      </w:r>
      <w:r w:rsidRPr="00BD4F2A">
        <w:rPr>
          <w:rStyle w:val="BookTitle"/>
        </w:rPr>
        <w:t xml:space="preserve">enior </w:t>
      </w:r>
      <w:r w:rsidR="001E2735">
        <w:rPr>
          <w:rStyle w:val="BookTitle"/>
        </w:rPr>
        <w:t>P</w:t>
      </w:r>
      <w:r w:rsidRPr="00BD4F2A">
        <w:rPr>
          <w:rStyle w:val="BookTitle"/>
        </w:rPr>
        <w:t>ractitioner does not make overly paternalistic decisions?</w:t>
      </w:r>
    </w:p>
    <w:p w14:paraId="2816D8BD" w14:textId="39272F4C" w:rsidR="002112CC" w:rsidRDefault="002112CC" w:rsidP="00D07C85">
      <w:pPr>
        <w:spacing w:after="240"/>
      </w:pPr>
      <w:r>
        <w:t xml:space="preserve">Outside of the appeal process, what safeguards will ensure that the person appointed as Senior Practitioner does not approach decision-making in an excessively risk-averse and </w:t>
      </w:r>
      <w:r>
        <w:lastRenderedPageBreak/>
        <w:t xml:space="preserve">paternalistic manner? </w:t>
      </w:r>
      <w:r w:rsidR="002D41F0">
        <w:t xml:space="preserve">How long will their appointment be for? </w:t>
      </w:r>
      <w:r>
        <w:t>We are generally supportive of the transition towards an</w:t>
      </w:r>
      <w:r w:rsidRPr="005565A7">
        <w:t xml:space="preserve"> administrative model of authorisation, whereby a Senior Practitioner undertakes functions such as providing authorisation for </w:t>
      </w:r>
      <w:r w:rsidR="00D07C85">
        <w:t>r</w:t>
      </w:r>
      <w:r w:rsidRPr="005565A7">
        <w:t xml:space="preserve">estrictive </w:t>
      </w:r>
      <w:r w:rsidR="00D07C85">
        <w:t>p</w:t>
      </w:r>
      <w:r w:rsidRPr="005565A7">
        <w:t>ractices</w:t>
      </w:r>
      <w:r>
        <w:t xml:space="preserve">. However, depending upon who is appointed to the role and what their values are, concentrating decision-making power with a single individual could see oppressive decisions being made about the use of </w:t>
      </w:r>
      <w:r w:rsidR="00D07C85">
        <w:t>r</w:t>
      </w:r>
      <w:r>
        <w:t xml:space="preserve">estrictive </w:t>
      </w:r>
      <w:r w:rsidR="00D07C85">
        <w:t>p</w:t>
      </w:r>
      <w:r>
        <w:t>ractices on people with disability.</w:t>
      </w:r>
    </w:p>
    <w:p w14:paraId="03DF1CEA" w14:textId="1C3FBA4C" w:rsidR="00BD4F2A" w:rsidRDefault="00D07C85" w:rsidP="00C50924">
      <w:pPr>
        <w:spacing w:after="240"/>
      </w:pPr>
      <w:r>
        <w:t>Relatedly,</w:t>
      </w:r>
      <w:r w:rsidR="002112CC">
        <w:t xml:space="preserve"> what </w:t>
      </w:r>
      <w:r w:rsidR="002112CC" w:rsidRPr="00765511">
        <w:t>improvements regarding data collection will accompany these changes?</w:t>
      </w:r>
      <w:r w:rsidR="00C50924" w:rsidRPr="00765511">
        <w:t xml:space="preserve"> And h</w:t>
      </w:r>
      <w:r w:rsidR="002112CC" w:rsidRPr="00765511">
        <w:t xml:space="preserve">ow closely will trends in the use of </w:t>
      </w:r>
      <w:r w:rsidR="00C50924" w:rsidRPr="00765511">
        <w:t>r</w:t>
      </w:r>
      <w:r w:rsidR="002112CC" w:rsidRPr="00765511">
        <w:t xml:space="preserve">estrictive </w:t>
      </w:r>
      <w:r w:rsidR="00C50924" w:rsidRPr="00765511">
        <w:t>p</w:t>
      </w:r>
      <w:r w:rsidR="002112CC" w:rsidRPr="00765511">
        <w:t xml:space="preserve">ractices be monitored following the implementation of this new model? </w:t>
      </w:r>
    </w:p>
    <w:p w14:paraId="0ABBB580" w14:textId="57717FA5" w:rsidR="000C1D05" w:rsidRDefault="000C1D05" w:rsidP="00C50924">
      <w:pPr>
        <w:spacing w:after="240"/>
      </w:pPr>
      <w:r>
        <w:t>Clause 183</w:t>
      </w:r>
      <w:r w:rsidR="0043666E">
        <w:t xml:space="preserve"> </w:t>
      </w:r>
      <w:r w:rsidR="0027185A">
        <w:t xml:space="preserve">also </w:t>
      </w:r>
      <w:r w:rsidR="00991A01">
        <w:t>provides that complaints about restrictive practices and behaviour support plans can be made to the Senior Practitioner, and that</w:t>
      </w:r>
      <w:r w:rsidR="009D5E96">
        <w:t xml:space="preserve"> the “Senior Practitioner must maintain a system that deals effectively with complaints received</w:t>
      </w:r>
      <w:r w:rsidR="003B7FCF">
        <w:t>.</w:t>
      </w:r>
      <w:r w:rsidR="009D5E96">
        <w:t>”</w:t>
      </w:r>
      <w:r w:rsidR="003B7FCF">
        <w:rPr>
          <w:rStyle w:val="FootnoteReference"/>
        </w:rPr>
        <w:footnoteReference w:id="8"/>
      </w:r>
      <w:r w:rsidR="009D5E96">
        <w:t xml:space="preserve"> However, this is </w:t>
      </w:r>
      <w:r w:rsidR="008F215C">
        <w:t xml:space="preserve">extremely </w:t>
      </w:r>
      <w:r w:rsidR="009D5E96">
        <w:t xml:space="preserve">vague and does not stipulate key procedural fairness requirements such as requiring the </w:t>
      </w:r>
      <w:r w:rsidR="003B7FCF">
        <w:t>Senior Practitioner to respond to the complaints in a timely manner</w:t>
      </w:r>
      <w:r w:rsidR="00DF6E14">
        <w:t>.</w:t>
      </w:r>
    </w:p>
    <w:p w14:paraId="33B92EA7" w14:textId="00CC1507" w:rsidR="009800F3" w:rsidRPr="001240BB" w:rsidRDefault="009800F3" w:rsidP="009800F3">
      <w:pPr>
        <w:spacing w:after="240"/>
        <w:rPr>
          <w:rStyle w:val="BookTitle"/>
        </w:rPr>
      </w:pPr>
      <w:r w:rsidRPr="001240BB">
        <w:rPr>
          <w:rStyle w:val="BookTitle"/>
        </w:rPr>
        <w:t xml:space="preserve">To what extent will the use of authorised restrictive practices be proactively monitored by the </w:t>
      </w:r>
      <w:r w:rsidR="00FC2CE0">
        <w:rPr>
          <w:rStyle w:val="BookTitle"/>
        </w:rPr>
        <w:t>S</w:t>
      </w:r>
      <w:r w:rsidRPr="001240BB">
        <w:rPr>
          <w:rStyle w:val="BookTitle"/>
        </w:rPr>
        <w:t xml:space="preserve">enior </w:t>
      </w:r>
      <w:r w:rsidR="00FC2CE0">
        <w:rPr>
          <w:rStyle w:val="BookTitle"/>
        </w:rPr>
        <w:t>P</w:t>
      </w:r>
      <w:r w:rsidRPr="001240BB">
        <w:rPr>
          <w:rStyle w:val="BookTitle"/>
        </w:rPr>
        <w:t xml:space="preserve">ractitioner? </w:t>
      </w:r>
    </w:p>
    <w:p w14:paraId="08E6CF0E" w14:textId="6CD5D3F6" w:rsidR="006B4591" w:rsidRDefault="009800F3" w:rsidP="003D07E2">
      <w:pPr>
        <w:spacing w:after="240"/>
      </w:pPr>
      <w:r>
        <w:t xml:space="preserve">While improving the authorisation process is essential, it is insufficient to work towards the reduction and ultimate elimination of the use of restrictive practices on people with disability. QAI continues to encounter service providers who do not understand when their conduct constitutes a restrictive practice and who fail to appropriately report their use. How will these issues be addressed </w:t>
      </w:r>
      <w:r w:rsidR="008B2652">
        <w:t>by</w:t>
      </w:r>
      <w:r>
        <w:t xml:space="preserve"> the new model? The NDIS Quality and Safeguards Commission is seemingly limited in its capacity to proactively monitor and oversee the use of restrictive practices and cannot be relied upon solely to fulfil this function.</w:t>
      </w:r>
    </w:p>
    <w:p w14:paraId="294FDA0D" w14:textId="77777777" w:rsidR="0001722C" w:rsidRDefault="0001722C" w:rsidP="003D07E2">
      <w:pPr>
        <w:spacing w:after="240"/>
      </w:pPr>
    </w:p>
    <w:p w14:paraId="1B50AC0A" w14:textId="3F44C470" w:rsidR="003D07E2" w:rsidRPr="003D07E2" w:rsidRDefault="006B52EC" w:rsidP="003D07E2">
      <w:pPr>
        <w:spacing w:after="240"/>
        <w:rPr>
          <w:rStyle w:val="BookTitle"/>
        </w:rPr>
      </w:pPr>
      <w:r w:rsidRPr="003D07E2">
        <w:rPr>
          <w:rStyle w:val="BookTitle"/>
        </w:rPr>
        <w:lastRenderedPageBreak/>
        <w:t xml:space="preserve">How culturally appropriate is the </w:t>
      </w:r>
      <w:r w:rsidR="002664FF">
        <w:rPr>
          <w:rStyle w:val="BookTitle"/>
        </w:rPr>
        <w:t>S</w:t>
      </w:r>
      <w:r w:rsidRPr="003D07E2">
        <w:rPr>
          <w:rStyle w:val="BookTitle"/>
        </w:rPr>
        <w:t xml:space="preserve">enior </w:t>
      </w:r>
      <w:r w:rsidR="002664FF">
        <w:rPr>
          <w:rStyle w:val="BookTitle"/>
        </w:rPr>
        <w:t>P</w:t>
      </w:r>
      <w:r w:rsidRPr="003D07E2">
        <w:rPr>
          <w:rStyle w:val="BookTitle"/>
        </w:rPr>
        <w:t xml:space="preserve">ractitioner model for First Nations people with disability? </w:t>
      </w:r>
    </w:p>
    <w:p w14:paraId="3A26163F" w14:textId="4E705A83" w:rsidR="006B52EC" w:rsidRDefault="006B52EC" w:rsidP="003D07E2">
      <w:r>
        <w:t xml:space="preserve">How will cultural safety be embedded into this model? Moving authorisation decisions away from guardians and families will likely have additional consequences for First Nations families. The perspective of First Nations communities and </w:t>
      </w:r>
      <w:r w:rsidR="0003288E">
        <w:t xml:space="preserve">their </w:t>
      </w:r>
      <w:r>
        <w:t>legal representatives must be central to any changes to the current model</w:t>
      </w:r>
      <w:r w:rsidR="00314B7F">
        <w:t>. QAI recommends the Committee consult further with appropriate</w:t>
      </w:r>
      <w:r w:rsidR="004027C4">
        <w:t xml:space="preserve"> representatives of Aboriginal and Torres Strait Islander communities. Culturally </w:t>
      </w:r>
      <w:r w:rsidR="00C5056C">
        <w:t>safe practice</w:t>
      </w:r>
      <w:r w:rsidR="004027C4">
        <w:t xml:space="preserve"> is essential and</w:t>
      </w:r>
      <w:r w:rsidR="00C5056C">
        <w:t xml:space="preserve"> must be a legislated requirement of </w:t>
      </w:r>
      <w:r w:rsidR="004027C4">
        <w:t>any authorisation model.</w:t>
      </w:r>
    </w:p>
    <w:p w14:paraId="507D6C60" w14:textId="77777777" w:rsidR="009326E2" w:rsidRDefault="009326E2" w:rsidP="004027C4"/>
    <w:p w14:paraId="4F150920" w14:textId="77777777" w:rsidR="004027C4" w:rsidRPr="004027C4" w:rsidRDefault="006B52EC" w:rsidP="004027C4">
      <w:pPr>
        <w:spacing w:after="240"/>
        <w:rPr>
          <w:rStyle w:val="BookTitle"/>
        </w:rPr>
      </w:pPr>
      <w:r w:rsidRPr="004027C4">
        <w:rPr>
          <w:rStyle w:val="BookTitle"/>
        </w:rPr>
        <w:t xml:space="preserve">How will people with disability be supported to exercise their review and appeal rights? </w:t>
      </w:r>
    </w:p>
    <w:p w14:paraId="04389C63" w14:textId="7865F4E3" w:rsidR="009A4A67" w:rsidRPr="009A4A67" w:rsidRDefault="006B52EC" w:rsidP="006F64A4">
      <w:pPr>
        <w:spacing w:after="240"/>
      </w:pPr>
      <w:r>
        <w:t xml:space="preserve">Review and appeal rights, while crucial, can be futile if not accompanied by additional </w:t>
      </w:r>
      <w:r w:rsidR="000F14C6">
        <w:t xml:space="preserve">resources and </w:t>
      </w:r>
      <w:r>
        <w:t xml:space="preserve">support for people to exercise and enforce them. People with disability who are subjected to the use of </w:t>
      </w:r>
      <w:r w:rsidR="0086662A">
        <w:t>r</w:t>
      </w:r>
      <w:r>
        <w:t xml:space="preserve">estrictive </w:t>
      </w:r>
      <w:r w:rsidR="0086662A">
        <w:t>p</w:t>
      </w:r>
      <w:r>
        <w:t>ractices must have access to automatic legal representation that is free and not means-tested.</w:t>
      </w:r>
      <w:r w:rsidR="00427E41">
        <w:t xml:space="preserve"> </w:t>
      </w:r>
      <w:r w:rsidR="009A4A67" w:rsidRPr="009A4A67">
        <w:rPr>
          <w:lang w:val="en-AU"/>
        </w:rPr>
        <w:t>Ensur</w:t>
      </w:r>
      <w:r w:rsidR="009A4A67">
        <w:rPr>
          <w:lang w:val="en-AU"/>
        </w:rPr>
        <w:t>ing</w:t>
      </w:r>
      <w:r w:rsidR="009A4A67" w:rsidRPr="009A4A67">
        <w:rPr>
          <w:lang w:val="en-AU"/>
        </w:rPr>
        <w:t xml:space="preserve"> access to </w:t>
      </w:r>
      <w:r w:rsidR="009A4A67">
        <w:rPr>
          <w:lang w:val="en-AU"/>
        </w:rPr>
        <w:t>legal representation will</w:t>
      </w:r>
      <w:r w:rsidR="009A4A67" w:rsidRPr="009A4A67">
        <w:rPr>
          <w:lang w:val="en-AU"/>
        </w:rPr>
        <w:t xml:space="preserve"> help ensure the will, preferences, and rights of people with disability remain central to decision-making regarding the use of restrictive practices</w:t>
      </w:r>
      <w:r w:rsidR="009A4A67">
        <w:rPr>
          <w:lang w:val="en-AU"/>
        </w:rPr>
        <w:t>.</w:t>
      </w:r>
      <w:r w:rsidR="00D87745">
        <w:rPr>
          <w:lang w:val="en-AU"/>
        </w:rPr>
        <w:t xml:space="preserve"> Resources for this must</w:t>
      </w:r>
      <w:r w:rsidR="00125EC5">
        <w:rPr>
          <w:lang w:val="en-AU"/>
        </w:rPr>
        <w:t xml:space="preserve"> therefore </w:t>
      </w:r>
      <w:r w:rsidR="00D87745">
        <w:rPr>
          <w:lang w:val="en-AU"/>
        </w:rPr>
        <w:t>be prioritised in the implementation of the new regime.</w:t>
      </w:r>
    </w:p>
    <w:p w14:paraId="7D051CD4" w14:textId="44ECD8D0" w:rsidR="00427E41" w:rsidRPr="006F64A4" w:rsidRDefault="006F64A4" w:rsidP="006F64A4">
      <w:pPr>
        <w:spacing w:after="240"/>
        <w:rPr>
          <w:rStyle w:val="BookTitle"/>
        </w:rPr>
      </w:pPr>
      <w:r>
        <w:rPr>
          <w:rStyle w:val="BookTitle"/>
        </w:rPr>
        <w:t xml:space="preserve">Will </w:t>
      </w:r>
      <w:r w:rsidR="00974D68">
        <w:rPr>
          <w:rStyle w:val="BookTitle"/>
        </w:rPr>
        <w:t xml:space="preserve">behaviour support </w:t>
      </w:r>
      <w:r w:rsidR="00C62EA4">
        <w:rPr>
          <w:rStyle w:val="BookTitle"/>
        </w:rPr>
        <w:t>plans</w:t>
      </w:r>
      <w:r w:rsidR="00974D68">
        <w:rPr>
          <w:rStyle w:val="BookTitle"/>
        </w:rPr>
        <w:t xml:space="preserve"> </w:t>
      </w:r>
      <w:r w:rsidR="001E73FD">
        <w:rPr>
          <w:rStyle w:val="BookTitle"/>
        </w:rPr>
        <w:t>take a multidisciplinary approach?</w:t>
      </w:r>
    </w:p>
    <w:p w14:paraId="1A5C7324" w14:textId="01B478BE" w:rsidR="006F64A4" w:rsidRDefault="000C76A8" w:rsidP="001A0CEC">
      <w:pPr>
        <w:spacing w:after="240"/>
      </w:pPr>
      <w:r>
        <w:t>Will</w:t>
      </w:r>
      <w:r w:rsidR="001E73FD">
        <w:t xml:space="preserve"> the</w:t>
      </w:r>
      <w:r w:rsidR="00AA537B">
        <w:t xml:space="preserve"> new approach</w:t>
      </w:r>
      <w:r w:rsidR="005E0066">
        <w:t xml:space="preserve"> </w:t>
      </w:r>
      <w:r w:rsidR="007A7289">
        <w:t>ensure that expert evidence from a multidisciplinary team of clinicians is gathered</w:t>
      </w:r>
      <w:r w:rsidR="00DD1071">
        <w:t xml:space="preserve"> as part of developing</w:t>
      </w:r>
      <w:r w:rsidR="00C62EA4">
        <w:t xml:space="preserve"> behaviour support plans, </w:t>
      </w:r>
      <w:r w:rsidR="001A0CEC">
        <w:t>particularly in circumstances where a service provider seeks to contain or seclude a person with disability</w:t>
      </w:r>
      <w:r w:rsidR="00830EDD">
        <w:t>?</w:t>
      </w:r>
    </w:p>
    <w:p w14:paraId="0DD96382" w14:textId="76C25483" w:rsidR="001A0CEC" w:rsidRDefault="001A0CEC" w:rsidP="004027C4">
      <w:r>
        <w:t xml:space="preserve">The Explanatory Memorandum states: </w:t>
      </w:r>
    </w:p>
    <w:p w14:paraId="0B71D008" w14:textId="57E81369" w:rsidR="00A609B1" w:rsidRPr="00A609B1" w:rsidRDefault="00A609B1" w:rsidP="000C76A8">
      <w:pPr>
        <w:spacing w:after="240"/>
        <w:ind w:left="284" w:right="284"/>
        <w:rPr>
          <w:i/>
          <w:iCs/>
        </w:rPr>
      </w:pPr>
      <w:r w:rsidRPr="00A609B1">
        <w:rPr>
          <w:i/>
          <w:iCs/>
        </w:rPr>
        <w:t xml:space="preserve">For both NDIS supports or services and state disability services, the Bill removes the requirement for the Chief Executive, Disability Services, to decide whether a </w:t>
      </w:r>
      <w:r w:rsidRPr="00A609B1">
        <w:rPr>
          <w:i/>
          <w:iCs/>
        </w:rPr>
        <w:lastRenderedPageBreak/>
        <w:t>multidisciplinary assessment will be conducted in circumstances where a relevant service provider wishes to contain or seclude a person with disability.</w:t>
      </w:r>
      <w:r>
        <w:rPr>
          <w:rStyle w:val="FootnoteReference"/>
          <w:i/>
          <w:iCs/>
        </w:rPr>
        <w:footnoteReference w:id="9"/>
      </w:r>
    </w:p>
    <w:p w14:paraId="7385F244" w14:textId="4BC18A64" w:rsidR="00830EDD" w:rsidRDefault="005A7310" w:rsidP="004027C4">
      <w:r>
        <w:t xml:space="preserve">The Bill </w:t>
      </w:r>
      <w:r w:rsidR="00AA4213">
        <w:t>refers to</w:t>
      </w:r>
      <w:r w:rsidR="00B374E6">
        <w:t xml:space="preserve"> the requirement for</w:t>
      </w:r>
      <w:r w:rsidR="00AA4213">
        <w:t xml:space="preserve"> “comprehensive” behaviour support</w:t>
      </w:r>
      <w:r w:rsidR="000B3D87">
        <w:t xml:space="preserve"> plans</w:t>
      </w:r>
      <w:r w:rsidR="002C6ADE">
        <w:t xml:space="preserve"> to be developed</w:t>
      </w:r>
      <w:r w:rsidR="00F7763D">
        <w:t>. H</w:t>
      </w:r>
      <w:r w:rsidR="000B3D87">
        <w:t>owever</w:t>
      </w:r>
      <w:r w:rsidR="00F7763D">
        <w:t xml:space="preserve">, it does not stipulate the level of evidence </w:t>
      </w:r>
      <w:r w:rsidR="00B648A6">
        <w:t xml:space="preserve">required </w:t>
      </w:r>
      <w:r w:rsidR="00D1297B">
        <w:t>to inform the development of th</w:t>
      </w:r>
      <w:r w:rsidR="008B4211">
        <w:t>e</w:t>
      </w:r>
      <w:r w:rsidR="00D1297B">
        <w:t xml:space="preserve">se plans and we are concerned that the new regime </w:t>
      </w:r>
      <w:r w:rsidR="008B4211">
        <w:t>will lose th</w:t>
      </w:r>
      <w:r w:rsidR="00EE73EB">
        <w:t xml:space="preserve">e collaborative and multidisciplinary approach to informing behaviour support plans that currently exists </w:t>
      </w:r>
      <w:r w:rsidR="00785A21">
        <w:t>for</w:t>
      </w:r>
      <w:r w:rsidR="00EE73EB">
        <w:t xml:space="preserve"> plans that include </w:t>
      </w:r>
      <w:r w:rsidR="00785A21">
        <w:t>containment and seclusion.</w:t>
      </w:r>
    </w:p>
    <w:p w14:paraId="31C9BD64" w14:textId="77777777" w:rsidR="001E73FD" w:rsidRDefault="001E73FD" w:rsidP="004027C4"/>
    <w:p w14:paraId="72C023EE" w14:textId="50CB5DCF" w:rsidR="005D1D2C" w:rsidRDefault="005D1D2C" w:rsidP="005D1D2C">
      <w:pPr>
        <w:pStyle w:val="QAIHeading2"/>
      </w:pPr>
      <w:r>
        <w:t>3. Amendments required to enhance safeguards for people with disability</w:t>
      </w:r>
    </w:p>
    <w:p w14:paraId="4E2903B2" w14:textId="14B4F0FC" w:rsidR="00125EC5" w:rsidRDefault="00087E7E" w:rsidP="0026022A">
      <w:pPr>
        <w:spacing w:after="240"/>
        <w:rPr>
          <w:rStyle w:val="BookTitle"/>
        </w:rPr>
      </w:pPr>
      <w:r>
        <w:rPr>
          <w:rStyle w:val="BookTitle"/>
        </w:rPr>
        <w:t>Include the right to be protected from torture</w:t>
      </w:r>
      <w:r w:rsidR="00B66180">
        <w:rPr>
          <w:rStyle w:val="BookTitle"/>
        </w:rPr>
        <w:t xml:space="preserve"> and cruel, inhuman or degrading treatment</w:t>
      </w:r>
    </w:p>
    <w:p w14:paraId="165E66AA" w14:textId="365F429D" w:rsidR="00B66180" w:rsidRDefault="001B21B8" w:rsidP="00163E18">
      <w:pPr>
        <w:spacing w:after="240"/>
        <w:rPr>
          <w:rStyle w:val="BookTitle"/>
          <w:b w:val="0"/>
          <w:bCs w:val="0"/>
          <w:i w:val="0"/>
          <w:iCs w:val="0"/>
        </w:rPr>
      </w:pPr>
      <w:r>
        <w:rPr>
          <w:rStyle w:val="BookTitle"/>
          <w:b w:val="0"/>
          <w:bCs w:val="0"/>
          <w:i w:val="0"/>
          <w:iCs w:val="0"/>
        </w:rPr>
        <w:t>QAI welcomes the</w:t>
      </w:r>
      <w:r w:rsidR="005E4586">
        <w:rPr>
          <w:rStyle w:val="BookTitle"/>
          <w:b w:val="0"/>
          <w:bCs w:val="0"/>
          <w:i w:val="0"/>
          <w:iCs w:val="0"/>
        </w:rPr>
        <w:t xml:space="preserve"> </w:t>
      </w:r>
      <w:r w:rsidR="000F0F2B">
        <w:rPr>
          <w:rStyle w:val="BookTitle"/>
          <w:b w:val="0"/>
          <w:bCs w:val="0"/>
          <w:i w:val="0"/>
          <w:iCs w:val="0"/>
        </w:rPr>
        <w:t xml:space="preserve">amendments to section 18 of the </w:t>
      </w:r>
      <w:r w:rsidR="000F0F2B" w:rsidRPr="00385147">
        <w:rPr>
          <w:rStyle w:val="BookTitle"/>
          <w:b w:val="0"/>
          <w:bCs w:val="0"/>
        </w:rPr>
        <w:t>Disability Services Act</w:t>
      </w:r>
      <w:r w:rsidR="00385147" w:rsidRPr="00385147">
        <w:rPr>
          <w:rStyle w:val="BookTitle"/>
          <w:b w:val="0"/>
          <w:bCs w:val="0"/>
        </w:rPr>
        <w:t xml:space="preserve"> 2006</w:t>
      </w:r>
      <w:r w:rsidR="00385147">
        <w:rPr>
          <w:rStyle w:val="BookTitle"/>
          <w:b w:val="0"/>
          <w:bCs w:val="0"/>
          <w:i w:val="0"/>
          <w:iCs w:val="0"/>
        </w:rPr>
        <w:t xml:space="preserve"> and</w:t>
      </w:r>
      <w:r w:rsidR="008A222B">
        <w:rPr>
          <w:rStyle w:val="BookTitle"/>
          <w:b w:val="0"/>
          <w:bCs w:val="0"/>
          <w:i w:val="0"/>
          <w:iCs w:val="0"/>
        </w:rPr>
        <w:t xml:space="preserve"> the intention to more closely align this section with the general principles of the Convention on the Rights of Persons with Disabilit</w:t>
      </w:r>
      <w:r w:rsidR="00E9648F">
        <w:rPr>
          <w:rStyle w:val="BookTitle"/>
          <w:b w:val="0"/>
          <w:bCs w:val="0"/>
          <w:i w:val="0"/>
          <w:iCs w:val="0"/>
        </w:rPr>
        <w:t>ies</w:t>
      </w:r>
      <w:r w:rsidR="008A222B">
        <w:rPr>
          <w:rStyle w:val="BookTitle"/>
          <w:b w:val="0"/>
          <w:bCs w:val="0"/>
          <w:i w:val="0"/>
          <w:iCs w:val="0"/>
        </w:rPr>
        <w:t xml:space="preserve"> (CRPD).</w:t>
      </w:r>
      <w:r w:rsidR="004E5B98">
        <w:rPr>
          <w:rStyle w:val="FootnoteReference"/>
          <w:spacing w:val="5"/>
        </w:rPr>
        <w:footnoteReference w:id="10"/>
      </w:r>
      <w:r w:rsidR="008A222B">
        <w:rPr>
          <w:rStyle w:val="BookTitle"/>
          <w:b w:val="0"/>
          <w:bCs w:val="0"/>
          <w:i w:val="0"/>
          <w:iCs w:val="0"/>
        </w:rPr>
        <w:t xml:space="preserve"> We note that </w:t>
      </w:r>
      <w:r w:rsidR="005C3BBE">
        <w:rPr>
          <w:rStyle w:val="BookTitle"/>
          <w:b w:val="0"/>
          <w:bCs w:val="0"/>
          <w:i w:val="0"/>
          <w:iCs w:val="0"/>
        </w:rPr>
        <w:t>the</w:t>
      </w:r>
      <w:r w:rsidR="007F0D9C">
        <w:rPr>
          <w:rStyle w:val="BookTitle"/>
          <w:b w:val="0"/>
          <w:bCs w:val="0"/>
          <w:i w:val="0"/>
          <w:iCs w:val="0"/>
        </w:rPr>
        <w:t xml:space="preserve"> ‘supporting rights’ listed in</w:t>
      </w:r>
      <w:r w:rsidR="00882B69">
        <w:rPr>
          <w:rStyle w:val="BookTitle"/>
          <w:b w:val="0"/>
          <w:bCs w:val="0"/>
          <w:i w:val="0"/>
          <w:iCs w:val="0"/>
        </w:rPr>
        <w:t xml:space="preserve"> clause 18(2)</w:t>
      </w:r>
      <w:r w:rsidR="005C3BBE">
        <w:rPr>
          <w:rStyle w:val="BookTitle"/>
          <w:b w:val="0"/>
          <w:bCs w:val="0"/>
          <w:i w:val="0"/>
          <w:iCs w:val="0"/>
        </w:rPr>
        <w:t xml:space="preserve"> </w:t>
      </w:r>
      <w:r w:rsidR="000B1C83">
        <w:rPr>
          <w:rStyle w:val="BookTitle"/>
          <w:b w:val="0"/>
          <w:bCs w:val="0"/>
          <w:i w:val="0"/>
          <w:iCs w:val="0"/>
        </w:rPr>
        <w:t xml:space="preserve">in the Bill </w:t>
      </w:r>
      <w:r w:rsidR="00882B69">
        <w:rPr>
          <w:rStyle w:val="BookTitle"/>
          <w:b w:val="0"/>
          <w:bCs w:val="0"/>
          <w:i w:val="0"/>
          <w:iCs w:val="0"/>
        </w:rPr>
        <w:t>are</w:t>
      </w:r>
      <w:r w:rsidR="005C3BBE">
        <w:rPr>
          <w:rStyle w:val="BookTitle"/>
          <w:b w:val="0"/>
          <w:bCs w:val="0"/>
          <w:i w:val="0"/>
          <w:iCs w:val="0"/>
        </w:rPr>
        <w:t xml:space="preserve"> not limit</w:t>
      </w:r>
      <w:r w:rsidR="00882B69">
        <w:rPr>
          <w:rStyle w:val="BookTitle"/>
          <w:b w:val="0"/>
          <w:bCs w:val="0"/>
          <w:i w:val="0"/>
          <w:iCs w:val="0"/>
        </w:rPr>
        <w:t>ed</w:t>
      </w:r>
      <w:r w:rsidR="005C3BBE">
        <w:rPr>
          <w:rStyle w:val="BookTitle"/>
          <w:b w:val="0"/>
          <w:bCs w:val="0"/>
          <w:i w:val="0"/>
          <w:iCs w:val="0"/>
        </w:rPr>
        <w:t xml:space="preserve"> to</w:t>
      </w:r>
      <w:r w:rsidR="00431FA3">
        <w:rPr>
          <w:rStyle w:val="BookTitle"/>
          <w:b w:val="0"/>
          <w:bCs w:val="0"/>
          <w:i w:val="0"/>
          <w:iCs w:val="0"/>
        </w:rPr>
        <w:t xml:space="preserve"> </w:t>
      </w:r>
      <w:r w:rsidR="00D36C9A">
        <w:rPr>
          <w:rStyle w:val="BookTitle"/>
          <w:b w:val="0"/>
          <w:bCs w:val="0"/>
          <w:i w:val="0"/>
          <w:iCs w:val="0"/>
        </w:rPr>
        <w:t>only</w:t>
      </w:r>
      <w:r w:rsidR="00431FA3">
        <w:rPr>
          <w:rStyle w:val="BookTitle"/>
          <w:b w:val="0"/>
          <w:bCs w:val="0"/>
          <w:i w:val="0"/>
          <w:iCs w:val="0"/>
        </w:rPr>
        <w:t xml:space="preserve"> the general principles in</w:t>
      </w:r>
      <w:r w:rsidR="005C3BBE">
        <w:rPr>
          <w:rStyle w:val="BookTitle"/>
          <w:b w:val="0"/>
          <w:bCs w:val="0"/>
          <w:i w:val="0"/>
          <w:iCs w:val="0"/>
        </w:rPr>
        <w:t xml:space="preserve"> Article 3 of the CRPD</w:t>
      </w:r>
      <w:r w:rsidR="00431FA3">
        <w:rPr>
          <w:rStyle w:val="BookTitle"/>
          <w:b w:val="0"/>
          <w:bCs w:val="0"/>
          <w:i w:val="0"/>
          <w:iCs w:val="0"/>
        </w:rPr>
        <w:t xml:space="preserve"> but include additional rights such as</w:t>
      </w:r>
      <w:r w:rsidR="0018693E">
        <w:rPr>
          <w:rStyle w:val="BookTitle"/>
          <w:b w:val="0"/>
          <w:bCs w:val="0"/>
          <w:i w:val="0"/>
          <w:iCs w:val="0"/>
        </w:rPr>
        <w:t xml:space="preserve"> the right to privacy and the right to liberty.</w:t>
      </w:r>
    </w:p>
    <w:p w14:paraId="3CB16C02" w14:textId="1C20EDF5" w:rsidR="0014040B" w:rsidRPr="008D4247" w:rsidRDefault="00163E18" w:rsidP="008D4247">
      <w:pPr>
        <w:spacing w:after="240"/>
        <w:rPr>
          <w:rStyle w:val="BookTitle"/>
          <w:b w:val="0"/>
          <w:bCs w:val="0"/>
          <w:i w:val="0"/>
          <w:iCs w:val="0"/>
        </w:rPr>
      </w:pPr>
      <w:r>
        <w:rPr>
          <w:rStyle w:val="BookTitle"/>
          <w:b w:val="0"/>
          <w:bCs w:val="0"/>
          <w:i w:val="0"/>
          <w:iCs w:val="0"/>
        </w:rPr>
        <w:t>QAI</w:t>
      </w:r>
      <w:r w:rsidR="00E60786">
        <w:rPr>
          <w:rStyle w:val="BookTitle"/>
          <w:b w:val="0"/>
          <w:bCs w:val="0"/>
          <w:i w:val="0"/>
          <w:iCs w:val="0"/>
        </w:rPr>
        <w:t xml:space="preserve"> </w:t>
      </w:r>
      <w:r w:rsidR="00A35CC7">
        <w:rPr>
          <w:rStyle w:val="BookTitle"/>
          <w:b w:val="0"/>
          <w:bCs w:val="0"/>
          <w:i w:val="0"/>
          <w:iCs w:val="0"/>
        </w:rPr>
        <w:t>s</w:t>
      </w:r>
      <w:r>
        <w:rPr>
          <w:rStyle w:val="BookTitle"/>
          <w:b w:val="0"/>
          <w:bCs w:val="0"/>
          <w:i w:val="0"/>
          <w:iCs w:val="0"/>
        </w:rPr>
        <w:t>trongly recommends</w:t>
      </w:r>
      <w:r w:rsidR="00CF44D5">
        <w:rPr>
          <w:rStyle w:val="BookTitle"/>
          <w:b w:val="0"/>
          <w:bCs w:val="0"/>
          <w:i w:val="0"/>
          <w:iCs w:val="0"/>
        </w:rPr>
        <w:t xml:space="preserve"> that</w:t>
      </w:r>
      <w:r>
        <w:rPr>
          <w:rStyle w:val="BookTitle"/>
          <w:b w:val="0"/>
          <w:bCs w:val="0"/>
          <w:i w:val="0"/>
          <w:iCs w:val="0"/>
        </w:rPr>
        <w:t xml:space="preserve"> the right to </w:t>
      </w:r>
      <w:r w:rsidR="00CD4AF5">
        <w:rPr>
          <w:rStyle w:val="BookTitle"/>
          <w:b w:val="0"/>
          <w:bCs w:val="0"/>
          <w:i w:val="0"/>
          <w:iCs w:val="0"/>
        </w:rPr>
        <w:t xml:space="preserve">freedom from torture or cruel, inhuman or degrading treatment or punishment </w:t>
      </w:r>
      <w:r w:rsidR="007A3D83">
        <w:rPr>
          <w:rStyle w:val="BookTitle"/>
          <w:b w:val="0"/>
          <w:bCs w:val="0"/>
          <w:i w:val="0"/>
          <w:iCs w:val="0"/>
        </w:rPr>
        <w:t>is also</w:t>
      </w:r>
      <w:r w:rsidR="002B7A1A">
        <w:rPr>
          <w:rStyle w:val="BookTitle"/>
          <w:b w:val="0"/>
          <w:bCs w:val="0"/>
          <w:i w:val="0"/>
          <w:iCs w:val="0"/>
        </w:rPr>
        <w:t xml:space="preserve"> included as a supporting right to the principle stated in </w:t>
      </w:r>
      <w:r w:rsidR="00E60786">
        <w:rPr>
          <w:rStyle w:val="BookTitle"/>
          <w:b w:val="0"/>
          <w:bCs w:val="0"/>
          <w:i w:val="0"/>
          <w:iCs w:val="0"/>
        </w:rPr>
        <w:t>clause</w:t>
      </w:r>
      <w:r w:rsidR="002B7A1A">
        <w:rPr>
          <w:rStyle w:val="BookTitle"/>
          <w:b w:val="0"/>
          <w:bCs w:val="0"/>
          <w:i w:val="0"/>
          <w:iCs w:val="0"/>
        </w:rPr>
        <w:t xml:space="preserve"> 18(1).</w:t>
      </w:r>
      <w:r w:rsidR="00244842">
        <w:rPr>
          <w:rStyle w:val="BookTitle"/>
          <w:b w:val="0"/>
          <w:bCs w:val="0"/>
          <w:i w:val="0"/>
          <w:iCs w:val="0"/>
        </w:rPr>
        <w:t xml:space="preserve"> </w:t>
      </w:r>
      <w:r w:rsidR="006A6FD4">
        <w:rPr>
          <w:rStyle w:val="BookTitle"/>
          <w:b w:val="0"/>
          <w:bCs w:val="0"/>
          <w:i w:val="0"/>
          <w:iCs w:val="0"/>
        </w:rPr>
        <w:t>The Queensland Human Rights Commission has stated that the right to freedom from torture or cruel, inhuman or degrading treatment could be engaged in acts that “</w:t>
      </w:r>
      <w:r w:rsidR="006A6FD4" w:rsidRPr="002A31C2">
        <w:rPr>
          <w:rStyle w:val="BookTitle"/>
          <w:b w:val="0"/>
          <w:bCs w:val="0"/>
        </w:rPr>
        <w:t>cause a person serious physical or mental pain or suffering or humiliate them</w:t>
      </w:r>
      <w:r w:rsidR="006A6FD4">
        <w:rPr>
          <w:rStyle w:val="BookTitle"/>
          <w:b w:val="0"/>
          <w:bCs w:val="0"/>
          <w:i w:val="0"/>
          <w:iCs w:val="0"/>
        </w:rPr>
        <w:t>”.</w:t>
      </w:r>
      <w:r w:rsidR="006A6FD4">
        <w:rPr>
          <w:rStyle w:val="FootnoteReference"/>
          <w:spacing w:val="5"/>
        </w:rPr>
        <w:footnoteReference w:id="11"/>
      </w:r>
      <w:r w:rsidR="006A6FD4">
        <w:rPr>
          <w:rStyle w:val="BookTitle"/>
          <w:b w:val="0"/>
          <w:bCs w:val="0"/>
          <w:i w:val="0"/>
          <w:iCs w:val="0"/>
        </w:rPr>
        <w:t xml:space="preserve"> Given the nature of </w:t>
      </w:r>
      <w:r w:rsidR="0001358E">
        <w:rPr>
          <w:rStyle w:val="BookTitle"/>
          <w:b w:val="0"/>
          <w:bCs w:val="0"/>
          <w:i w:val="0"/>
          <w:iCs w:val="0"/>
        </w:rPr>
        <w:t xml:space="preserve">the </w:t>
      </w:r>
      <w:r w:rsidR="006A6FD4">
        <w:rPr>
          <w:rStyle w:val="BookTitle"/>
          <w:b w:val="0"/>
          <w:bCs w:val="0"/>
          <w:i w:val="0"/>
          <w:iCs w:val="0"/>
        </w:rPr>
        <w:t xml:space="preserve">restrictive practices </w:t>
      </w:r>
      <w:r w:rsidR="0001358E">
        <w:rPr>
          <w:rStyle w:val="BookTitle"/>
          <w:b w:val="0"/>
          <w:bCs w:val="0"/>
          <w:i w:val="0"/>
          <w:iCs w:val="0"/>
        </w:rPr>
        <w:t xml:space="preserve">regulated by the </w:t>
      </w:r>
      <w:r w:rsidR="0001358E">
        <w:rPr>
          <w:rStyle w:val="BookTitle"/>
          <w:b w:val="0"/>
          <w:bCs w:val="0"/>
          <w:i w:val="0"/>
          <w:iCs w:val="0"/>
        </w:rPr>
        <w:lastRenderedPageBreak/>
        <w:t xml:space="preserve">authorisation framework </w:t>
      </w:r>
      <w:r w:rsidR="006A6FD4">
        <w:rPr>
          <w:rStyle w:val="BookTitle"/>
          <w:b w:val="0"/>
          <w:bCs w:val="0"/>
          <w:i w:val="0"/>
          <w:iCs w:val="0"/>
        </w:rPr>
        <w:t xml:space="preserve">and the </w:t>
      </w:r>
      <w:r w:rsidR="002A31C2">
        <w:rPr>
          <w:rStyle w:val="BookTitle"/>
          <w:b w:val="0"/>
          <w:bCs w:val="0"/>
          <w:i w:val="0"/>
          <w:iCs w:val="0"/>
        </w:rPr>
        <w:t xml:space="preserve">likelihood that the person subjected to them will </w:t>
      </w:r>
      <w:r w:rsidR="00F17DEB">
        <w:rPr>
          <w:rStyle w:val="BookTitle"/>
          <w:b w:val="0"/>
          <w:bCs w:val="0"/>
          <w:i w:val="0"/>
          <w:iCs w:val="0"/>
        </w:rPr>
        <w:t xml:space="preserve">suffer pain, suffering or humiliation, </w:t>
      </w:r>
      <w:r w:rsidR="00895AE7">
        <w:rPr>
          <w:rStyle w:val="BookTitle"/>
          <w:b w:val="0"/>
          <w:bCs w:val="0"/>
          <w:i w:val="0"/>
          <w:iCs w:val="0"/>
        </w:rPr>
        <w:t xml:space="preserve">the inclusion of this right is </w:t>
      </w:r>
      <w:r w:rsidR="003B03F2">
        <w:rPr>
          <w:rStyle w:val="BookTitle"/>
          <w:b w:val="0"/>
          <w:bCs w:val="0"/>
          <w:i w:val="0"/>
          <w:iCs w:val="0"/>
        </w:rPr>
        <w:t>essential</w:t>
      </w:r>
      <w:r w:rsidR="00895AE7">
        <w:rPr>
          <w:rStyle w:val="BookTitle"/>
          <w:b w:val="0"/>
          <w:bCs w:val="0"/>
          <w:i w:val="0"/>
          <w:iCs w:val="0"/>
        </w:rPr>
        <w:t xml:space="preserve"> to ensur</w:t>
      </w:r>
      <w:r w:rsidR="00E4154A">
        <w:rPr>
          <w:rStyle w:val="BookTitle"/>
          <w:b w:val="0"/>
          <w:bCs w:val="0"/>
          <w:i w:val="0"/>
          <w:iCs w:val="0"/>
        </w:rPr>
        <w:t>ing</w:t>
      </w:r>
      <w:r w:rsidR="00895AE7">
        <w:rPr>
          <w:rStyle w:val="BookTitle"/>
          <w:b w:val="0"/>
          <w:bCs w:val="0"/>
          <w:i w:val="0"/>
          <w:iCs w:val="0"/>
        </w:rPr>
        <w:t xml:space="preserve"> that</w:t>
      </w:r>
      <w:r w:rsidR="003B03F2">
        <w:rPr>
          <w:rStyle w:val="BookTitle"/>
          <w:b w:val="0"/>
          <w:bCs w:val="0"/>
          <w:i w:val="0"/>
          <w:iCs w:val="0"/>
        </w:rPr>
        <w:t xml:space="preserve"> a person’s rights are only ever infringed when it is reasonable and demonstrably justified in a free and democratic society.</w:t>
      </w:r>
      <w:r w:rsidR="003E2F83">
        <w:rPr>
          <w:rStyle w:val="BookTitle"/>
          <w:b w:val="0"/>
          <w:bCs w:val="0"/>
          <w:i w:val="0"/>
          <w:iCs w:val="0"/>
        </w:rPr>
        <w:t xml:space="preserve"> Similarly, we recommend the right to be free from violence, abuse, neglect and exploitation be included within this section.</w:t>
      </w:r>
    </w:p>
    <w:p w14:paraId="35D26D91" w14:textId="54E5E1EE" w:rsidR="00200C72" w:rsidRDefault="0049567B" w:rsidP="0026022A">
      <w:pPr>
        <w:spacing w:after="240"/>
        <w:rPr>
          <w:rStyle w:val="BookTitle"/>
        </w:rPr>
      </w:pPr>
      <w:r>
        <w:rPr>
          <w:rStyle w:val="BookTitle"/>
        </w:rPr>
        <w:t>Require the Senior Practi</w:t>
      </w:r>
      <w:r w:rsidR="002A3888">
        <w:rPr>
          <w:rStyle w:val="BookTitle"/>
        </w:rPr>
        <w:t>ti</w:t>
      </w:r>
      <w:r>
        <w:rPr>
          <w:rStyle w:val="BookTitle"/>
        </w:rPr>
        <w:t>oner to consider</w:t>
      </w:r>
      <w:r w:rsidR="002A3888">
        <w:rPr>
          <w:rStyle w:val="BookTitle"/>
        </w:rPr>
        <w:t xml:space="preserve"> the human right</w:t>
      </w:r>
      <w:r w:rsidR="00200C72">
        <w:rPr>
          <w:rStyle w:val="BookTitle"/>
        </w:rPr>
        <w:t xml:space="preserve">s </w:t>
      </w:r>
      <w:r w:rsidR="00841D4B">
        <w:rPr>
          <w:rStyle w:val="BookTitle"/>
        </w:rPr>
        <w:t>principle</w:t>
      </w:r>
    </w:p>
    <w:p w14:paraId="7390E137" w14:textId="77777777" w:rsidR="001D1A28" w:rsidRDefault="00D360E8" w:rsidP="00EC0B73">
      <w:pPr>
        <w:spacing w:after="240"/>
        <w:rPr>
          <w:rStyle w:val="BookTitle"/>
          <w:b w:val="0"/>
          <w:bCs w:val="0"/>
          <w:i w:val="0"/>
          <w:iCs w:val="0"/>
        </w:rPr>
      </w:pPr>
      <w:r>
        <w:rPr>
          <w:rStyle w:val="BookTitle"/>
          <w:b w:val="0"/>
          <w:bCs w:val="0"/>
          <w:i w:val="0"/>
          <w:iCs w:val="0"/>
        </w:rPr>
        <w:t>While the inclusion of supporting rights in clause 18 of the Bill is welcome, QAI considers that g</w:t>
      </w:r>
      <w:r w:rsidR="004E526B">
        <w:rPr>
          <w:rStyle w:val="BookTitle"/>
          <w:b w:val="0"/>
          <w:bCs w:val="0"/>
          <w:i w:val="0"/>
          <w:iCs w:val="0"/>
        </w:rPr>
        <w:t>reater reference</w:t>
      </w:r>
      <w:r>
        <w:rPr>
          <w:rStyle w:val="BookTitle"/>
          <w:b w:val="0"/>
          <w:bCs w:val="0"/>
          <w:i w:val="0"/>
          <w:iCs w:val="0"/>
        </w:rPr>
        <w:t xml:space="preserve"> to the </w:t>
      </w:r>
      <w:r w:rsidR="0084050D">
        <w:rPr>
          <w:rStyle w:val="BookTitle"/>
          <w:b w:val="0"/>
          <w:bCs w:val="0"/>
          <w:i w:val="0"/>
          <w:iCs w:val="0"/>
        </w:rPr>
        <w:t xml:space="preserve">human </w:t>
      </w:r>
      <w:r>
        <w:rPr>
          <w:rStyle w:val="BookTitle"/>
          <w:b w:val="0"/>
          <w:bCs w:val="0"/>
          <w:i w:val="0"/>
          <w:iCs w:val="0"/>
        </w:rPr>
        <w:t>rights</w:t>
      </w:r>
      <w:r w:rsidR="0084050D">
        <w:rPr>
          <w:rStyle w:val="BookTitle"/>
          <w:b w:val="0"/>
          <w:bCs w:val="0"/>
          <w:i w:val="0"/>
          <w:iCs w:val="0"/>
        </w:rPr>
        <w:t xml:space="preserve"> listed</w:t>
      </w:r>
      <w:r>
        <w:rPr>
          <w:rStyle w:val="BookTitle"/>
          <w:b w:val="0"/>
          <w:bCs w:val="0"/>
          <w:i w:val="0"/>
          <w:iCs w:val="0"/>
        </w:rPr>
        <w:t xml:space="preserve"> should be made throughout the rest of the Bill</w:t>
      </w:r>
      <w:r w:rsidR="006B57B1">
        <w:rPr>
          <w:rStyle w:val="BookTitle"/>
          <w:b w:val="0"/>
          <w:bCs w:val="0"/>
          <w:i w:val="0"/>
          <w:iCs w:val="0"/>
        </w:rPr>
        <w:t>. This would help</w:t>
      </w:r>
      <w:r>
        <w:rPr>
          <w:rStyle w:val="BookTitle"/>
          <w:b w:val="0"/>
          <w:bCs w:val="0"/>
          <w:i w:val="0"/>
          <w:iCs w:val="0"/>
        </w:rPr>
        <w:t xml:space="preserve"> to ensure it is not a tokenistic gesture but is instead embedded in</w:t>
      </w:r>
      <w:r w:rsidR="001D1A28">
        <w:rPr>
          <w:rStyle w:val="BookTitle"/>
          <w:b w:val="0"/>
          <w:bCs w:val="0"/>
          <w:i w:val="0"/>
          <w:iCs w:val="0"/>
        </w:rPr>
        <w:t>to</w:t>
      </w:r>
      <w:r>
        <w:rPr>
          <w:rStyle w:val="BookTitle"/>
          <w:b w:val="0"/>
          <w:bCs w:val="0"/>
          <w:i w:val="0"/>
          <w:iCs w:val="0"/>
        </w:rPr>
        <w:t xml:space="preserve"> </w:t>
      </w:r>
      <w:r w:rsidR="00E36BC4">
        <w:rPr>
          <w:rStyle w:val="BookTitle"/>
          <w:b w:val="0"/>
          <w:bCs w:val="0"/>
          <w:i w:val="0"/>
          <w:iCs w:val="0"/>
        </w:rPr>
        <w:t xml:space="preserve">the </w:t>
      </w:r>
      <w:r>
        <w:rPr>
          <w:rStyle w:val="BookTitle"/>
          <w:b w:val="0"/>
          <w:bCs w:val="0"/>
          <w:i w:val="0"/>
          <w:iCs w:val="0"/>
        </w:rPr>
        <w:t>authorisation decision</w:t>
      </w:r>
      <w:r w:rsidR="00E36BC4">
        <w:rPr>
          <w:rStyle w:val="BookTitle"/>
          <w:b w:val="0"/>
          <w:bCs w:val="0"/>
          <w:i w:val="0"/>
          <w:iCs w:val="0"/>
        </w:rPr>
        <w:t>-making framework</w:t>
      </w:r>
      <w:r>
        <w:rPr>
          <w:rStyle w:val="BookTitle"/>
          <w:b w:val="0"/>
          <w:bCs w:val="0"/>
          <w:i w:val="0"/>
          <w:iCs w:val="0"/>
        </w:rPr>
        <w:t xml:space="preserve">. </w:t>
      </w:r>
    </w:p>
    <w:p w14:paraId="59F122BC" w14:textId="345C8B8A" w:rsidR="00200C72" w:rsidRDefault="00D360E8" w:rsidP="00EC0B73">
      <w:pPr>
        <w:spacing w:after="240"/>
        <w:rPr>
          <w:rStyle w:val="BookTitle"/>
          <w:b w:val="0"/>
          <w:bCs w:val="0"/>
          <w:i w:val="0"/>
          <w:iCs w:val="0"/>
        </w:rPr>
      </w:pPr>
      <w:r>
        <w:rPr>
          <w:rStyle w:val="BookTitle"/>
          <w:b w:val="0"/>
          <w:bCs w:val="0"/>
          <w:i w:val="0"/>
          <w:iCs w:val="0"/>
        </w:rPr>
        <w:t>For example, clause</w:t>
      </w:r>
      <w:r w:rsidR="0040603C">
        <w:rPr>
          <w:rStyle w:val="BookTitle"/>
          <w:b w:val="0"/>
          <w:bCs w:val="0"/>
          <w:i w:val="0"/>
          <w:iCs w:val="0"/>
        </w:rPr>
        <w:t xml:space="preserve"> 158 </w:t>
      </w:r>
      <w:r w:rsidR="00AB233A">
        <w:rPr>
          <w:rStyle w:val="BookTitle"/>
          <w:b w:val="0"/>
          <w:bCs w:val="0"/>
          <w:i w:val="0"/>
          <w:iCs w:val="0"/>
        </w:rPr>
        <w:t>lists the circumstances which must be met before the Senior Practitioner can decide to authoris</w:t>
      </w:r>
      <w:r w:rsidR="001D1A28">
        <w:rPr>
          <w:rStyle w:val="BookTitle"/>
          <w:b w:val="0"/>
          <w:bCs w:val="0"/>
          <w:i w:val="0"/>
          <w:iCs w:val="0"/>
        </w:rPr>
        <w:t>e a restrictive practice</w:t>
      </w:r>
      <w:r w:rsidR="00AB233A">
        <w:rPr>
          <w:rStyle w:val="BookTitle"/>
          <w:b w:val="0"/>
          <w:bCs w:val="0"/>
          <w:i w:val="0"/>
          <w:iCs w:val="0"/>
        </w:rPr>
        <w:t xml:space="preserve">. Clause 159 lists the matters which the Senior Practitioner must consider when </w:t>
      </w:r>
      <w:r w:rsidR="00EC055B">
        <w:rPr>
          <w:rStyle w:val="BookTitle"/>
          <w:b w:val="0"/>
          <w:bCs w:val="0"/>
          <w:i w:val="0"/>
          <w:iCs w:val="0"/>
        </w:rPr>
        <w:t xml:space="preserve">deciding </w:t>
      </w:r>
      <w:r w:rsidR="001D1A28">
        <w:rPr>
          <w:rStyle w:val="BookTitle"/>
          <w:b w:val="0"/>
          <w:bCs w:val="0"/>
          <w:i w:val="0"/>
          <w:iCs w:val="0"/>
        </w:rPr>
        <w:t>an</w:t>
      </w:r>
      <w:r w:rsidR="00EC055B">
        <w:rPr>
          <w:rStyle w:val="BookTitle"/>
          <w:b w:val="0"/>
          <w:bCs w:val="0"/>
          <w:i w:val="0"/>
          <w:iCs w:val="0"/>
        </w:rPr>
        <w:t xml:space="preserve"> application. Presently, neither clause </w:t>
      </w:r>
      <w:r w:rsidR="00C52EE2">
        <w:rPr>
          <w:rStyle w:val="BookTitle"/>
          <w:b w:val="0"/>
          <w:bCs w:val="0"/>
          <w:i w:val="0"/>
          <w:iCs w:val="0"/>
        </w:rPr>
        <w:t>refers</w:t>
      </w:r>
      <w:r w:rsidR="00EC055B">
        <w:rPr>
          <w:rStyle w:val="BookTitle"/>
          <w:b w:val="0"/>
          <w:bCs w:val="0"/>
          <w:i w:val="0"/>
          <w:iCs w:val="0"/>
        </w:rPr>
        <w:t xml:space="preserve"> to the human rights mentioned in clause 18</w:t>
      </w:r>
      <w:r w:rsidR="00F86D7E">
        <w:rPr>
          <w:rStyle w:val="BookTitle"/>
          <w:b w:val="0"/>
          <w:bCs w:val="0"/>
          <w:i w:val="0"/>
          <w:iCs w:val="0"/>
        </w:rPr>
        <w:t xml:space="preserve">. QAI recommends that </w:t>
      </w:r>
      <w:r w:rsidR="00C52EE2">
        <w:rPr>
          <w:rStyle w:val="BookTitle"/>
          <w:b w:val="0"/>
          <w:bCs w:val="0"/>
          <w:i w:val="0"/>
          <w:iCs w:val="0"/>
        </w:rPr>
        <w:t>both</w:t>
      </w:r>
      <w:r w:rsidR="00F86D7E">
        <w:rPr>
          <w:rStyle w:val="BookTitle"/>
          <w:b w:val="0"/>
          <w:bCs w:val="0"/>
          <w:i w:val="0"/>
          <w:iCs w:val="0"/>
        </w:rPr>
        <w:t xml:space="preserve"> clauses</w:t>
      </w:r>
      <w:r w:rsidR="00F1661B">
        <w:rPr>
          <w:rStyle w:val="BookTitle"/>
          <w:b w:val="0"/>
          <w:bCs w:val="0"/>
          <w:i w:val="0"/>
          <w:iCs w:val="0"/>
        </w:rPr>
        <w:t>, and others,</w:t>
      </w:r>
      <w:r w:rsidR="00F86D7E">
        <w:rPr>
          <w:rStyle w:val="BookTitle"/>
          <w:b w:val="0"/>
          <w:bCs w:val="0"/>
          <w:i w:val="0"/>
          <w:iCs w:val="0"/>
        </w:rPr>
        <w:t xml:space="preserve"> include reference to</w:t>
      </w:r>
      <w:r w:rsidR="00F1661B">
        <w:rPr>
          <w:rStyle w:val="BookTitle"/>
          <w:b w:val="0"/>
          <w:bCs w:val="0"/>
          <w:i w:val="0"/>
          <w:iCs w:val="0"/>
        </w:rPr>
        <w:t xml:space="preserve"> and require</w:t>
      </w:r>
      <w:r w:rsidR="00F86D7E">
        <w:rPr>
          <w:rStyle w:val="BookTitle"/>
          <w:b w:val="0"/>
          <w:bCs w:val="0"/>
          <w:i w:val="0"/>
          <w:iCs w:val="0"/>
        </w:rPr>
        <w:t xml:space="preserve"> consideration of the human rights principle </w:t>
      </w:r>
      <w:r w:rsidR="00841D4B">
        <w:rPr>
          <w:rStyle w:val="BookTitle"/>
          <w:b w:val="0"/>
          <w:bCs w:val="0"/>
          <w:i w:val="0"/>
          <w:iCs w:val="0"/>
        </w:rPr>
        <w:t xml:space="preserve">in </w:t>
      </w:r>
      <w:r w:rsidR="00EC0B73">
        <w:rPr>
          <w:rStyle w:val="BookTitle"/>
          <w:b w:val="0"/>
          <w:bCs w:val="0"/>
          <w:i w:val="0"/>
          <w:iCs w:val="0"/>
        </w:rPr>
        <w:t>clause</w:t>
      </w:r>
      <w:r w:rsidR="00841D4B">
        <w:rPr>
          <w:rStyle w:val="BookTitle"/>
          <w:b w:val="0"/>
          <w:bCs w:val="0"/>
          <w:i w:val="0"/>
          <w:iCs w:val="0"/>
        </w:rPr>
        <w:t xml:space="preserve"> 18.</w:t>
      </w:r>
      <w:r w:rsidR="00F973E6">
        <w:rPr>
          <w:rStyle w:val="BookTitle"/>
          <w:b w:val="0"/>
          <w:bCs w:val="0"/>
          <w:i w:val="0"/>
          <w:iCs w:val="0"/>
        </w:rPr>
        <w:t xml:space="preserve"> The Senior Practitioner should also be required to report against the human rights principle </w:t>
      </w:r>
      <w:r w:rsidR="00EF2751">
        <w:rPr>
          <w:rStyle w:val="BookTitle"/>
          <w:b w:val="0"/>
          <w:bCs w:val="0"/>
          <w:i w:val="0"/>
          <w:iCs w:val="0"/>
        </w:rPr>
        <w:t xml:space="preserve">and the extent to which </w:t>
      </w:r>
      <w:r w:rsidR="00C52EE2">
        <w:rPr>
          <w:rStyle w:val="BookTitle"/>
          <w:b w:val="0"/>
          <w:bCs w:val="0"/>
          <w:i w:val="0"/>
          <w:iCs w:val="0"/>
        </w:rPr>
        <w:t>a</w:t>
      </w:r>
      <w:r w:rsidR="00EF2751">
        <w:rPr>
          <w:rStyle w:val="BookTitle"/>
          <w:b w:val="0"/>
          <w:bCs w:val="0"/>
          <w:i w:val="0"/>
          <w:iCs w:val="0"/>
        </w:rPr>
        <w:t xml:space="preserve"> decision to authorise </w:t>
      </w:r>
      <w:r w:rsidR="00C52EE2">
        <w:rPr>
          <w:rStyle w:val="BookTitle"/>
          <w:b w:val="0"/>
          <w:bCs w:val="0"/>
          <w:i w:val="0"/>
          <w:iCs w:val="0"/>
        </w:rPr>
        <w:t>a</w:t>
      </w:r>
      <w:r w:rsidR="00EF2751">
        <w:rPr>
          <w:rStyle w:val="BookTitle"/>
          <w:b w:val="0"/>
          <w:bCs w:val="0"/>
          <w:i w:val="0"/>
          <w:iCs w:val="0"/>
        </w:rPr>
        <w:t xml:space="preserve"> restrictive practice </w:t>
      </w:r>
      <w:r w:rsidR="00C52EE2">
        <w:rPr>
          <w:rStyle w:val="BookTitle"/>
          <w:b w:val="0"/>
          <w:bCs w:val="0"/>
          <w:i w:val="0"/>
          <w:iCs w:val="0"/>
        </w:rPr>
        <w:t>uphold</w:t>
      </w:r>
      <w:r w:rsidR="000B3C82">
        <w:rPr>
          <w:rStyle w:val="BookTitle"/>
          <w:b w:val="0"/>
          <w:bCs w:val="0"/>
          <w:i w:val="0"/>
          <w:iCs w:val="0"/>
        </w:rPr>
        <w:t>s the human rights stated in clause 18.</w:t>
      </w:r>
    </w:p>
    <w:p w14:paraId="5BA3A005" w14:textId="3A212532" w:rsidR="000F74AA" w:rsidRDefault="00C52EE2" w:rsidP="00EC0B73">
      <w:pPr>
        <w:spacing w:after="240"/>
        <w:rPr>
          <w:rStyle w:val="BookTitle"/>
          <w:b w:val="0"/>
          <w:bCs w:val="0"/>
          <w:i w:val="0"/>
          <w:iCs w:val="0"/>
        </w:rPr>
      </w:pPr>
      <w:r>
        <w:rPr>
          <w:rStyle w:val="BookTitle"/>
          <w:b w:val="0"/>
          <w:bCs w:val="0"/>
          <w:i w:val="0"/>
          <w:iCs w:val="0"/>
        </w:rPr>
        <w:t>Similarly,</w:t>
      </w:r>
      <w:r w:rsidR="000F74AA">
        <w:rPr>
          <w:rStyle w:val="BookTitle"/>
          <w:b w:val="0"/>
          <w:bCs w:val="0"/>
          <w:i w:val="0"/>
          <w:iCs w:val="0"/>
        </w:rPr>
        <w:t xml:space="preserve"> </w:t>
      </w:r>
      <w:r w:rsidR="00C50B4F">
        <w:rPr>
          <w:rStyle w:val="BookTitle"/>
          <w:b w:val="0"/>
          <w:bCs w:val="0"/>
          <w:i w:val="0"/>
          <w:iCs w:val="0"/>
        </w:rPr>
        <w:t>behaviour support plans should expressly require</w:t>
      </w:r>
      <w:r w:rsidR="008B2945">
        <w:rPr>
          <w:rStyle w:val="BookTitle"/>
          <w:b w:val="0"/>
          <w:bCs w:val="0"/>
          <w:i w:val="0"/>
          <w:iCs w:val="0"/>
        </w:rPr>
        <w:t xml:space="preserve"> </w:t>
      </w:r>
      <w:r w:rsidR="00760947">
        <w:rPr>
          <w:rStyle w:val="BookTitle"/>
          <w:b w:val="0"/>
          <w:bCs w:val="0"/>
          <w:i w:val="0"/>
          <w:iCs w:val="0"/>
        </w:rPr>
        <w:t xml:space="preserve">information </w:t>
      </w:r>
      <w:r w:rsidR="00577145">
        <w:rPr>
          <w:rStyle w:val="BookTitle"/>
          <w:b w:val="0"/>
          <w:bCs w:val="0"/>
          <w:i w:val="0"/>
          <w:iCs w:val="0"/>
        </w:rPr>
        <w:t>about the extent to which the restrictive practice engages and infringes the person</w:t>
      </w:r>
      <w:r w:rsidR="004931A7">
        <w:rPr>
          <w:rStyle w:val="BookTitle"/>
          <w:b w:val="0"/>
          <w:bCs w:val="0"/>
          <w:i w:val="0"/>
          <w:iCs w:val="0"/>
        </w:rPr>
        <w:t>’</w:t>
      </w:r>
      <w:r w:rsidR="00577145">
        <w:rPr>
          <w:rStyle w:val="BookTitle"/>
          <w:b w:val="0"/>
          <w:bCs w:val="0"/>
          <w:i w:val="0"/>
          <w:iCs w:val="0"/>
        </w:rPr>
        <w:t>s human rights</w:t>
      </w:r>
      <w:r w:rsidR="004931A7">
        <w:rPr>
          <w:rStyle w:val="BookTitle"/>
          <w:b w:val="0"/>
          <w:bCs w:val="0"/>
          <w:i w:val="0"/>
          <w:iCs w:val="0"/>
        </w:rPr>
        <w:t xml:space="preserve">. This </w:t>
      </w:r>
      <w:r w:rsidR="002120DC">
        <w:rPr>
          <w:rStyle w:val="BookTitle"/>
          <w:b w:val="0"/>
          <w:bCs w:val="0"/>
          <w:i w:val="0"/>
          <w:iCs w:val="0"/>
        </w:rPr>
        <w:t xml:space="preserve">requirement </w:t>
      </w:r>
      <w:r w:rsidR="004931A7">
        <w:rPr>
          <w:rStyle w:val="BookTitle"/>
          <w:b w:val="0"/>
          <w:bCs w:val="0"/>
          <w:i w:val="0"/>
          <w:iCs w:val="0"/>
        </w:rPr>
        <w:t>should be added to clause 178, for example.</w:t>
      </w:r>
      <w:r w:rsidR="00760947">
        <w:rPr>
          <w:rStyle w:val="BookTitle"/>
          <w:b w:val="0"/>
          <w:bCs w:val="0"/>
          <w:i w:val="0"/>
          <w:iCs w:val="0"/>
        </w:rPr>
        <w:t xml:space="preserve"> </w:t>
      </w:r>
    </w:p>
    <w:p w14:paraId="542C5B67" w14:textId="71AECCBB" w:rsidR="00321E51" w:rsidRPr="00321E51" w:rsidRDefault="00321E51" w:rsidP="0026022A">
      <w:pPr>
        <w:spacing w:after="240"/>
        <w:rPr>
          <w:rStyle w:val="BookTitle"/>
        </w:rPr>
      </w:pPr>
      <w:r>
        <w:rPr>
          <w:rStyle w:val="BookTitle"/>
        </w:rPr>
        <w:t xml:space="preserve">Change </w:t>
      </w:r>
      <w:r w:rsidR="00AF1B5A">
        <w:rPr>
          <w:rStyle w:val="BookTitle"/>
        </w:rPr>
        <w:t>‘harm’ to ‘serious harm’</w:t>
      </w:r>
    </w:p>
    <w:p w14:paraId="77610346" w14:textId="5AE20728" w:rsidR="002F64F1" w:rsidRDefault="001C6C72" w:rsidP="00321E51">
      <w:pPr>
        <w:spacing w:after="240"/>
      </w:pPr>
      <w:r>
        <w:t xml:space="preserve">Despite </w:t>
      </w:r>
      <w:r w:rsidR="006C515F">
        <w:t xml:space="preserve">some of the Bill’s changes reflecting </w:t>
      </w:r>
      <w:r w:rsidR="00804250">
        <w:t xml:space="preserve">recommendations </w:t>
      </w:r>
      <w:r w:rsidR="0003673C">
        <w:t>made by</w:t>
      </w:r>
      <w:r w:rsidR="00804250">
        <w:t xml:space="preserve"> the Disability Royal Commission,</w:t>
      </w:r>
      <w:r w:rsidR="0089580D">
        <w:t xml:space="preserve"> such as the introduction of a </w:t>
      </w:r>
      <w:r w:rsidR="007659DC">
        <w:t>S</w:t>
      </w:r>
      <w:r w:rsidR="0089580D">
        <w:t xml:space="preserve">enior </w:t>
      </w:r>
      <w:r w:rsidR="007659DC">
        <w:t>P</w:t>
      </w:r>
      <w:r w:rsidR="0089580D">
        <w:t>ractitioner model,</w:t>
      </w:r>
      <w:r w:rsidR="00804250">
        <w:t xml:space="preserve"> </w:t>
      </w:r>
      <w:r w:rsidR="00C74873">
        <w:t xml:space="preserve">they do not </w:t>
      </w:r>
      <w:r w:rsidR="0003673C">
        <w:t>fully reflect the recommendations in their entirety</w:t>
      </w:r>
      <w:r w:rsidR="00A92436">
        <w:t>.</w:t>
      </w:r>
      <w:r w:rsidR="008C2F87">
        <w:t xml:space="preserve"> </w:t>
      </w:r>
      <w:r w:rsidR="002D5C04">
        <w:t>In her explanatory speech, Minister Mullen said th</w:t>
      </w:r>
      <w:r w:rsidR="0089580D">
        <w:t>at th</w:t>
      </w:r>
      <w:r w:rsidR="002D5C04">
        <w:t xml:space="preserve">e Bill introduces </w:t>
      </w:r>
      <w:r w:rsidR="004F0B3A">
        <w:t>the “highest standards of safeguards</w:t>
      </w:r>
      <w:r w:rsidR="00E35077">
        <w:t xml:space="preserve"> for people with disability</w:t>
      </w:r>
      <w:r w:rsidR="004F0B3A">
        <w:t>”</w:t>
      </w:r>
      <w:r w:rsidR="002D5C04">
        <w:t>.</w:t>
      </w:r>
      <w:r w:rsidR="00FD7D7E">
        <w:rPr>
          <w:rStyle w:val="FootnoteReference"/>
        </w:rPr>
        <w:footnoteReference w:id="12"/>
      </w:r>
      <w:r w:rsidR="002D5C04">
        <w:t xml:space="preserve"> </w:t>
      </w:r>
      <w:r w:rsidR="002D5C04">
        <w:lastRenderedPageBreak/>
        <w:t>However,</w:t>
      </w:r>
      <w:r w:rsidR="00C946A0">
        <w:t xml:space="preserve"> QAI notes </w:t>
      </w:r>
      <w:r w:rsidR="00E518AA">
        <w:t>a key</w:t>
      </w:r>
      <w:r w:rsidR="00C946A0">
        <w:t xml:space="preserve"> discrepanc</w:t>
      </w:r>
      <w:r w:rsidR="00E518AA">
        <w:t>y</w:t>
      </w:r>
      <w:r w:rsidR="00C946A0">
        <w:t xml:space="preserve"> between the Disability Royal Commission’s recommendations and the current Bill</w:t>
      </w:r>
      <w:r w:rsidR="00321E51">
        <w:t xml:space="preserve">. </w:t>
      </w:r>
    </w:p>
    <w:p w14:paraId="63158C1E" w14:textId="2CD5E047" w:rsidR="00C946A0" w:rsidRDefault="00F50593" w:rsidP="00321E51">
      <w:pPr>
        <w:spacing w:after="240"/>
      </w:pPr>
      <w:r>
        <w:t>Recommendation 6.35 of the Disability Royal Commission recommended leg</w:t>
      </w:r>
      <w:r w:rsidR="00D37882">
        <w:t xml:space="preserve">al frameworks state that restrictive practices should only be used as a last resort, in response to a </w:t>
      </w:r>
      <w:r w:rsidR="00D37882" w:rsidRPr="00A13D7F">
        <w:rPr>
          <w:i/>
          <w:iCs/>
        </w:rPr>
        <w:t>serious risk of harm</w:t>
      </w:r>
      <w:r w:rsidR="009F24E7">
        <w:t xml:space="preserve"> to a person with disability or others. The </w:t>
      </w:r>
      <w:proofErr w:type="gramStart"/>
      <w:r w:rsidR="009F24E7">
        <w:t>Bill</w:t>
      </w:r>
      <w:proofErr w:type="gramEnd"/>
      <w:r w:rsidR="009F24E7">
        <w:t xml:space="preserve"> however, </w:t>
      </w:r>
      <w:r w:rsidR="00AF6F77">
        <w:t xml:space="preserve">uses the language </w:t>
      </w:r>
      <w:r w:rsidR="00A13D7F">
        <w:t xml:space="preserve">‘as a last resort to prevent </w:t>
      </w:r>
      <w:r w:rsidR="00A13D7F" w:rsidRPr="00A13D7F">
        <w:rPr>
          <w:i/>
          <w:iCs/>
        </w:rPr>
        <w:t>harm</w:t>
      </w:r>
      <w:r w:rsidR="00A13D7F">
        <w:t xml:space="preserve"> to the person or others.’</w:t>
      </w:r>
      <w:r w:rsidR="00A13D7F">
        <w:rPr>
          <w:rStyle w:val="FootnoteReference"/>
        </w:rPr>
        <w:footnoteReference w:id="13"/>
      </w:r>
      <w:r w:rsidR="00B24B56">
        <w:t xml:space="preserve"> </w:t>
      </w:r>
      <w:r w:rsidR="0047227D">
        <w:t xml:space="preserve">The threshold for authorising restrictive practices is therefore lower in the Bill and cannot be said to be offering the </w:t>
      </w:r>
      <w:r w:rsidR="00A9326F">
        <w:t>highest standards of safeguards for people with disability.</w:t>
      </w:r>
    </w:p>
    <w:p w14:paraId="546E988D" w14:textId="169B40D3" w:rsidR="008C2F87" w:rsidRPr="008C2F87" w:rsidRDefault="008C2F87" w:rsidP="00321E51">
      <w:pPr>
        <w:spacing w:after="240"/>
        <w:rPr>
          <w:rStyle w:val="BookTitle"/>
        </w:rPr>
      </w:pPr>
      <w:r w:rsidRPr="008C2F87">
        <w:rPr>
          <w:rStyle w:val="BookTitle"/>
        </w:rPr>
        <w:t>Supported decision-making</w:t>
      </w:r>
    </w:p>
    <w:p w14:paraId="37C6A8F2" w14:textId="77777777" w:rsidR="00DC270E" w:rsidRDefault="0057375C" w:rsidP="00321E51">
      <w:pPr>
        <w:spacing w:after="240"/>
      </w:pPr>
      <w:r>
        <w:t>The Disability Royal Commission also stated that legal frameworks should ensure restrictive practices</w:t>
      </w:r>
      <w:r w:rsidR="000A6580">
        <w:t xml:space="preserve"> are only used as a last resort, in response to a serious risk of harm and </w:t>
      </w:r>
      <w:r w:rsidR="000A6580" w:rsidRPr="006C72F8">
        <w:rPr>
          <w:i/>
          <w:iCs/>
        </w:rPr>
        <w:t>only after other strategies, including supported decision-making, have been explored and applied</w:t>
      </w:r>
      <w:r w:rsidR="000A6580">
        <w:t xml:space="preserve">. QAI recommends </w:t>
      </w:r>
      <w:r w:rsidR="006C72F8">
        <w:t>including this</w:t>
      </w:r>
      <w:r w:rsidR="000A6580">
        <w:t xml:space="preserve"> </w:t>
      </w:r>
      <w:r w:rsidR="009566EA">
        <w:t xml:space="preserve">important </w:t>
      </w:r>
      <w:r w:rsidR="00F176A6">
        <w:t>additional</w:t>
      </w:r>
      <w:r w:rsidR="000A6580">
        <w:t xml:space="preserve"> </w:t>
      </w:r>
      <w:r w:rsidR="006C72F8">
        <w:t>wording.</w:t>
      </w:r>
      <w:r w:rsidR="00791318">
        <w:t xml:space="preserve"> </w:t>
      </w:r>
    </w:p>
    <w:p w14:paraId="0BC49E5A" w14:textId="35A556F6" w:rsidR="0057375C" w:rsidRDefault="00DC270E" w:rsidP="00321E51">
      <w:pPr>
        <w:spacing w:after="240"/>
      </w:pPr>
      <w:r>
        <w:t>C</w:t>
      </w:r>
      <w:r w:rsidR="001A5652">
        <w:t>lause 160</w:t>
      </w:r>
      <w:r>
        <w:t xml:space="preserve"> also</w:t>
      </w:r>
      <w:r w:rsidR="001A5652">
        <w:t xml:space="preserve"> states the Senior Practitioner’s requirement to </w:t>
      </w:r>
      <w:r w:rsidR="00547362">
        <w:t>“</w:t>
      </w:r>
      <w:r w:rsidR="001A5652">
        <w:t>consult</w:t>
      </w:r>
      <w:r w:rsidR="00547362">
        <w:t xml:space="preserve"> with and consider any expressed or demonstrated views, wishes and preferences of the person with disability”. This </w:t>
      </w:r>
      <w:r w:rsidR="00CE7F2F">
        <w:t xml:space="preserve">section </w:t>
      </w:r>
      <w:r w:rsidR="00547362">
        <w:t xml:space="preserve">should </w:t>
      </w:r>
      <w:r w:rsidR="009A038E">
        <w:t>explicitly include a</w:t>
      </w:r>
      <w:r w:rsidR="00547362">
        <w:t xml:space="preserve"> </w:t>
      </w:r>
      <w:r w:rsidR="004D49C0">
        <w:t>require</w:t>
      </w:r>
      <w:r w:rsidR="009A038E">
        <w:t>ment o</w:t>
      </w:r>
      <w:r w:rsidR="00CE7F2F">
        <w:t>n</w:t>
      </w:r>
      <w:r w:rsidR="004D49C0">
        <w:t xml:space="preserve"> the Senior Practitioner to resource and </w:t>
      </w:r>
      <w:r w:rsidR="009A038E">
        <w:t>facilitate</w:t>
      </w:r>
      <w:r w:rsidR="004D49C0">
        <w:t xml:space="preserve"> the person with</w:t>
      </w:r>
      <w:r w:rsidR="00532F1D">
        <w:t xml:space="preserve"> disability access</w:t>
      </w:r>
      <w:r w:rsidR="009A038E">
        <w:t>ing</w:t>
      </w:r>
      <w:r w:rsidR="00532F1D">
        <w:t xml:space="preserve"> support for decision-making</w:t>
      </w:r>
      <w:r w:rsidR="009A038E">
        <w:t>.</w:t>
      </w:r>
    </w:p>
    <w:p w14:paraId="0CBC4B83" w14:textId="444755C0" w:rsidR="00A9326F" w:rsidRPr="008D7478" w:rsidRDefault="00AF1B5A" w:rsidP="008D7478">
      <w:pPr>
        <w:spacing w:after="240"/>
        <w:rPr>
          <w:rStyle w:val="BookTitle"/>
        </w:rPr>
      </w:pPr>
      <w:r w:rsidRPr="008D7478">
        <w:rPr>
          <w:rStyle w:val="BookTitle"/>
        </w:rPr>
        <w:t>Apply to people with disability</w:t>
      </w:r>
      <w:r w:rsidR="00702580">
        <w:rPr>
          <w:rStyle w:val="BookTitle"/>
        </w:rPr>
        <w:t xml:space="preserve"> </w:t>
      </w:r>
      <w:r w:rsidR="008D7478" w:rsidRPr="008D7478">
        <w:rPr>
          <w:rStyle w:val="BookTitle"/>
        </w:rPr>
        <w:t>in all settings</w:t>
      </w:r>
      <w:r w:rsidR="0079469D">
        <w:rPr>
          <w:rStyle w:val="BookTitle"/>
        </w:rPr>
        <w:t xml:space="preserve"> (including supported accommodation)</w:t>
      </w:r>
    </w:p>
    <w:p w14:paraId="628C9E78" w14:textId="77777777" w:rsidR="00586B90" w:rsidRDefault="0013730C" w:rsidP="00332748">
      <w:pPr>
        <w:spacing w:after="240"/>
      </w:pPr>
      <w:r>
        <w:rPr>
          <w:lang w:val="en-AU"/>
        </w:rPr>
        <w:t xml:space="preserve">Currently, the Bill only applies to people receiving NDIS supports or services or state disability services provided under the </w:t>
      </w:r>
      <w:r w:rsidRPr="008239B2">
        <w:rPr>
          <w:i/>
          <w:iCs/>
          <w:lang w:val="en-AU"/>
        </w:rPr>
        <w:t>Disability Services Act 2006</w:t>
      </w:r>
      <w:r>
        <w:rPr>
          <w:lang w:val="en-AU"/>
        </w:rPr>
        <w:t xml:space="preserve"> (Qld). However, </w:t>
      </w:r>
      <w:r w:rsidR="00702580">
        <w:t xml:space="preserve">QAI considers that the Bill should go further and expand the authorisation process to include all people with disability who are subjected to restrictive practices in every setting in which they occur. </w:t>
      </w:r>
      <w:r w:rsidR="00586B90">
        <w:t>This should expressly include supported accommodation settings, as discussed above.</w:t>
      </w:r>
    </w:p>
    <w:p w14:paraId="5BEC7100" w14:textId="76A99380" w:rsidR="00332748" w:rsidRDefault="00702580" w:rsidP="00332748">
      <w:pPr>
        <w:spacing w:after="240"/>
      </w:pPr>
      <w:r>
        <w:t xml:space="preserve">Restrictive practices are used in all corners of society and in any context in which a person with disability is perceived to exhibit a ‘behaviour of concern’ that purportedly poses a threat </w:t>
      </w:r>
      <w:r>
        <w:lastRenderedPageBreak/>
        <w:t xml:space="preserve">to the safety of the person or others. This includes in the home, at school, in mental health facilities, in prisons and in residential facilities. </w:t>
      </w:r>
    </w:p>
    <w:p w14:paraId="6323ABE9" w14:textId="7FC4DFC4" w:rsidR="00702580" w:rsidRDefault="00702580" w:rsidP="00E05188">
      <w:pPr>
        <w:spacing w:after="240"/>
      </w:pPr>
      <w:r>
        <w:t>The use of restrictive practices on children with disability in educational settings is</w:t>
      </w:r>
      <w:r w:rsidR="00052620">
        <w:t xml:space="preserve"> </w:t>
      </w:r>
      <w:r w:rsidR="00BF5045">
        <w:t>a</w:t>
      </w:r>
      <w:r>
        <w:t xml:space="preserve"> particular concern </w:t>
      </w:r>
      <w:r w:rsidR="00BF5045">
        <w:t>for</w:t>
      </w:r>
      <w:r>
        <w:t xml:space="preserve"> QAI. Through our Education Advocacy Service, QAI has provided individual advocacy for children within the state education system who have been subjected to restrictive practices such as being locked in cupboards, separated from their peers or physically manhandled. Such practices currently occur at the unfettered discretion of school Principals, without regulation or independent oversight. By the time the Regional Office becomes involved via a complaints process, the student has typically suffered significant harm and been denied access to critical learning opportunities. These practices must therefore carry the same level of independent authorisation that children with disability subjected to restrictive practices in the context of disability service provision, receive.</w:t>
      </w:r>
    </w:p>
    <w:p w14:paraId="77D3C68A" w14:textId="4BCBA629" w:rsidR="00827FE3" w:rsidRPr="00AC1F7A" w:rsidRDefault="00960C80" w:rsidP="00765511">
      <w:pPr>
        <w:spacing w:after="240"/>
        <w:rPr>
          <w:lang w:val="en-AU"/>
        </w:rPr>
      </w:pPr>
      <w:r>
        <w:rPr>
          <w:lang w:val="en-AU"/>
        </w:rPr>
        <w:t xml:space="preserve">Expanding the settings in which the authorisation framework </w:t>
      </w:r>
      <w:r w:rsidR="00D85F21">
        <w:rPr>
          <w:lang w:val="en-AU"/>
        </w:rPr>
        <w:t>applies would be</w:t>
      </w:r>
      <w:r w:rsidR="0013730C">
        <w:rPr>
          <w:lang w:val="en-AU"/>
        </w:rPr>
        <w:t xml:space="preserve">tter reflect </w:t>
      </w:r>
      <w:r w:rsidR="002F64F1">
        <w:rPr>
          <w:lang w:val="en-AU"/>
        </w:rPr>
        <w:t xml:space="preserve">Recommendation </w:t>
      </w:r>
      <w:r w:rsidR="007439EC">
        <w:rPr>
          <w:lang w:val="en-AU"/>
        </w:rPr>
        <w:t xml:space="preserve">6.35 of the Disability Royal Commission </w:t>
      </w:r>
      <w:r w:rsidR="0013730C">
        <w:rPr>
          <w:lang w:val="en-AU"/>
        </w:rPr>
        <w:t>which requires</w:t>
      </w:r>
      <w:r w:rsidR="007439EC">
        <w:rPr>
          <w:lang w:val="en-AU"/>
        </w:rPr>
        <w:t xml:space="preserve"> states and territories </w:t>
      </w:r>
      <w:r w:rsidR="0013730C">
        <w:rPr>
          <w:lang w:val="en-AU"/>
        </w:rPr>
        <w:t>to</w:t>
      </w:r>
      <w:r w:rsidR="007439EC">
        <w:rPr>
          <w:lang w:val="en-AU"/>
        </w:rPr>
        <w:t xml:space="preserve"> ensure appropriate legal frameworks are in place in disability, health, education and justice settings</w:t>
      </w:r>
      <w:r w:rsidR="0013730C">
        <w:rPr>
          <w:lang w:val="en-AU"/>
        </w:rPr>
        <w:t>.</w:t>
      </w:r>
    </w:p>
    <w:p w14:paraId="58CC437C" w14:textId="2473AEED" w:rsidR="0072414B" w:rsidRPr="00022EFA" w:rsidRDefault="00022EFA" w:rsidP="0026022A">
      <w:pPr>
        <w:spacing w:after="240"/>
        <w:rPr>
          <w:rStyle w:val="BookTitle"/>
        </w:rPr>
      </w:pPr>
      <w:r w:rsidRPr="00022EFA">
        <w:rPr>
          <w:rStyle w:val="BookTitle"/>
        </w:rPr>
        <w:t xml:space="preserve">Legislate prohibited </w:t>
      </w:r>
      <w:r w:rsidR="00B10FF3" w:rsidRPr="00022EFA">
        <w:rPr>
          <w:rStyle w:val="BookTitle"/>
        </w:rPr>
        <w:t>restrictive practices</w:t>
      </w:r>
    </w:p>
    <w:p w14:paraId="48A77BE3" w14:textId="49A6B7ED" w:rsidR="00022EFA" w:rsidRDefault="00022EFA" w:rsidP="00B76631">
      <w:pPr>
        <w:spacing w:after="240"/>
        <w:rPr>
          <w:lang w:val="en-AU"/>
        </w:rPr>
      </w:pPr>
      <w:r>
        <w:rPr>
          <w:lang w:val="en-AU"/>
        </w:rPr>
        <w:t>QAI understands that the</w:t>
      </w:r>
      <w:r w:rsidR="00C17395">
        <w:rPr>
          <w:lang w:val="en-AU"/>
        </w:rPr>
        <w:t>re is</w:t>
      </w:r>
      <w:r>
        <w:rPr>
          <w:lang w:val="en-AU"/>
        </w:rPr>
        <w:t xml:space="preserve"> </w:t>
      </w:r>
      <w:r w:rsidR="00086A70">
        <w:rPr>
          <w:lang w:val="en-AU"/>
        </w:rPr>
        <w:t>t</w:t>
      </w:r>
      <w:r w:rsidR="00C17395">
        <w:rPr>
          <w:lang w:val="en-AU"/>
        </w:rPr>
        <w:t>o be a list of</w:t>
      </w:r>
      <w:r>
        <w:rPr>
          <w:lang w:val="en-AU"/>
        </w:rPr>
        <w:t xml:space="preserve"> prohibited</w:t>
      </w:r>
      <w:r w:rsidR="00C17395">
        <w:rPr>
          <w:lang w:val="en-AU"/>
        </w:rPr>
        <w:t xml:space="preserve"> restrictive practices prescribed by regulation.</w:t>
      </w:r>
      <w:r w:rsidR="00F559B0">
        <w:rPr>
          <w:lang w:val="en-AU"/>
        </w:rPr>
        <w:t xml:space="preserve"> </w:t>
      </w:r>
      <w:r w:rsidR="00CB7837">
        <w:rPr>
          <w:lang w:val="en-AU"/>
        </w:rPr>
        <w:t>However, t</w:t>
      </w:r>
      <w:r w:rsidR="00F049F5">
        <w:rPr>
          <w:lang w:val="en-AU"/>
        </w:rPr>
        <w:t xml:space="preserve">he Explanatory Memorandum does not provide any detail about which restrictive practices are to be prohibited by </w:t>
      </w:r>
      <w:r w:rsidR="00086A70">
        <w:rPr>
          <w:lang w:val="en-AU"/>
        </w:rPr>
        <w:t xml:space="preserve">this </w:t>
      </w:r>
      <w:r w:rsidR="00F049F5">
        <w:rPr>
          <w:lang w:val="en-AU"/>
        </w:rPr>
        <w:t>regulation.</w:t>
      </w:r>
    </w:p>
    <w:p w14:paraId="74A128BD" w14:textId="40885166" w:rsidR="009839C7" w:rsidRDefault="00B76631" w:rsidP="00B76631">
      <w:pPr>
        <w:spacing w:after="240"/>
        <w:rPr>
          <w:lang w:val="en-AU"/>
        </w:rPr>
      </w:pPr>
      <w:r w:rsidRPr="00B76631">
        <w:rPr>
          <w:lang w:val="en-AU"/>
        </w:rPr>
        <w:t>Restrictive practices constitute some of the most grave human rights violations and our experience tells us that misunderstandings regarding what constitutes a restrictive practice are widespread within the community. Explicitly listing certain practices as prohibited w</w:t>
      </w:r>
      <w:r>
        <w:rPr>
          <w:lang w:val="en-AU"/>
        </w:rPr>
        <w:t>ill</w:t>
      </w:r>
      <w:r w:rsidRPr="00B76631">
        <w:rPr>
          <w:lang w:val="en-AU"/>
        </w:rPr>
        <w:t xml:space="preserve"> therefore help to educate the sector and provide a clear expectation regarding what conduct is completely unacceptable, regardless of the circumstances. </w:t>
      </w:r>
    </w:p>
    <w:p w14:paraId="0DC09185" w14:textId="4C9D60E3" w:rsidR="00B73C98" w:rsidRDefault="00B73C98" w:rsidP="00B76631">
      <w:pPr>
        <w:spacing w:after="240"/>
        <w:rPr>
          <w:lang w:val="en-AU"/>
        </w:rPr>
      </w:pPr>
      <w:r>
        <w:rPr>
          <w:lang w:val="en-AU"/>
        </w:rPr>
        <w:t xml:space="preserve">The Disability Royal Commission has recommended that “once appropriate legal frameworks are </w:t>
      </w:r>
      <w:r w:rsidR="00372BFC">
        <w:rPr>
          <w:lang w:val="en-AU"/>
        </w:rPr>
        <w:t xml:space="preserve">established in line with Recommendation 6.35, prohibitions should be incorporated in </w:t>
      </w:r>
      <w:r w:rsidR="00372BFC">
        <w:rPr>
          <w:lang w:val="en-AU"/>
        </w:rPr>
        <w:lastRenderedPageBreak/>
        <w:t>legislation.”</w:t>
      </w:r>
      <w:r w:rsidR="00695847">
        <w:rPr>
          <w:rStyle w:val="FootnoteReference"/>
          <w:lang w:val="en-AU"/>
        </w:rPr>
        <w:footnoteReference w:id="14"/>
      </w:r>
      <w:r w:rsidR="00372BFC">
        <w:rPr>
          <w:lang w:val="en-AU"/>
        </w:rPr>
        <w:t xml:space="preserve"> QAI therefore recommends the </w:t>
      </w:r>
      <w:r w:rsidR="00647685">
        <w:rPr>
          <w:lang w:val="en-AU"/>
        </w:rPr>
        <w:t xml:space="preserve">Committee </w:t>
      </w:r>
      <w:r w:rsidR="00D25D0E">
        <w:rPr>
          <w:lang w:val="en-AU"/>
        </w:rPr>
        <w:t>legislate the prohibition of the following rest</w:t>
      </w:r>
      <w:r w:rsidR="00372BFC">
        <w:rPr>
          <w:lang w:val="en-AU"/>
        </w:rPr>
        <w:t>rictive practices in th</w:t>
      </w:r>
      <w:r w:rsidR="00695847">
        <w:rPr>
          <w:lang w:val="en-AU"/>
        </w:rPr>
        <w:t>e</w:t>
      </w:r>
      <w:r w:rsidR="00372BFC">
        <w:rPr>
          <w:lang w:val="en-AU"/>
        </w:rPr>
        <w:t xml:space="preserve"> Bill</w:t>
      </w:r>
      <w:r w:rsidR="00870B95">
        <w:rPr>
          <w:lang w:val="en-AU"/>
        </w:rPr>
        <w:t xml:space="preserve"> (rather than </w:t>
      </w:r>
      <w:r w:rsidR="002C4ED1">
        <w:rPr>
          <w:lang w:val="en-AU"/>
        </w:rPr>
        <w:t>in</w:t>
      </w:r>
      <w:r w:rsidR="00870B95">
        <w:rPr>
          <w:lang w:val="en-AU"/>
        </w:rPr>
        <w:t xml:space="preserve"> regulation)</w:t>
      </w:r>
      <w:r w:rsidR="00372BFC">
        <w:rPr>
          <w:lang w:val="en-AU"/>
        </w:rPr>
        <w:t>:</w:t>
      </w:r>
    </w:p>
    <w:p w14:paraId="0DF02B85" w14:textId="7B911DFF" w:rsidR="00440669" w:rsidRDefault="00CB493E" w:rsidP="00440669">
      <w:pPr>
        <w:pStyle w:val="ListParagraph"/>
      </w:pPr>
      <w:r>
        <w:t>C</w:t>
      </w:r>
      <w:r w:rsidR="00B76631" w:rsidRPr="004A2C9D">
        <w:t xml:space="preserve">ontainment and seclusion </w:t>
      </w:r>
      <w:r w:rsidR="00893D6A">
        <w:t>of</w:t>
      </w:r>
      <w:r w:rsidR="00B76631" w:rsidRPr="004A2C9D">
        <w:t xml:space="preserve"> children under the age of 18</w:t>
      </w:r>
    </w:p>
    <w:p w14:paraId="5F8358A3" w14:textId="4C7AF8C5" w:rsidR="00275234" w:rsidRPr="00275234" w:rsidRDefault="00113F12" w:rsidP="00275234">
      <w:pPr>
        <w:pStyle w:val="ListParagraph"/>
      </w:pPr>
      <w:r>
        <w:t>P</w:t>
      </w:r>
      <w:r w:rsidR="00B76631" w:rsidRPr="00275234">
        <w:t>rone restraint, supine restraint, pin downs, take down techniques and any technique that interferes with respiration or digestion, pushed a person’s head towards their chest and physical restraints that inflict pain and hyperextension of joints or pressure on joints or chest</w:t>
      </w:r>
      <w:r>
        <w:rPr>
          <w:rStyle w:val="FootnoteReference"/>
        </w:rPr>
        <w:footnoteReference w:id="15"/>
      </w:r>
    </w:p>
    <w:p w14:paraId="69D6B4C3" w14:textId="6D33E97C" w:rsidR="008313FD" w:rsidRDefault="00275234" w:rsidP="008313FD">
      <w:pPr>
        <w:pStyle w:val="ListParagraph"/>
      </w:pPr>
      <w:r w:rsidRPr="00275234">
        <w:t>T</w:t>
      </w:r>
      <w:r w:rsidR="00B76631" w:rsidRPr="00275234">
        <w:t>he prohibitions contained in the NSW Restrictive Practices Authorisation Policy (v2.0), which includes aversion, over-correction, misuse of medication and denial of key needs</w:t>
      </w:r>
    </w:p>
    <w:p w14:paraId="387A779C" w14:textId="77777777" w:rsidR="00FE7C23" w:rsidRDefault="008313FD" w:rsidP="00FE7C23">
      <w:pPr>
        <w:pStyle w:val="ListParagraph"/>
      </w:pPr>
      <w:r>
        <w:t>C</w:t>
      </w:r>
      <w:r w:rsidR="00B76631" w:rsidRPr="008313FD">
        <w:t>onstant and intensive supervision or not ensuring an accessible environment</w:t>
      </w:r>
      <w:r w:rsidR="00FE7C23">
        <w:rPr>
          <w:rStyle w:val="FootnoteReference"/>
        </w:rPr>
        <w:footnoteReference w:id="16"/>
      </w:r>
    </w:p>
    <w:p w14:paraId="33D3D80F" w14:textId="77777777" w:rsidR="003A7813" w:rsidRDefault="00FE7C23" w:rsidP="003A7813">
      <w:pPr>
        <w:pStyle w:val="ListParagraph"/>
      </w:pPr>
      <w:r>
        <w:t>F</w:t>
      </w:r>
      <w:r w:rsidR="00B76631" w:rsidRPr="00FE7C23">
        <w:t>orcing a person to wear clothing specifically designed to impede behaviours of concern</w:t>
      </w:r>
      <w:r w:rsidR="003A7813">
        <w:rPr>
          <w:rStyle w:val="FootnoteReference"/>
        </w:rPr>
        <w:footnoteReference w:id="17"/>
      </w:r>
    </w:p>
    <w:p w14:paraId="24F17225" w14:textId="62F05829" w:rsidR="00292FFA" w:rsidRDefault="003A7813" w:rsidP="00292FFA">
      <w:pPr>
        <w:pStyle w:val="ListParagraph"/>
      </w:pPr>
      <w:r>
        <w:t>E</w:t>
      </w:r>
      <w:r w:rsidR="00B76631" w:rsidRPr="003A7813">
        <w:t>mploying psychosocial techniques which can impact a person’s exercise and choice and self- determination; i.e. psychosocial restraint, which is ‘the use of inter-personal interactions, which might reasonably be construed by the person to whom they are directed as intimidating or aversive, and/or threats of social or other sanctions which rely upon eliciting fear to moderate a person’s behaviour’</w:t>
      </w:r>
      <w:r w:rsidR="00292FFA">
        <w:rPr>
          <w:rStyle w:val="FootnoteReference"/>
        </w:rPr>
        <w:footnoteReference w:id="18"/>
      </w:r>
    </w:p>
    <w:p w14:paraId="2DFC7C5E" w14:textId="157FD697" w:rsidR="00B76631" w:rsidRPr="00292FFA" w:rsidRDefault="00292FFA" w:rsidP="00292FFA">
      <w:pPr>
        <w:pStyle w:val="ListParagraph"/>
      </w:pPr>
      <w:r>
        <w:lastRenderedPageBreak/>
        <w:t>E</w:t>
      </w:r>
      <w:r w:rsidR="00B76631" w:rsidRPr="00292FFA">
        <w:t>xplicit restrictions on where a person lives, who they live with, how they spend their time, access to personal monies, their right to access the local community, their right to sexual expression, and their right to privacy.</w:t>
      </w:r>
      <w:r w:rsidR="00636BB4">
        <w:rPr>
          <w:rStyle w:val="FootnoteReference"/>
        </w:rPr>
        <w:footnoteReference w:id="19"/>
      </w:r>
    </w:p>
    <w:p w14:paraId="7650EED9" w14:textId="6493ED3E" w:rsidR="00B76631" w:rsidRDefault="00B76631" w:rsidP="00B76631">
      <w:pPr>
        <w:spacing w:after="240"/>
        <w:rPr>
          <w:lang w:val="en-AU"/>
        </w:rPr>
      </w:pPr>
      <w:r w:rsidRPr="00B76631">
        <w:rPr>
          <w:lang w:val="en-AU"/>
        </w:rPr>
        <w:t xml:space="preserve">These ‘softer’ methods of exerting control can be equally restrictive and destructive of a person’s self- determination and must therefore be prohibited. Further, the </w:t>
      </w:r>
      <w:r w:rsidR="00C03AE3">
        <w:rPr>
          <w:lang w:val="en-AU"/>
        </w:rPr>
        <w:t>Bill</w:t>
      </w:r>
      <w:r w:rsidRPr="00B76631">
        <w:rPr>
          <w:lang w:val="en-AU"/>
        </w:rPr>
        <w:t xml:space="preserve"> should include a provision that explains the list is a non-exhaustive list of practices that are not permitted by law.</w:t>
      </w:r>
    </w:p>
    <w:p w14:paraId="5126C6A8" w14:textId="3EEFDA7C" w:rsidR="00317E8D" w:rsidRPr="00317E8D" w:rsidRDefault="00317E8D" w:rsidP="0026022A">
      <w:pPr>
        <w:spacing w:after="240"/>
        <w:rPr>
          <w:rStyle w:val="BookTitle"/>
        </w:rPr>
      </w:pPr>
      <w:r w:rsidRPr="00317E8D">
        <w:rPr>
          <w:rStyle w:val="BookTitle"/>
        </w:rPr>
        <w:t>Introduce a provider of last resort for the preparation of positive behaviour support plans</w:t>
      </w:r>
      <w:r w:rsidR="003E2C85">
        <w:rPr>
          <w:rStyle w:val="BookTitle"/>
        </w:rPr>
        <w:t xml:space="preserve"> for containment and seclusion</w:t>
      </w:r>
    </w:p>
    <w:p w14:paraId="4B0D48A3" w14:textId="4CC5E53F" w:rsidR="00E85BE0" w:rsidRDefault="008A2499" w:rsidP="008A2499">
      <w:pPr>
        <w:spacing w:after="240"/>
      </w:pPr>
      <w:r>
        <w:t>QAI does not support</w:t>
      </w:r>
      <w:r w:rsidR="00E85BE0">
        <w:t xml:space="preserve"> </w:t>
      </w:r>
      <w:r w:rsidR="003A3656">
        <w:t>devolving</w:t>
      </w:r>
      <w:r w:rsidR="00E85BE0">
        <w:t xml:space="preserve"> the responsibility</w:t>
      </w:r>
      <w:r w:rsidR="003A3656">
        <w:t xml:space="preserve"> for the development of positive behaviour support plans (</w:t>
      </w:r>
      <w:r w:rsidR="003A3656" w:rsidRPr="00D47E83">
        <w:rPr>
          <w:b/>
          <w:bCs/>
        </w:rPr>
        <w:t>PBSPs</w:t>
      </w:r>
      <w:r w:rsidR="003A3656">
        <w:t>) that include containment and/or seclusion to specialist behaviour support practitioners in the market</w:t>
      </w:r>
      <w:r w:rsidR="00205C4A">
        <w:t xml:space="preserve">, even in a phased approach over a </w:t>
      </w:r>
      <w:r w:rsidR="00B601FD">
        <w:t>24-month</w:t>
      </w:r>
      <w:r w:rsidR="00205C4A">
        <w:t xml:space="preserve"> period based on ‘market readiness’ of different regions across Queensland.</w:t>
      </w:r>
      <w:r w:rsidR="00064B29">
        <w:rPr>
          <w:rStyle w:val="FootnoteReference"/>
        </w:rPr>
        <w:footnoteReference w:id="20"/>
      </w:r>
    </w:p>
    <w:p w14:paraId="1157368B" w14:textId="20578BFE" w:rsidR="008A2499" w:rsidRDefault="008A2499" w:rsidP="008A2499">
      <w:pPr>
        <w:spacing w:after="240"/>
      </w:pPr>
      <w:r>
        <w:t xml:space="preserve">It is one thing to remove the Government’s statutory monopoly on the preparation of </w:t>
      </w:r>
      <w:r w:rsidR="00D47E83">
        <w:t xml:space="preserve">PBSPs </w:t>
      </w:r>
      <w:r>
        <w:t xml:space="preserve">for seclusion and containment, but it is another entirely to withdraw as a provider of last resort. While we acknowledge the rationale to remove this function is to allow for greater ‘choice and control’ through the utilisation of the NDIS market, QAI considers that the market will never be ready to solely take on this function owing simply to the inherent nature of a market-based scheme. That is, a scheme whereby participants and service providers are free to make decisions in accordance with their own (sometimes competing) interests. </w:t>
      </w:r>
    </w:p>
    <w:p w14:paraId="314C595B" w14:textId="6D99285C" w:rsidR="00FD55AA" w:rsidRDefault="00843A26" w:rsidP="00843A26">
      <w:pPr>
        <w:spacing w:after="240"/>
      </w:pPr>
      <w:r>
        <w:t xml:space="preserve">The grave nature of the limitations imposed by seclusion and containment require a safety net that the free operation of the NDIS market will simply never provide. People with disability subjected to such practices require a level of certainty that they can access </w:t>
      </w:r>
      <w:r w:rsidR="00DE6A2A">
        <w:t xml:space="preserve">PBSPs </w:t>
      </w:r>
      <w:r>
        <w:t xml:space="preserve">from a government provider </w:t>
      </w:r>
      <w:proofErr w:type="gramStart"/>
      <w:r>
        <w:t>if and when</w:t>
      </w:r>
      <w:proofErr w:type="gramEnd"/>
      <w:r>
        <w:t xml:space="preserve"> the market cannot provide one. In QAI’s experience, </w:t>
      </w:r>
      <w:r>
        <w:lastRenderedPageBreak/>
        <w:t xml:space="preserve">participants with complex needs (who are more likely to be subjected to restrictive practices) often experience difficulties accessing </w:t>
      </w:r>
      <w:r w:rsidR="00021273">
        <w:t>support</w:t>
      </w:r>
      <w:r>
        <w:t xml:space="preserve"> as service providers have been known to terminate service agreements when challenges arise. Providers can cease to exist or make decisions based upon revenue and the intensity of resources required to support a particular individual. They can turn clients away</w:t>
      </w:r>
      <w:r w:rsidR="00A41DB3">
        <w:t xml:space="preserve"> and</w:t>
      </w:r>
      <w:r>
        <w:t xml:space="preserve"> </w:t>
      </w:r>
      <w:r w:rsidR="00A41DB3">
        <w:t>t</w:t>
      </w:r>
      <w:r>
        <w:t xml:space="preserve">his can leave vulnerable participants with complex needs without </w:t>
      </w:r>
      <w:r w:rsidR="00C75883">
        <w:t>PBSPs</w:t>
      </w:r>
      <w:r>
        <w:t xml:space="preserve"> that regulate the use of restrictive practices</w:t>
      </w:r>
      <w:r w:rsidR="00A41DB3">
        <w:t xml:space="preserve"> used against them</w:t>
      </w:r>
      <w:r>
        <w:t xml:space="preserve">. This </w:t>
      </w:r>
      <w:r w:rsidR="00C07537">
        <w:t xml:space="preserve">risk </w:t>
      </w:r>
      <w:r w:rsidR="00FD55AA">
        <w:t>seems like a far stretch from what was originally envisaged by the founders of the NDIS.</w:t>
      </w:r>
    </w:p>
    <w:p w14:paraId="1D8A177E" w14:textId="77777777" w:rsidR="00451D41" w:rsidRDefault="00843A26" w:rsidP="00843A26">
      <w:pPr>
        <w:spacing w:after="240"/>
      </w:pPr>
      <w:r>
        <w:t xml:space="preserve">Removing the </w:t>
      </w:r>
      <w:r w:rsidR="00177EFE">
        <w:t xml:space="preserve">Government’s </w:t>
      </w:r>
      <w:r>
        <w:t>responsibility</w:t>
      </w:r>
      <w:r w:rsidR="00177EFE">
        <w:t xml:space="preserve"> for</w:t>
      </w:r>
      <w:r>
        <w:t xml:space="preserve"> developing </w:t>
      </w:r>
      <w:r w:rsidR="00177EFE">
        <w:t>these PBSPs</w:t>
      </w:r>
      <w:r>
        <w:t xml:space="preserve"> also mistakenly assumes that participants have sufficient funding in their plan to access </w:t>
      </w:r>
      <w:r w:rsidR="00177EFE">
        <w:t>them</w:t>
      </w:r>
      <w:r w:rsidR="004A592D">
        <w:t xml:space="preserve"> and </w:t>
      </w:r>
      <w:r>
        <w:t xml:space="preserve">have ready access to high quality providers, both of which are unfortunately not a reality. Since the introduction of the NDIS, QAI has observed numerous participants having insufficient funding for </w:t>
      </w:r>
      <w:r w:rsidR="004A592D">
        <w:t>PBSPs</w:t>
      </w:r>
      <w:r>
        <w:t xml:space="preserve"> and having to initiate lengthy review processes to obtain increased funding. QAI has also found a marked decline in the quality of </w:t>
      </w:r>
      <w:r w:rsidR="00531F37">
        <w:t>PBSPs</w:t>
      </w:r>
      <w:r>
        <w:t>. There is</w:t>
      </w:r>
      <w:r w:rsidR="00531F37">
        <w:t xml:space="preserve"> seemingly</w:t>
      </w:r>
      <w:r>
        <w:t xml:space="preserve"> a lack of experience among practitioners and a lack of innovation in </w:t>
      </w:r>
      <w:r w:rsidR="00531F37">
        <w:t>some PBSPs</w:t>
      </w:r>
      <w:r>
        <w:t xml:space="preserve"> leading to an increasing use of generic plans that are not tailored to the individual’s needs. </w:t>
      </w:r>
    </w:p>
    <w:p w14:paraId="57FE2945" w14:textId="5FA2695D" w:rsidR="00843A26" w:rsidRDefault="00843A26" w:rsidP="00843A26">
      <w:pPr>
        <w:spacing w:after="240"/>
      </w:pPr>
      <w:r>
        <w:t xml:space="preserve">This means that people with disability are having their freedoms limited in the absence of evidence-based guidance that will successfully address the behaviour of concern and reduce or eliminate the need for the restrictive practice. Further, the broader remit of the NDIS Restrictive Practice rules has led to an increased demand for </w:t>
      </w:r>
      <w:r w:rsidR="00451D41">
        <w:t>PBSPs</w:t>
      </w:r>
      <w:r>
        <w:t>, yet insufficient registered service providers capable of providing them are available, particularly in rural and remote parts of Queensland. Whilst some of these issues can and theoretically should improve, it will not take away the ability of service providers to terminate agreements and cease supporting participants due to their own prevailing interests.</w:t>
      </w:r>
    </w:p>
    <w:p w14:paraId="6B81C33D" w14:textId="1BDB184E" w:rsidR="00BD4489" w:rsidRDefault="00BD4489" w:rsidP="00BD4489">
      <w:pPr>
        <w:spacing w:after="240"/>
      </w:pPr>
      <w:r>
        <w:t xml:space="preserve">Though it </w:t>
      </w:r>
      <w:r w:rsidR="00840C62">
        <w:t>i</w:t>
      </w:r>
      <w:r>
        <w:t xml:space="preserve">s suggested the </w:t>
      </w:r>
      <w:r w:rsidR="00840C62">
        <w:t>G</w:t>
      </w:r>
      <w:r>
        <w:t>overnment w</w:t>
      </w:r>
      <w:r w:rsidR="00840C62">
        <w:t>ill</w:t>
      </w:r>
      <w:r>
        <w:t xml:space="preserve"> delay absolving this responsibility until such time that the market </w:t>
      </w:r>
      <w:r w:rsidR="00F428C1">
        <w:t>is ‘ready’</w:t>
      </w:r>
      <w:r>
        <w:t xml:space="preserve">, QAI urges the Queensland government to remain a provider of last resort indefinitely owing to its non-derogable responsibility to protect its most vulnerable citizens from harm. While the NDIS is indeed a market-based scheme, it is not a market of </w:t>
      </w:r>
      <w:r>
        <w:lastRenderedPageBreak/>
        <w:t>goods and chattels</w:t>
      </w:r>
      <w:r w:rsidR="00F428C1">
        <w:t>. It is</w:t>
      </w:r>
      <w:r>
        <w:t xml:space="preserve"> a market that centers around the lives and rights of people with disability.</w:t>
      </w:r>
    </w:p>
    <w:p w14:paraId="0B2A91AC" w14:textId="19B00FEF" w:rsidR="0079469D" w:rsidRDefault="0079469D" w:rsidP="00BD4489">
      <w:pPr>
        <w:spacing w:after="240"/>
      </w:pPr>
      <w:r>
        <w:t xml:space="preserve">A provider of last resort was also </w:t>
      </w:r>
      <w:r w:rsidRPr="006B2DAC">
        <w:t xml:space="preserve">recommended by both the Disability Royal Commission </w:t>
      </w:r>
      <w:r w:rsidR="006B2DAC" w:rsidRPr="006B2DAC">
        <w:t>(Recommendation 10.10</w:t>
      </w:r>
      <w:r w:rsidR="00765511" w:rsidRPr="006B2DAC">
        <w:t>) and the</w:t>
      </w:r>
      <w:r w:rsidRPr="006B2DAC">
        <w:t xml:space="preserve"> Independent Review of the NDIS</w:t>
      </w:r>
      <w:r w:rsidR="006B2DAC" w:rsidRPr="006B2DAC">
        <w:t xml:space="preserve"> (Action 13.4).</w:t>
      </w:r>
    </w:p>
    <w:p w14:paraId="2EAE27AB" w14:textId="1016D1AA" w:rsidR="00843A26" w:rsidRPr="00983800" w:rsidRDefault="0074369E" w:rsidP="0026022A">
      <w:pPr>
        <w:spacing w:after="240"/>
        <w:rPr>
          <w:rStyle w:val="BookTitle"/>
        </w:rPr>
      </w:pPr>
      <w:r w:rsidRPr="00983800">
        <w:rPr>
          <w:rStyle w:val="BookTitle"/>
        </w:rPr>
        <w:t>Increase accountability</w:t>
      </w:r>
      <w:r w:rsidR="00BC048E">
        <w:rPr>
          <w:rStyle w:val="BookTitle"/>
        </w:rPr>
        <w:t xml:space="preserve"> of service providers</w:t>
      </w:r>
    </w:p>
    <w:p w14:paraId="47D08095" w14:textId="72A57532" w:rsidR="0074369E" w:rsidRDefault="000F6535" w:rsidP="0074369E">
      <w:pPr>
        <w:spacing w:after="240"/>
      </w:pPr>
      <w:r>
        <w:t>QAI considers that p</w:t>
      </w:r>
      <w:r w:rsidR="0074369E" w:rsidRPr="00983800">
        <w:t>enalties</w:t>
      </w:r>
      <w:r w:rsidR="00983800" w:rsidRPr="00983800">
        <w:t xml:space="preserve"> should be</w:t>
      </w:r>
      <w:r w:rsidR="0074369E" w:rsidRPr="00983800">
        <w:t xml:space="preserve"> issued </w:t>
      </w:r>
      <w:r w:rsidR="0074369E">
        <w:t xml:space="preserve">to service providers who fail to comply with </w:t>
      </w:r>
      <w:r>
        <w:t>PBSPs</w:t>
      </w:r>
      <w:r w:rsidR="0074369E">
        <w:t>, as well as mandatory training</w:t>
      </w:r>
      <w:r w:rsidR="00EE6F24">
        <w:t xml:space="preserve"> required </w:t>
      </w:r>
      <w:r w:rsidR="0074369E">
        <w:t xml:space="preserve">for </w:t>
      </w:r>
      <w:r w:rsidR="00EE6F24">
        <w:t>service providers who are</w:t>
      </w:r>
      <w:r w:rsidR="0074369E">
        <w:t xml:space="preserve"> unable to demonstrate reduced or eliminated restrictive practices over time. This w</w:t>
      </w:r>
      <w:r w:rsidR="00EE6F24">
        <w:t>ill</w:t>
      </w:r>
      <w:r w:rsidR="0074369E">
        <w:t xml:space="preserve"> help to increase the accountability of service providers implementing restrictive practices and would facilitate a greater focus on positive outcomes for people with disability as opposed to processes </w:t>
      </w:r>
      <w:r w:rsidR="00EE6F24">
        <w:t xml:space="preserve">and compliance </w:t>
      </w:r>
      <w:r w:rsidR="0074369E">
        <w:t>alone.</w:t>
      </w:r>
    </w:p>
    <w:p w14:paraId="6BDEE660" w14:textId="0976F67D" w:rsidR="00526BBE" w:rsidRPr="000C1D05" w:rsidRDefault="00665B29" w:rsidP="0026022A">
      <w:pPr>
        <w:spacing w:after="240"/>
        <w:rPr>
          <w:rStyle w:val="BookTitle"/>
          <w:b w:val="0"/>
          <w:bCs w:val="0"/>
          <w:i w:val="0"/>
          <w:iCs w:val="0"/>
          <w:spacing w:val="0"/>
        </w:rPr>
      </w:pPr>
      <w:r>
        <w:t xml:space="preserve">Further, QAI considers that the Bill should include greater </w:t>
      </w:r>
      <w:r w:rsidR="00EB3EA3">
        <w:t>restrictions</w:t>
      </w:r>
      <w:r>
        <w:t xml:space="preserve"> on which staff members </w:t>
      </w:r>
      <w:r w:rsidR="00EB3EA3">
        <w:t>at</w:t>
      </w:r>
      <w:r>
        <w:t xml:space="preserve"> a service provider can implement the authorised restrictive practice. </w:t>
      </w:r>
      <w:r w:rsidR="00AB70B4">
        <w:t xml:space="preserve">The </w:t>
      </w:r>
      <w:r w:rsidR="00183E7B">
        <w:t xml:space="preserve">Senior Practitioner will be able to authorise a service provider </w:t>
      </w:r>
      <w:r w:rsidR="00015FB3">
        <w:t>to implement</w:t>
      </w:r>
      <w:r w:rsidR="00071CFB">
        <w:t xml:space="preserve"> a restrictive practice but </w:t>
      </w:r>
      <w:r w:rsidR="00015FB3">
        <w:t>nothing in the Bill regulates</w:t>
      </w:r>
      <w:r w:rsidR="00071CFB">
        <w:t xml:space="preserve"> which individual staff members at the service provider can implement the restri</w:t>
      </w:r>
      <w:r w:rsidR="00104E56">
        <w:t>c</w:t>
      </w:r>
      <w:r w:rsidR="00183E7B">
        <w:t>tive practice.</w:t>
      </w:r>
      <w:r w:rsidR="00104E56">
        <w:t xml:space="preserve"> For example, whether they must be staff with certain qualifications, training or experience. In the current drafting of the Bill, it is feasible that a volunteer at a service provider could find themselves in a situation where they are asked to implement a restrictive practice</w:t>
      </w:r>
      <w:r w:rsidR="00331775">
        <w:t xml:space="preserve">. </w:t>
      </w:r>
      <w:r w:rsidR="006613BB">
        <w:t>This could result in people with disability being subjected to harmful practices</w:t>
      </w:r>
      <w:r w:rsidR="00967CD1">
        <w:t xml:space="preserve"> applied by unqualified and unsuitable staff members.</w:t>
      </w:r>
    </w:p>
    <w:p w14:paraId="3AD886FE" w14:textId="6E7AE9B8" w:rsidR="00317E8D" w:rsidRPr="00FD0299" w:rsidRDefault="00FD0299" w:rsidP="0026022A">
      <w:pPr>
        <w:spacing w:after="240"/>
        <w:rPr>
          <w:rStyle w:val="BookTitle"/>
        </w:rPr>
      </w:pPr>
      <w:r w:rsidRPr="00FD0299">
        <w:rPr>
          <w:rStyle w:val="BookTitle"/>
        </w:rPr>
        <w:t xml:space="preserve">Require the </w:t>
      </w:r>
      <w:r w:rsidR="00F2011A">
        <w:rPr>
          <w:rStyle w:val="BookTitle"/>
        </w:rPr>
        <w:t>S</w:t>
      </w:r>
      <w:r w:rsidRPr="00FD0299">
        <w:rPr>
          <w:rStyle w:val="BookTitle"/>
        </w:rPr>
        <w:t xml:space="preserve">enior </w:t>
      </w:r>
      <w:r w:rsidR="00F2011A">
        <w:rPr>
          <w:rStyle w:val="BookTitle"/>
        </w:rPr>
        <w:t>P</w:t>
      </w:r>
      <w:r w:rsidRPr="00FD0299">
        <w:rPr>
          <w:rStyle w:val="BookTitle"/>
        </w:rPr>
        <w:t>ractitioner to work alongside people with lived experience</w:t>
      </w:r>
    </w:p>
    <w:p w14:paraId="723EA407" w14:textId="0EB69E01" w:rsidR="00DF6970" w:rsidRDefault="00701F56" w:rsidP="0026022A">
      <w:pPr>
        <w:spacing w:after="240"/>
      </w:pPr>
      <w:r>
        <w:t xml:space="preserve">The team working alongside the </w:t>
      </w:r>
      <w:r w:rsidR="00F2011A">
        <w:t>S</w:t>
      </w:r>
      <w:r>
        <w:t xml:space="preserve">enior </w:t>
      </w:r>
      <w:r w:rsidR="00F2011A">
        <w:t>P</w:t>
      </w:r>
      <w:r>
        <w:t xml:space="preserve">ractitioner should also include people with lived experience of disability and restrictive practices. </w:t>
      </w:r>
      <w:bookmarkEnd w:id="4"/>
    </w:p>
    <w:p w14:paraId="5EB7CE7A" w14:textId="77777777" w:rsidR="00ED7BF9" w:rsidRDefault="00ED7BF9" w:rsidP="0026022A">
      <w:pPr>
        <w:spacing w:after="240"/>
      </w:pPr>
    </w:p>
    <w:p w14:paraId="5CB49670" w14:textId="77777777" w:rsidR="00ED7BF9" w:rsidRDefault="00ED7BF9" w:rsidP="0026022A">
      <w:pPr>
        <w:spacing w:after="240"/>
      </w:pPr>
    </w:p>
    <w:p w14:paraId="2FBF5749" w14:textId="77777777" w:rsidR="00ED7BF9" w:rsidRDefault="00ED7BF9" w:rsidP="0026022A">
      <w:pPr>
        <w:spacing w:after="240"/>
      </w:pPr>
    </w:p>
    <w:p w14:paraId="5E8C6E1B" w14:textId="77777777" w:rsidR="00FA70F6" w:rsidRPr="0010281C" w:rsidRDefault="00FA70F6" w:rsidP="00AB16F1">
      <w:pPr>
        <w:pStyle w:val="QAIHeading2"/>
      </w:pPr>
      <w:bookmarkStart w:id="5" w:name="_Toc130476834"/>
      <w:r w:rsidRPr="0010281C">
        <w:lastRenderedPageBreak/>
        <w:t>Conclusion</w:t>
      </w:r>
      <w:bookmarkEnd w:id="5"/>
    </w:p>
    <w:p w14:paraId="7E07F01E" w14:textId="0E8B3266" w:rsidR="005115BF" w:rsidRPr="0010281C" w:rsidRDefault="005115BF" w:rsidP="005115BF">
      <w:pPr>
        <w:spacing w:after="240"/>
      </w:pPr>
      <w:r>
        <w:t>Regardless of the authorisation model, inadequate funding for positive</w:t>
      </w:r>
      <w:r>
        <w:rPr>
          <w:spacing w:val="1"/>
        </w:rPr>
        <w:t xml:space="preserve"> </w:t>
      </w:r>
      <w:r>
        <w:t xml:space="preserve">behaviour support plans and insufficient oversight </w:t>
      </w:r>
      <w:r w:rsidR="00FF7C57">
        <w:t>will</w:t>
      </w:r>
      <w:r>
        <w:t xml:space="preserve"> continue</w:t>
      </w:r>
      <w:r>
        <w:rPr>
          <w:spacing w:val="1"/>
        </w:rPr>
        <w:t xml:space="preserve"> </w:t>
      </w:r>
      <w:r>
        <w:t xml:space="preserve">to constitute significant barriers for Queenslanders with disability seeking to uphold their human rights. </w:t>
      </w:r>
    </w:p>
    <w:p w14:paraId="4C68EED4" w14:textId="03CEBB60" w:rsidR="00FA70F6" w:rsidRPr="0010281C" w:rsidRDefault="00FA70F6" w:rsidP="0026022A">
      <w:pPr>
        <w:spacing w:before="240" w:after="240"/>
      </w:pPr>
      <w:r w:rsidRPr="0010281C">
        <w:t>QAI thanks</w:t>
      </w:r>
      <w:r w:rsidR="00F428C1">
        <w:t xml:space="preserve"> the Community </w:t>
      </w:r>
      <w:r w:rsidR="00C120B8">
        <w:t>Support and Services Committee</w:t>
      </w:r>
      <w:r w:rsidRPr="0010281C">
        <w:t xml:space="preserve"> for the opportunity to contribute to this inquiry.  We are happy to provide further information or clarification of any of the matters raised in this submission upon request.</w:t>
      </w:r>
    </w:p>
    <w:p w14:paraId="3D200A38" w14:textId="77777777" w:rsidR="00FA70F6" w:rsidRPr="0010281C" w:rsidRDefault="00FA70F6" w:rsidP="0026022A">
      <w:pPr>
        <w:spacing w:after="240"/>
        <w:rPr>
          <w:b/>
          <w:bCs/>
        </w:rPr>
      </w:pPr>
    </w:p>
    <w:p w14:paraId="3463DE6E" w14:textId="77777777" w:rsidR="00FA70F6" w:rsidRPr="0010281C" w:rsidRDefault="00FA70F6" w:rsidP="0026022A">
      <w:pPr>
        <w:spacing w:after="240"/>
        <w:rPr>
          <w:b/>
          <w:bCs/>
        </w:rPr>
      </w:pPr>
    </w:p>
    <w:p w14:paraId="4B3741E2" w14:textId="77777777" w:rsidR="00FA70F6" w:rsidRPr="0010281C" w:rsidRDefault="00FA70F6" w:rsidP="0001445D">
      <w:pPr>
        <w:rPr>
          <w:b/>
          <w:bCs/>
        </w:rPr>
      </w:pPr>
    </w:p>
    <w:p w14:paraId="6601660A" w14:textId="6B245B2E" w:rsidR="000348E5" w:rsidRPr="0010281C" w:rsidRDefault="000348E5" w:rsidP="0001445D"/>
    <w:sectPr w:rsidR="000348E5" w:rsidRPr="0010281C" w:rsidSect="0002515A">
      <w:footerReference w:type="default" r:id="rId12"/>
      <w:headerReference w:type="first" r:id="rId13"/>
      <w:footerReference w:type="first" r:id="rId14"/>
      <w:pgSz w:w="11900" w:h="16840"/>
      <w:pgMar w:top="1440" w:right="1268" w:bottom="1440" w:left="1276"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C449E" w14:textId="77777777" w:rsidR="003C1E55" w:rsidRDefault="003C1E55" w:rsidP="00781D4C">
      <w:r>
        <w:separator/>
      </w:r>
    </w:p>
  </w:endnote>
  <w:endnote w:type="continuationSeparator" w:id="0">
    <w:p w14:paraId="17C42290" w14:textId="77777777" w:rsidR="003C1E55" w:rsidRDefault="003C1E55" w:rsidP="00781D4C">
      <w:r>
        <w:continuationSeparator/>
      </w:r>
    </w:p>
  </w:endnote>
  <w:endnote w:type="continuationNotice" w:id="1">
    <w:p w14:paraId="64411186" w14:textId="77777777" w:rsidR="003C1E55" w:rsidRDefault="003C1E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Roboto Black">
    <w:charset w:val="00"/>
    <w:family w:val="auto"/>
    <w:pitch w:val="variable"/>
    <w:sig w:usb0="E0000AFF" w:usb1="5000217F" w:usb2="00000021" w:usb3="00000000" w:csb0="0000019F" w:csb1="00000000"/>
  </w:font>
  <w:font w:name="Nunito Sans Light">
    <w:charset w:val="00"/>
    <w:family w:val="auto"/>
    <w:pitch w:val="variable"/>
    <w:sig w:usb0="A00002FF" w:usb1="5000204B" w:usb2="00000000" w:usb3="00000000" w:csb0="00000197" w:csb1="00000000"/>
  </w:font>
  <w:font w:name="Roboto Medium">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962774"/>
      <w:docPartObj>
        <w:docPartGallery w:val="Page Numbers (Bottom of Page)"/>
        <w:docPartUnique/>
      </w:docPartObj>
    </w:sdtPr>
    <w:sdtEndPr>
      <w:rPr>
        <w:noProof/>
      </w:rPr>
    </w:sdtEndPr>
    <w:sdtContent>
      <w:p w14:paraId="132DFCF0" w14:textId="3CBAEFAF" w:rsidR="00EB0643" w:rsidRDefault="00EB06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A32E24" w14:textId="77777777" w:rsidR="00EB0643" w:rsidRDefault="00EB0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DCF7" w14:textId="3DDD4395" w:rsidR="00F62FBF" w:rsidRDefault="00EE6F4C">
    <w:pPr>
      <w:pStyle w:val="Footer"/>
    </w:pPr>
    <w:r>
      <w:rPr>
        <w:noProof/>
      </w:rPr>
      <w:drawing>
        <wp:anchor distT="0" distB="0" distL="114300" distR="114300" simplePos="0" relativeHeight="251658240" behindDoc="1" locked="0" layoutInCell="1" allowOverlap="0" wp14:anchorId="3DE2DC4F" wp14:editId="2344D344">
          <wp:simplePos x="0" y="0"/>
          <wp:positionH relativeFrom="page">
            <wp:align>left</wp:align>
          </wp:positionH>
          <wp:positionV relativeFrom="page">
            <wp:align>bottom</wp:align>
          </wp:positionV>
          <wp:extent cx="7560000" cy="903600"/>
          <wp:effectExtent l="0" t="0" r="0" b="0"/>
          <wp:wrapNone/>
          <wp:docPr id="21021070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44233" name="Picture 1429844233"/>
                  <pic:cNvPicPr/>
                </pic:nvPicPr>
                <pic:blipFill>
                  <a:blip r:embed="rId1"/>
                  <a:stretch>
                    <a:fillRect/>
                  </a:stretch>
                </pic:blipFill>
                <pic:spPr>
                  <a:xfrm>
                    <a:off x="0" y="0"/>
                    <a:ext cx="7560000" cy="90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49B32" w14:textId="77777777" w:rsidR="003C1E55" w:rsidRDefault="003C1E55" w:rsidP="00781D4C">
      <w:r>
        <w:separator/>
      </w:r>
    </w:p>
  </w:footnote>
  <w:footnote w:type="continuationSeparator" w:id="0">
    <w:p w14:paraId="49BA5757" w14:textId="77777777" w:rsidR="003C1E55" w:rsidRDefault="003C1E55" w:rsidP="00781D4C">
      <w:r>
        <w:continuationSeparator/>
      </w:r>
    </w:p>
  </w:footnote>
  <w:footnote w:type="continuationNotice" w:id="1">
    <w:p w14:paraId="28E916C9" w14:textId="77777777" w:rsidR="003C1E55" w:rsidRDefault="003C1E55">
      <w:pPr>
        <w:spacing w:line="240" w:lineRule="auto"/>
      </w:pPr>
    </w:p>
  </w:footnote>
  <w:footnote w:id="2">
    <w:p w14:paraId="4244B8E7" w14:textId="43B7554C" w:rsidR="00283EBE" w:rsidRDefault="00283EBE">
      <w:pPr>
        <w:pStyle w:val="FootnoteText"/>
      </w:pPr>
      <w:r>
        <w:rPr>
          <w:rStyle w:val="FootnoteReference"/>
        </w:rPr>
        <w:footnoteRef/>
      </w:r>
      <w:r>
        <w:t xml:space="preserve"> </w:t>
      </w:r>
      <w:r w:rsidR="00081EC8">
        <w:t>Hon C Mullen</w:t>
      </w:r>
      <w:r w:rsidR="00A21CBE">
        <w:t>, Explanatory Speech</w:t>
      </w:r>
      <w:r w:rsidR="00D91725">
        <w:t>, 14 June</w:t>
      </w:r>
    </w:p>
  </w:footnote>
  <w:footnote w:id="3">
    <w:p w14:paraId="54DB5F51" w14:textId="7E566467" w:rsidR="00544E17" w:rsidRPr="00BC4483" w:rsidRDefault="00544E17">
      <w:pPr>
        <w:pStyle w:val="FootnoteText"/>
      </w:pPr>
      <w:r w:rsidRPr="00BC4483">
        <w:rPr>
          <w:rStyle w:val="FootnoteReference"/>
        </w:rPr>
        <w:footnoteRef/>
      </w:r>
      <w:r w:rsidRPr="00BC4483">
        <w:t xml:space="preserve"> Se</w:t>
      </w:r>
      <w:r w:rsidR="00BC4483" w:rsidRPr="00BC4483">
        <w:t xml:space="preserve">e for example, </w:t>
      </w:r>
      <w:hyperlink r:id="rId1" w:history="1">
        <w:r w:rsidR="00BC4483" w:rsidRPr="00324EE3">
          <w:rPr>
            <w:rStyle w:val="Hyperlink"/>
          </w:rPr>
          <w:t>analysis by DANA</w:t>
        </w:r>
      </w:hyperlink>
      <w:r w:rsidR="00BC4483" w:rsidRPr="00BC4483">
        <w:t xml:space="preserve"> which said “</w:t>
      </w:r>
      <w:r w:rsidR="00BC4483" w:rsidRPr="00BC4483">
        <w:rPr>
          <w:rFonts w:cs="Helvetica"/>
          <w:color w:val="000000"/>
          <w:shd w:val="clear" w:color="auto" w:fill="FFFFFF"/>
        </w:rPr>
        <w:t>Crucially, none of the recommendations call for the elimination of restrictive practices, nor outline a path to ending them”</w:t>
      </w:r>
    </w:p>
  </w:footnote>
  <w:footnote w:id="4">
    <w:p w14:paraId="0779CAF8" w14:textId="13D1CE5F" w:rsidR="0011791E" w:rsidRPr="00643F25" w:rsidRDefault="00244E4E">
      <w:pPr>
        <w:pStyle w:val="FootnoteText"/>
        <w:rPr>
          <w:rFonts w:cs="Calibri"/>
          <w:lang w:val="en-AU"/>
        </w:rPr>
      </w:pPr>
      <w:r w:rsidRPr="00244E4E">
        <w:rPr>
          <w:rStyle w:val="FootnoteReference"/>
        </w:rPr>
        <w:footnoteRef/>
      </w:r>
      <w:r w:rsidRPr="00244E4E">
        <w:t xml:space="preserve"> </w:t>
      </w:r>
      <w:r w:rsidRPr="00244E4E">
        <w:rPr>
          <w:rFonts w:cs="Calibri"/>
          <w:lang w:val="en-AU"/>
        </w:rPr>
        <w:t xml:space="preserve">Inquiry into the provision and regulation of supported accommodation in Queensland, page </w:t>
      </w:r>
      <w:r w:rsidR="008217EF">
        <w:rPr>
          <w:rFonts w:cs="Calibri"/>
          <w:lang w:val="en-AU"/>
        </w:rPr>
        <w:t>60</w:t>
      </w:r>
    </w:p>
  </w:footnote>
  <w:footnote w:id="5">
    <w:p w14:paraId="72A73208" w14:textId="482ECCCB" w:rsidR="00643F25" w:rsidRDefault="00643F25">
      <w:pPr>
        <w:pStyle w:val="FootnoteText"/>
      </w:pPr>
      <w:r>
        <w:rPr>
          <w:rStyle w:val="FootnoteReference"/>
        </w:rPr>
        <w:footnoteRef/>
      </w:r>
      <w:r>
        <w:t xml:space="preserve"> </w:t>
      </w:r>
      <w:r w:rsidRPr="00643F25">
        <w:t xml:space="preserve">Public Advocate (Qld), </w:t>
      </w:r>
      <w:r w:rsidRPr="00643F25">
        <w:rPr>
          <w:i/>
          <w:iCs/>
        </w:rPr>
        <w:t>'Safe, secure and affordable'? The need for an inquiry into supported accommodation in Queensland</w:t>
      </w:r>
      <w:r w:rsidRPr="00643F25">
        <w:t>, August 2023</w:t>
      </w:r>
      <w:r>
        <w:t>, page 46</w:t>
      </w:r>
    </w:p>
  </w:footnote>
  <w:footnote w:id="6">
    <w:p w14:paraId="7F97A435" w14:textId="4BE5BF83" w:rsidR="00730599" w:rsidRDefault="00730599">
      <w:pPr>
        <w:pStyle w:val="FootnoteText"/>
      </w:pPr>
      <w:r>
        <w:rPr>
          <w:rStyle w:val="FootnoteReference"/>
        </w:rPr>
        <w:footnoteRef/>
      </w:r>
      <w:r>
        <w:t xml:space="preserve"> </w:t>
      </w:r>
      <w:r w:rsidRPr="00244E4E">
        <w:rPr>
          <w:rFonts w:cs="Calibri"/>
          <w:lang w:val="en-AU"/>
        </w:rPr>
        <w:t xml:space="preserve">Inquiry into the provision and regulation of supported accommodation in Queensland, page </w:t>
      </w:r>
      <w:r w:rsidR="008217EF">
        <w:rPr>
          <w:rFonts w:cs="Calibri"/>
          <w:lang w:val="en-AU"/>
        </w:rPr>
        <w:t>62</w:t>
      </w:r>
    </w:p>
  </w:footnote>
  <w:footnote w:id="7">
    <w:p w14:paraId="4B3925DE" w14:textId="77777777" w:rsidR="00F84E97" w:rsidRDefault="00F84E97" w:rsidP="00F84E97">
      <w:pPr>
        <w:pStyle w:val="FootnoteText"/>
      </w:pPr>
      <w:r>
        <w:rPr>
          <w:rStyle w:val="FootnoteReference"/>
        </w:rPr>
        <w:footnoteRef/>
      </w:r>
      <w:r>
        <w:t xml:space="preserve"> Royal Commission into Violence, Abuse, Neglect and Exploitation of People with Disability,</w:t>
      </w:r>
    </w:p>
    <w:p w14:paraId="7F082458" w14:textId="61B56FE9" w:rsidR="00F84E97" w:rsidRDefault="00F84E97" w:rsidP="00F84E97">
      <w:pPr>
        <w:pStyle w:val="FootnoteText"/>
      </w:pPr>
      <w:r>
        <w:t>Final report, Volume 6, Enabling autonomy and access, September 2023, pp 5</w:t>
      </w:r>
      <w:r w:rsidR="0012155E">
        <w:t>06</w:t>
      </w:r>
    </w:p>
  </w:footnote>
  <w:footnote w:id="8">
    <w:p w14:paraId="0C2039FB" w14:textId="168801F7" w:rsidR="003B7FCF" w:rsidRDefault="003B7FCF">
      <w:pPr>
        <w:pStyle w:val="FootnoteText"/>
      </w:pPr>
      <w:r>
        <w:rPr>
          <w:rStyle w:val="FootnoteReference"/>
        </w:rPr>
        <w:footnoteRef/>
      </w:r>
      <w:r>
        <w:t xml:space="preserve"> </w:t>
      </w:r>
      <w:r w:rsidR="008F215C">
        <w:t>Clause 183(2) of the Bill</w:t>
      </w:r>
    </w:p>
  </w:footnote>
  <w:footnote w:id="9">
    <w:p w14:paraId="7D3D842C" w14:textId="7AB8242F" w:rsidR="00A609B1" w:rsidRDefault="00A609B1">
      <w:pPr>
        <w:pStyle w:val="FootnoteText"/>
      </w:pPr>
      <w:r>
        <w:rPr>
          <w:rStyle w:val="FootnoteReference"/>
        </w:rPr>
        <w:footnoteRef/>
      </w:r>
      <w:r>
        <w:t xml:space="preserve"> Explanatory Memorandum, page 5</w:t>
      </w:r>
    </w:p>
  </w:footnote>
  <w:footnote w:id="10">
    <w:p w14:paraId="40860B19" w14:textId="3B3BE7FD" w:rsidR="004E5B98" w:rsidRDefault="004E5B98">
      <w:pPr>
        <w:pStyle w:val="FootnoteText"/>
      </w:pPr>
      <w:r>
        <w:rPr>
          <w:rStyle w:val="FootnoteReference"/>
        </w:rPr>
        <w:footnoteRef/>
      </w:r>
      <w:r>
        <w:t xml:space="preserve"> Article 3 of the Convention on the Rights of Persons with Disabilities (CRPD)</w:t>
      </w:r>
    </w:p>
  </w:footnote>
  <w:footnote w:id="11">
    <w:p w14:paraId="379DE10F" w14:textId="5C646051" w:rsidR="006A6FD4" w:rsidRDefault="006A6FD4">
      <w:pPr>
        <w:pStyle w:val="FootnoteText"/>
      </w:pPr>
      <w:r>
        <w:rPr>
          <w:rStyle w:val="FootnoteReference"/>
        </w:rPr>
        <w:footnoteRef/>
      </w:r>
      <w:r>
        <w:t xml:space="preserve"> </w:t>
      </w:r>
      <w:r w:rsidRPr="006A6FD4">
        <w:t>https://www.qhrc.qld.gov.au/your-rights/human-rights-law/right-to-protection-from-torture-and-cruel,-inhuman-or-degrading-treatment</w:t>
      </w:r>
    </w:p>
  </w:footnote>
  <w:footnote w:id="12">
    <w:p w14:paraId="56C85D6B" w14:textId="00268250" w:rsidR="00FD7D7E" w:rsidRDefault="00FD7D7E">
      <w:pPr>
        <w:pStyle w:val="FootnoteText"/>
      </w:pPr>
      <w:r>
        <w:rPr>
          <w:rStyle w:val="FootnoteReference"/>
        </w:rPr>
        <w:footnoteRef/>
      </w:r>
      <w:r>
        <w:t xml:space="preserve"> Hon C Mullen, Explanatory Speech, 14 June, page 2371</w:t>
      </w:r>
    </w:p>
  </w:footnote>
  <w:footnote w:id="13">
    <w:p w14:paraId="31A64AFD" w14:textId="4EA0B136" w:rsidR="00A13D7F" w:rsidRDefault="00A13D7F">
      <w:pPr>
        <w:pStyle w:val="FootnoteText"/>
      </w:pPr>
      <w:r>
        <w:rPr>
          <w:rStyle w:val="FootnoteReference"/>
        </w:rPr>
        <w:footnoteRef/>
      </w:r>
      <w:r>
        <w:t xml:space="preserve"> See sections</w:t>
      </w:r>
      <w:r w:rsidR="00C3071C">
        <w:t xml:space="preserve"> 145(1)(c), 146(2)(b) and</w:t>
      </w:r>
      <w:r w:rsidR="00AB5D11">
        <w:t xml:space="preserve"> 158(f)(i)</w:t>
      </w:r>
    </w:p>
  </w:footnote>
  <w:footnote w:id="14">
    <w:p w14:paraId="641BB343" w14:textId="77777777" w:rsidR="00695847" w:rsidRDefault="00695847" w:rsidP="00695847">
      <w:pPr>
        <w:pStyle w:val="FootnoteText"/>
      </w:pPr>
      <w:r>
        <w:rPr>
          <w:rStyle w:val="FootnoteReference"/>
        </w:rPr>
        <w:footnoteRef/>
      </w:r>
      <w:r>
        <w:t xml:space="preserve"> Royal Commission into Violence, Abuse, Neglect and Exploitation of People with Disability,</w:t>
      </w:r>
    </w:p>
    <w:p w14:paraId="5E4A9DFD" w14:textId="174BAA17" w:rsidR="00695847" w:rsidRDefault="00695847" w:rsidP="00695847">
      <w:pPr>
        <w:pStyle w:val="FootnoteText"/>
      </w:pPr>
      <w:r>
        <w:t>Final report, Volume 6, Enabling autonomy and access, September 2023, pp 514</w:t>
      </w:r>
    </w:p>
  </w:footnote>
  <w:footnote w:id="15">
    <w:p w14:paraId="24A68985" w14:textId="18DA6F5B" w:rsidR="00113F12" w:rsidRDefault="00113F12">
      <w:pPr>
        <w:pStyle w:val="FootnoteText"/>
      </w:pPr>
      <w:r>
        <w:rPr>
          <w:rStyle w:val="FootnoteReference"/>
        </w:rPr>
        <w:footnoteRef/>
      </w:r>
      <w:r>
        <w:t xml:space="preserve"> As recommended by Griffith University (2020) </w:t>
      </w:r>
      <w:r>
        <w:rPr>
          <w:i/>
        </w:rPr>
        <w:t>Final Report: Independent review of Queensland’s regulatory framework for positive</w:t>
      </w:r>
      <w:r>
        <w:rPr>
          <w:i/>
          <w:spacing w:val="1"/>
        </w:rPr>
        <w:t xml:space="preserve"> </w:t>
      </w:r>
      <w:r>
        <w:rPr>
          <w:i/>
        </w:rPr>
        <w:t>behaviour support and restrictive practices</w:t>
      </w:r>
      <w:r>
        <w:t>;</w:t>
      </w:r>
      <w:r>
        <w:rPr>
          <w:spacing w:val="1"/>
        </w:rPr>
        <w:t xml:space="preserve"> </w:t>
      </w:r>
      <w:r>
        <w:rPr>
          <w:spacing w:val="-1"/>
        </w:rPr>
        <w:t>https://qchub.dsdsatsip.qld.gov.au/app/webroot/js/admin_js/kcfinder/upload/queenslandcommunities/files/PBSRP_In</w:t>
      </w:r>
      <w:r>
        <w:t xml:space="preserve"> dependentReview.pdf;</w:t>
      </w:r>
      <w:r>
        <w:rPr>
          <w:spacing w:val="-2"/>
        </w:rPr>
        <w:t xml:space="preserve"> </w:t>
      </w:r>
      <w:r>
        <w:t>page</w:t>
      </w:r>
      <w:r>
        <w:rPr>
          <w:spacing w:val="-1"/>
        </w:rPr>
        <w:t xml:space="preserve"> </w:t>
      </w:r>
      <w:r>
        <w:t>8</w:t>
      </w:r>
    </w:p>
  </w:footnote>
  <w:footnote w:id="16">
    <w:p w14:paraId="19F61292" w14:textId="3D3ECCA7" w:rsidR="00FE7C23" w:rsidRDefault="00FE7C23" w:rsidP="003A7813">
      <w:pPr>
        <w:spacing w:line="240" w:lineRule="auto"/>
        <w:ind w:right="717"/>
      </w:pPr>
      <w:r>
        <w:rPr>
          <w:rStyle w:val="FootnoteReference"/>
        </w:rPr>
        <w:footnoteRef/>
      </w:r>
      <w:r>
        <w:t xml:space="preserve"> </w:t>
      </w:r>
      <w:r>
        <w:rPr>
          <w:sz w:val="20"/>
        </w:rPr>
        <w:t>Active</w:t>
      </w:r>
      <w:r>
        <w:rPr>
          <w:spacing w:val="24"/>
          <w:sz w:val="20"/>
        </w:rPr>
        <w:t xml:space="preserve"> </w:t>
      </w:r>
      <w:r>
        <w:rPr>
          <w:sz w:val="20"/>
        </w:rPr>
        <w:t>Social</w:t>
      </w:r>
      <w:r>
        <w:rPr>
          <w:spacing w:val="28"/>
          <w:sz w:val="20"/>
        </w:rPr>
        <w:t xml:space="preserve"> </w:t>
      </w:r>
      <w:r>
        <w:rPr>
          <w:sz w:val="20"/>
        </w:rPr>
        <w:t>Care</w:t>
      </w:r>
      <w:r>
        <w:rPr>
          <w:spacing w:val="24"/>
          <w:sz w:val="20"/>
        </w:rPr>
        <w:t xml:space="preserve"> </w:t>
      </w:r>
      <w:r>
        <w:rPr>
          <w:sz w:val="20"/>
        </w:rPr>
        <w:t>Limited,</w:t>
      </w:r>
      <w:r>
        <w:rPr>
          <w:spacing w:val="30"/>
          <w:sz w:val="20"/>
        </w:rPr>
        <w:t xml:space="preserve"> </w:t>
      </w:r>
      <w:r>
        <w:rPr>
          <w:i/>
          <w:sz w:val="20"/>
        </w:rPr>
        <w:t>Restrictive</w:t>
      </w:r>
      <w:r>
        <w:rPr>
          <w:i/>
          <w:spacing w:val="26"/>
          <w:sz w:val="20"/>
        </w:rPr>
        <w:t xml:space="preserve"> </w:t>
      </w:r>
      <w:r>
        <w:rPr>
          <w:i/>
          <w:sz w:val="20"/>
        </w:rPr>
        <w:t>Practices</w:t>
      </w:r>
      <w:r>
        <w:rPr>
          <w:i/>
          <w:spacing w:val="27"/>
          <w:sz w:val="20"/>
        </w:rPr>
        <w:t xml:space="preserve"> </w:t>
      </w:r>
      <w:r>
        <w:rPr>
          <w:sz w:val="20"/>
        </w:rPr>
        <w:t>(ND)</w:t>
      </w:r>
      <w:r>
        <w:rPr>
          <w:spacing w:val="25"/>
          <w:sz w:val="20"/>
        </w:rPr>
        <w:t xml:space="preserve"> </w:t>
      </w:r>
      <w:r>
        <w:rPr>
          <w:sz w:val="20"/>
        </w:rPr>
        <w:t>https://activesocialcare.com/handbook/safeguarding-</w:t>
      </w:r>
      <w:r>
        <w:rPr>
          <w:spacing w:val="-43"/>
          <w:sz w:val="20"/>
        </w:rPr>
        <w:t xml:space="preserve"> </w:t>
      </w:r>
      <w:r>
        <w:rPr>
          <w:sz w:val="20"/>
        </w:rPr>
        <w:t>adults/</w:t>
      </w:r>
      <w:r>
        <w:rPr>
          <w:sz w:val="20"/>
        </w:rPr>
        <w:t>restrictive-practices</w:t>
      </w:r>
    </w:p>
  </w:footnote>
  <w:footnote w:id="17">
    <w:p w14:paraId="759CD526" w14:textId="77777777" w:rsidR="003A7813" w:rsidRPr="003A7813" w:rsidRDefault="003A7813" w:rsidP="003A7813">
      <w:pPr>
        <w:pStyle w:val="FootnoteText"/>
        <w:rPr>
          <w:i/>
          <w:lang w:val="en-AU"/>
        </w:rPr>
      </w:pPr>
      <w:r>
        <w:rPr>
          <w:rStyle w:val="FootnoteReference"/>
        </w:rPr>
        <w:footnoteRef/>
      </w:r>
      <w:r>
        <w:t xml:space="preserve"> </w:t>
      </w:r>
      <w:r w:rsidRPr="003A7813">
        <w:rPr>
          <w:lang w:val="en-AU"/>
        </w:rPr>
        <w:t xml:space="preserve">Adelaide Night and Day Family Therapy, </w:t>
      </w:r>
      <w:r w:rsidRPr="003A7813">
        <w:rPr>
          <w:i/>
          <w:lang w:val="en-AU"/>
        </w:rPr>
        <w:t>Tied Up in Knots: Systemics, Occupational Therapy and Restrictive Practices</w:t>
      </w:r>
    </w:p>
    <w:p w14:paraId="4986DFCD" w14:textId="4A0A2923" w:rsidR="003A7813" w:rsidRPr="00292FFA" w:rsidRDefault="003A7813">
      <w:pPr>
        <w:pStyle w:val="FootnoteText"/>
        <w:rPr>
          <w:lang w:val="en-AU"/>
        </w:rPr>
      </w:pPr>
      <w:r w:rsidRPr="003A7813">
        <w:rPr>
          <w:lang w:val="en-AU"/>
        </w:rPr>
        <w:t>(April 2011)</w:t>
      </w:r>
    </w:p>
  </w:footnote>
  <w:footnote w:id="18">
    <w:p w14:paraId="0CC5C93F" w14:textId="6B20E134" w:rsidR="00292FFA" w:rsidRPr="00292FFA" w:rsidRDefault="00292FFA">
      <w:pPr>
        <w:pStyle w:val="FootnoteText"/>
        <w:rPr>
          <w:lang w:val="en-AU"/>
        </w:rPr>
      </w:pPr>
      <w:r>
        <w:rPr>
          <w:rStyle w:val="FootnoteReference"/>
        </w:rPr>
        <w:footnoteRef/>
      </w:r>
      <w:r>
        <w:t xml:space="preserve"> </w:t>
      </w:r>
      <w:r w:rsidRPr="00292FFA">
        <w:rPr>
          <w:lang w:val="en-AU"/>
        </w:rPr>
        <w:t xml:space="preserve">McVilly, K (2009) </w:t>
      </w:r>
      <w:r w:rsidRPr="00292FFA">
        <w:rPr>
          <w:i/>
          <w:lang w:val="en-AU"/>
        </w:rPr>
        <w:t>Physical Restraint in Disability Services: Current Practices, Contemporary Concerns and Future Directions</w:t>
      </w:r>
      <w:r w:rsidRPr="00292FFA">
        <w:rPr>
          <w:lang w:val="en-AU"/>
        </w:rPr>
        <w:t>. Melbourne, Victoria: The Office of the Senior Practitioner, Department of Human Services.</w:t>
      </w:r>
    </w:p>
  </w:footnote>
  <w:footnote w:id="19">
    <w:p w14:paraId="1206004B" w14:textId="77777777" w:rsidR="00636BB4" w:rsidRPr="00636BB4" w:rsidRDefault="00636BB4" w:rsidP="00636BB4">
      <w:pPr>
        <w:pStyle w:val="FootnoteText"/>
        <w:rPr>
          <w:lang w:val="en-AU"/>
        </w:rPr>
      </w:pPr>
      <w:r>
        <w:rPr>
          <w:rStyle w:val="FootnoteReference"/>
        </w:rPr>
        <w:footnoteRef/>
      </w:r>
      <w:r>
        <w:t xml:space="preserve"> </w:t>
      </w:r>
      <w:r w:rsidRPr="00636BB4">
        <w:rPr>
          <w:lang w:val="en-AU"/>
        </w:rPr>
        <w:t xml:space="preserve">KARE Policy, </w:t>
      </w:r>
      <w:r w:rsidRPr="00636BB4">
        <w:rPr>
          <w:i/>
          <w:lang w:val="en-AU"/>
        </w:rPr>
        <w:t xml:space="preserve">Restraint/Restrictive Practices Policy </w:t>
      </w:r>
      <w:r w:rsidRPr="00636BB4">
        <w:rPr>
          <w:lang w:val="en-AU"/>
        </w:rPr>
        <w:t xml:space="preserve">(May 2018) </w:t>
      </w:r>
      <w:hyperlink r:id="rId2">
        <w:r w:rsidRPr="00636BB4">
          <w:rPr>
            <w:rStyle w:val="Hyperlink"/>
            <w:lang w:val="en-AU"/>
          </w:rPr>
          <w:t>http://www.fedvol.ie/_fileupload/Quality%20&amp;%20Standards/Additional%20Policies%202018/KARE/Restraint%20Restr</w:t>
        </w:r>
      </w:hyperlink>
      <w:r w:rsidRPr="00636BB4">
        <w:rPr>
          <w:lang w:val="en-AU"/>
        </w:rPr>
        <w:t xml:space="preserve"> ictive%20Practices%2</w:t>
      </w:r>
    </w:p>
    <w:p w14:paraId="64582609" w14:textId="5B97E777" w:rsidR="00636BB4" w:rsidRPr="00636BB4" w:rsidRDefault="00636BB4">
      <w:pPr>
        <w:pStyle w:val="FootnoteText"/>
        <w:rPr>
          <w:lang w:val="en-AU"/>
        </w:rPr>
      </w:pPr>
      <w:r w:rsidRPr="00636BB4">
        <w:rPr>
          <w:lang w:val="en-AU"/>
        </w:rPr>
        <w:t>0Policy.pdf</w:t>
      </w:r>
    </w:p>
  </w:footnote>
  <w:footnote w:id="20">
    <w:p w14:paraId="18A6DE39" w14:textId="474A9401" w:rsidR="00064B29" w:rsidRDefault="00064B29">
      <w:pPr>
        <w:pStyle w:val="FootnoteText"/>
      </w:pPr>
      <w:r>
        <w:rPr>
          <w:rStyle w:val="FootnoteReference"/>
        </w:rPr>
        <w:footnoteRef/>
      </w:r>
      <w:r>
        <w:t xml:space="preserve"> </w:t>
      </w:r>
      <w:r w:rsidR="00147A2C">
        <w:t>Explanatory Memorandum, page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7CF5" w14:textId="47C68817" w:rsidR="00A319AC" w:rsidRPr="00A413FD" w:rsidRDefault="00676BE1" w:rsidP="00885CEB">
    <w:pPr>
      <w:pStyle w:val="Header"/>
      <w:tabs>
        <w:tab w:val="clear" w:pos="4320"/>
        <w:tab w:val="clear" w:pos="8640"/>
        <w:tab w:val="left" w:pos="2090"/>
      </w:tabs>
      <w:rPr>
        <w:rFonts w:ascii="Roboto Medium" w:hAnsi="Roboto Medium"/>
      </w:rPr>
    </w:pPr>
    <w:r w:rsidRPr="00D30A03">
      <w:rPr>
        <w:rFonts w:ascii="Roboto Medium" w:hAnsi="Roboto Medium"/>
        <w:noProof/>
        <w:color w:val="000000"/>
      </w:rPr>
      <w:drawing>
        <wp:anchor distT="0" distB="0" distL="114300" distR="114300" simplePos="0" relativeHeight="251658241" behindDoc="1" locked="0" layoutInCell="1" allowOverlap="1" wp14:anchorId="29D774D5" wp14:editId="0F802484">
          <wp:simplePos x="0" y="0"/>
          <wp:positionH relativeFrom="column">
            <wp:posOffset>-302260</wp:posOffset>
          </wp:positionH>
          <wp:positionV relativeFrom="paragraph">
            <wp:posOffset>-438888</wp:posOffset>
          </wp:positionV>
          <wp:extent cx="2343150" cy="2286300"/>
          <wp:effectExtent l="0" t="0" r="0" b="0"/>
          <wp:wrapNone/>
          <wp:docPr id="1362901786"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455941" name="Picture 2" descr="A logo with a black background&#10;&#10;Description automatically generated"/>
                  <pic:cNvPicPr/>
                </pic:nvPicPr>
                <pic:blipFill>
                  <a:blip r:embed="rId1"/>
                  <a:stretch>
                    <a:fillRect/>
                  </a:stretch>
                </pic:blipFill>
                <pic:spPr>
                  <a:xfrm>
                    <a:off x="0" y="0"/>
                    <a:ext cx="2343150" cy="2286300"/>
                  </a:xfrm>
                  <a:prstGeom prst="rect">
                    <a:avLst/>
                  </a:prstGeom>
                </pic:spPr>
              </pic:pic>
            </a:graphicData>
          </a:graphic>
          <wp14:sizeRelH relativeFrom="page">
            <wp14:pctWidth>0</wp14:pctWidth>
          </wp14:sizeRelH>
          <wp14:sizeRelV relativeFrom="page">
            <wp14:pctHeight>0</wp14:pctHeight>
          </wp14:sizeRelV>
        </wp:anchor>
      </w:drawing>
    </w:r>
    <w:r w:rsidR="00A319AC" w:rsidRPr="00D30A03">
      <w:rPr>
        <w:rFonts w:ascii="Roboto Medium" w:hAnsi="Roboto Medium"/>
        <w:color w:val="000000"/>
      </w:rPr>
      <w:t>Submission</w:t>
    </w:r>
    <w:r w:rsidR="00A319AC" w:rsidRPr="00A413FD">
      <w:rPr>
        <w:rFonts w:ascii="Roboto Medium" w:hAnsi="Roboto Medium"/>
      </w:rPr>
      <w:t xml:space="preserve"> by</w:t>
    </w:r>
    <w:r w:rsidR="00885CEB">
      <w:rPr>
        <w:rFonts w:ascii="Roboto Medium" w:hAnsi="Roboto Medium"/>
      </w:rPr>
      <w:tab/>
    </w:r>
  </w:p>
  <w:p w14:paraId="655FD4A4" w14:textId="2CAB803C" w:rsidR="00A319AC" w:rsidRDefault="00A319AC" w:rsidP="00A319AC">
    <w:pPr>
      <w:pStyle w:val="Header"/>
      <w:tabs>
        <w:tab w:val="clear" w:pos="4320"/>
        <w:tab w:val="clear" w:pos="8640"/>
        <w:tab w:val="left" w:pos="19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2D56"/>
    <w:multiLevelType w:val="hybridMultilevel"/>
    <w:tmpl w:val="D35C0D4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7A0493"/>
    <w:multiLevelType w:val="hybridMultilevel"/>
    <w:tmpl w:val="35D6C8B6"/>
    <w:lvl w:ilvl="0" w:tplc="6742AED2">
      <w:start w:val="2"/>
      <w:numFmt w:val="bullet"/>
      <w:lvlText w:val="-"/>
      <w:lvlJc w:val="left"/>
      <w:pPr>
        <w:ind w:left="720" w:hanging="360"/>
      </w:pPr>
      <w:rPr>
        <w:rFonts w:ascii="Source Sans Pro" w:eastAsiaTheme="minorEastAsia" w:hAnsi="Source Sans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D864DC"/>
    <w:multiLevelType w:val="hybridMultilevel"/>
    <w:tmpl w:val="BCE2DF0A"/>
    <w:lvl w:ilvl="0" w:tplc="017E96C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513072"/>
    <w:multiLevelType w:val="hybridMultilevel"/>
    <w:tmpl w:val="9C0E492C"/>
    <w:lvl w:ilvl="0" w:tplc="69148436">
      <w:start w:val="1"/>
      <w:numFmt w:val="decimal"/>
      <w:lvlText w:val="%1."/>
      <w:lvlJc w:val="left"/>
      <w:pPr>
        <w:ind w:left="924" w:hanging="284"/>
      </w:pPr>
      <w:rPr>
        <w:rFonts w:ascii="Calibri" w:eastAsia="Calibri" w:hAnsi="Calibri" w:cs="Calibri" w:hint="default"/>
        <w:b w:val="0"/>
        <w:bCs w:val="0"/>
        <w:i w:val="0"/>
        <w:iCs w:val="0"/>
        <w:w w:val="100"/>
        <w:sz w:val="22"/>
        <w:szCs w:val="22"/>
        <w:lang w:val="en-AU" w:eastAsia="en-US" w:bidi="ar-SA"/>
      </w:rPr>
    </w:lvl>
    <w:lvl w:ilvl="1" w:tplc="979CE4D2">
      <w:numFmt w:val="bullet"/>
      <w:lvlText w:val="•"/>
      <w:lvlJc w:val="left"/>
      <w:pPr>
        <w:ind w:left="1909" w:hanging="284"/>
      </w:pPr>
      <w:rPr>
        <w:rFonts w:hint="default"/>
        <w:lang w:val="en-AU" w:eastAsia="en-US" w:bidi="ar-SA"/>
      </w:rPr>
    </w:lvl>
    <w:lvl w:ilvl="2" w:tplc="E6ACF224">
      <w:numFmt w:val="bullet"/>
      <w:lvlText w:val="•"/>
      <w:lvlJc w:val="left"/>
      <w:pPr>
        <w:ind w:left="2899" w:hanging="284"/>
      </w:pPr>
      <w:rPr>
        <w:rFonts w:hint="default"/>
        <w:lang w:val="en-AU" w:eastAsia="en-US" w:bidi="ar-SA"/>
      </w:rPr>
    </w:lvl>
    <w:lvl w:ilvl="3" w:tplc="D46CCA30">
      <w:numFmt w:val="bullet"/>
      <w:lvlText w:val="•"/>
      <w:lvlJc w:val="left"/>
      <w:pPr>
        <w:ind w:left="3889" w:hanging="284"/>
      </w:pPr>
      <w:rPr>
        <w:rFonts w:hint="default"/>
        <w:lang w:val="en-AU" w:eastAsia="en-US" w:bidi="ar-SA"/>
      </w:rPr>
    </w:lvl>
    <w:lvl w:ilvl="4" w:tplc="492EF278">
      <w:numFmt w:val="bullet"/>
      <w:lvlText w:val="•"/>
      <w:lvlJc w:val="left"/>
      <w:pPr>
        <w:ind w:left="4879" w:hanging="284"/>
      </w:pPr>
      <w:rPr>
        <w:rFonts w:hint="default"/>
        <w:lang w:val="en-AU" w:eastAsia="en-US" w:bidi="ar-SA"/>
      </w:rPr>
    </w:lvl>
    <w:lvl w:ilvl="5" w:tplc="93E66B36">
      <w:numFmt w:val="bullet"/>
      <w:lvlText w:val="•"/>
      <w:lvlJc w:val="left"/>
      <w:pPr>
        <w:ind w:left="5869" w:hanging="284"/>
      </w:pPr>
      <w:rPr>
        <w:rFonts w:hint="default"/>
        <w:lang w:val="en-AU" w:eastAsia="en-US" w:bidi="ar-SA"/>
      </w:rPr>
    </w:lvl>
    <w:lvl w:ilvl="6" w:tplc="9656DF0E">
      <w:numFmt w:val="bullet"/>
      <w:lvlText w:val="•"/>
      <w:lvlJc w:val="left"/>
      <w:pPr>
        <w:ind w:left="6859" w:hanging="284"/>
      </w:pPr>
      <w:rPr>
        <w:rFonts w:hint="default"/>
        <w:lang w:val="en-AU" w:eastAsia="en-US" w:bidi="ar-SA"/>
      </w:rPr>
    </w:lvl>
    <w:lvl w:ilvl="7" w:tplc="96C4590C">
      <w:numFmt w:val="bullet"/>
      <w:lvlText w:val="•"/>
      <w:lvlJc w:val="left"/>
      <w:pPr>
        <w:ind w:left="7849" w:hanging="284"/>
      </w:pPr>
      <w:rPr>
        <w:rFonts w:hint="default"/>
        <w:lang w:val="en-AU" w:eastAsia="en-US" w:bidi="ar-SA"/>
      </w:rPr>
    </w:lvl>
    <w:lvl w:ilvl="8" w:tplc="87F2D67A">
      <w:numFmt w:val="bullet"/>
      <w:lvlText w:val="•"/>
      <w:lvlJc w:val="left"/>
      <w:pPr>
        <w:ind w:left="8839" w:hanging="284"/>
      </w:pPr>
      <w:rPr>
        <w:rFonts w:hint="default"/>
        <w:lang w:val="en-AU" w:eastAsia="en-US" w:bidi="ar-SA"/>
      </w:rPr>
    </w:lvl>
  </w:abstractNum>
  <w:abstractNum w:abstractNumId="4" w15:restartNumberingAfterBreak="0">
    <w:nsid w:val="4A333B71"/>
    <w:multiLevelType w:val="hybridMultilevel"/>
    <w:tmpl w:val="5A3C2CAA"/>
    <w:lvl w:ilvl="0" w:tplc="E8A232AA">
      <w:start w:val="1"/>
      <w:numFmt w:val="decimal"/>
      <w:lvlText w:val="%1."/>
      <w:lvlJc w:val="left"/>
      <w:pPr>
        <w:ind w:left="638" w:hanging="279"/>
      </w:pPr>
      <w:rPr>
        <w:rFonts w:ascii="Calibri" w:eastAsia="Calibri" w:hAnsi="Calibri" w:cs="Calibri" w:hint="default"/>
        <w:b/>
        <w:bCs/>
        <w:i w:val="0"/>
        <w:iCs w:val="0"/>
        <w:color w:val="808080"/>
        <w:spacing w:val="-1"/>
        <w:w w:val="100"/>
        <w:sz w:val="28"/>
        <w:szCs w:val="28"/>
        <w:lang w:val="en-AU" w:eastAsia="en-US" w:bidi="ar-SA"/>
      </w:rPr>
    </w:lvl>
    <w:lvl w:ilvl="1" w:tplc="00646002">
      <w:numFmt w:val="bullet"/>
      <w:lvlText w:val=""/>
      <w:lvlJc w:val="left"/>
      <w:pPr>
        <w:ind w:left="1212" w:hanging="286"/>
      </w:pPr>
      <w:rPr>
        <w:rFonts w:ascii="Symbol" w:eastAsia="Symbol" w:hAnsi="Symbol" w:cs="Symbol" w:hint="default"/>
        <w:b w:val="0"/>
        <w:bCs w:val="0"/>
        <w:i w:val="0"/>
        <w:iCs w:val="0"/>
        <w:w w:val="100"/>
        <w:sz w:val="22"/>
        <w:szCs w:val="22"/>
        <w:lang w:val="en-AU" w:eastAsia="en-US" w:bidi="ar-SA"/>
      </w:rPr>
    </w:lvl>
    <w:lvl w:ilvl="2" w:tplc="878A5EE0">
      <w:numFmt w:val="bullet"/>
      <w:lvlText w:val="•"/>
      <w:lvlJc w:val="left"/>
      <w:pPr>
        <w:ind w:left="2286" w:hanging="286"/>
      </w:pPr>
      <w:rPr>
        <w:rFonts w:hint="default"/>
        <w:lang w:val="en-AU" w:eastAsia="en-US" w:bidi="ar-SA"/>
      </w:rPr>
    </w:lvl>
    <w:lvl w:ilvl="3" w:tplc="36CA3588">
      <w:numFmt w:val="bullet"/>
      <w:lvlText w:val="•"/>
      <w:lvlJc w:val="left"/>
      <w:pPr>
        <w:ind w:left="3353" w:hanging="286"/>
      </w:pPr>
      <w:rPr>
        <w:rFonts w:hint="default"/>
        <w:lang w:val="en-AU" w:eastAsia="en-US" w:bidi="ar-SA"/>
      </w:rPr>
    </w:lvl>
    <w:lvl w:ilvl="4" w:tplc="EB0E2110">
      <w:numFmt w:val="bullet"/>
      <w:lvlText w:val="•"/>
      <w:lvlJc w:val="left"/>
      <w:pPr>
        <w:ind w:left="4419" w:hanging="286"/>
      </w:pPr>
      <w:rPr>
        <w:rFonts w:hint="default"/>
        <w:lang w:val="en-AU" w:eastAsia="en-US" w:bidi="ar-SA"/>
      </w:rPr>
    </w:lvl>
    <w:lvl w:ilvl="5" w:tplc="AD4CE554">
      <w:numFmt w:val="bullet"/>
      <w:lvlText w:val="•"/>
      <w:lvlJc w:val="left"/>
      <w:pPr>
        <w:ind w:left="5486" w:hanging="286"/>
      </w:pPr>
      <w:rPr>
        <w:rFonts w:hint="default"/>
        <w:lang w:val="en-AU" w:eastAsia="en-US" w:bidi="ar-SA"/>
      </w:rPr>
    </w:lvl>
    <w:lvl w:ilvl="6" w:tplc="69FC7C72">
      <w:numFmt w:val="bullet"/>
      <w:lvlText w:val="•"/>
      <w:lvlJc w:val="left"/>
      <w:pPr>
        <w:ind w:left="6552" w:hanging="286"/>
      </w:pPr>
      <w:rPr>
        <w:rFonts w:hint="default"/>
        <w:lang w:val="en-AU" w:eastAsia="en-US" w:bidi="ar-SA"/>
      </w:rPr>
    </w:lvl>
    <w:lvl w:ilvl="7" w:tplc="C8701B9C">
      <w:numFmt w:val="bullet"/>
      <w:lvlText w:val="•"/>
      <w:lvlJc w:val="left"/>
      <w:pPr>
        <w:ind w:left="7619" w:hanging="286"/>
      </w:pPr>
      <w:rPr>
        <w:rFonts w:hint="default"/>
        <w:lang w:val="en-AU" w:eastAsia="en-US" w:bidi="ar-SA"/>
      </w:rPr>
    </w:lvl>
    <w:lvl w:ilvl="8" w:tplc="A4F49E86">
      <w:numFmt w:val="bullet"/>
      <w:lvlText w:val="•"/>
      <w:lvlJc w:val="left"/>
      <w:pPr>
        <w:ind w:left="8686" w:hanging="286"/>
      </w:pPr>
      <w:rPr>
        <w:rFonts w:hint="default"/>
        <w:lang w:val="en-AU" w:eastAsia="en-US" w:bidi="ar-SA"/>
      </w:rPr>
    </w:lvl>
  </w:abstractNum>
  <w:abstractNum w:abstractNumId="5" w15:restartNumberingAfterBreak="0">
    <w:nsid w:val="5AC341D9"/>
    <w:multiLevelType w:val="hybridMultilevel"/>
    <w:tmpl w:val="E65E6294"/>
    <w:lvl w:ilvl="0" w:tplc="396EAC7C">
      <w:start w:val="2"/>
      <w:numFmt w:val="bullet"/>
      <w:lvlText w:val="-"/>
      <w:lvlJc w:val="left"/>
      <w:pPr>
        <w:ind w:left="720" w:hanging="360"/>
      </w:pPr>
      <w:rPr>
        <w:rFonts w:ascii="Source Sans Pro" w:eastAsiaTheme="minorEastAsia" w:hAnsi="Source Sans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D23C0E"/>
    <w:multiLevelType w:val="hybridMultilevel"/>
    <w:tmpl w:val="5C188228"/>
    <w:lvl w:ilvl="0" w:tplc="9F5ADBB8">
      <w:numFmt w:val="bullet"/>
      <w:lvlText w:val=""/>
      <w:lvlJc w:val="left"/>
      <w:pPr>
        <w:ind w:left="1080" w:hanging="360"/>
      </w:pPr>
      <w:rPr>
        <w:rFonts w:ascii="Symbol" w:eastAsia="Symbol" w:hAnsi="Symbol" w:cs="Symbol" w:hint="default"/>
        <w:b w:val="0"/>
        <w:bCs w:val="0"/>
        <w:i w:val="0"/>
        <w:iCs w:val="0"/>
        <w:w w:val="100"/>
        <w:sz w:val="22"/>
        <w:szCs w:val="22"/>
        <w:lang w:val="en-AU" w:eastAsia="en-US" w:bidi="ar-SA"/>
      </w:rPr>
    </w:lvl>
    <w:lvl w:ilvl="1" w:tplc="A5AC4626">
      <w:numFmt w:val="bullet"/>
      <w:lvlText w:val="•"/>
      <w:lvlJc w:val="left"/>
      <w:pPr>
        <w:ind w:left="2053" w:hanging="360"/>
      </w:pPr>
      <w:rPr>
        <w:rFonts w:hint="default"/>
        <w:lang w:val="en-AU" w:eastAsia="en-US" w:bidi="ar-SA"/>
      </w:rPr>
    </w:lvl>
    <w:lvl w:ilvl="2" w:tplc="77EC2C06">
      <w:numFmt w:val="bullet"/>
      <w:lvlText w:val="•"/>
      <w:lvlJc w:val="left"/>
      <w:pPr>
        <w:ind w:left="3027" w:hanging="360"/>
      </w:pPr>
      <w:rPr>
        <w:rFonts w:hint="default"/>
        <w:lang w:val="en-AU" w:eastAsia="en-US" w:bidi="ar-SA"/>
      </w:rPr>
    </w:lvl>
    <w:lvl w:ilvl="3" w:tplc="37947106">
      <w:numFmt w:val="bullet"/>
      <w:lvlText w:val="•"/>
      <w:lvlJc w:val="left"/>
      <w:pPr>
        <w:ind w:left="4001" w:hanging="360"/>
      </w:pPr>
      <w:rPr>
        <w:rFonts w:hint="default"/>
        <w:lang w:val="en-AU" w:eastAsia="en-US" w:bidi="ar-SA"/>
      </w:rPr>
    </w:lvl>
    <w:lvl w:ilvl="4" w:tplc="4F087FC6">
      <w:numFmt w:val="bullet"/>
      <w:lvlText w:val="•"/>
      <w:lvlJc w:val="left"/>
      <w:pPr>
        <w:ind w:left="4975" w:hanging="360"/>
      </w:pPr>
      <w:rPr>
        <w:rFonts w:hint="default"/>
        <w:lang w:val="en-AU" w:eastAsia="en-US" w:bidi="ar-SA"/>
      </w:rPr>
    </w:lvl>
    <w:lvl w:ilvl="5" w:tplc="3D5A1FBE">
      <w:numFmt w:val="bullet"/>
      <w:lvlText w:val="•"/>
      <w:lvlJc w:val="left"/>
      <w:pPr>
        <w:ind w:left="5949" w:hanging="360"/>
      </w:pPr>
      <w:rPr>
        <w:rFonts w:hint="default"/>
        <w:lang w:val="en-AU" w:eastAsia="en-US" w:bidi="ar-SA"/>
      </w:rPr>
    </w:lvl>
    <w:lvl w:ilvl="6" w:tplc="192E7CC2">
      <w:numFmt w:val="bullet"/>
      <w:lvlText w:val="•"/>
      <w:lvlJc w:val="left"/>
      <w:pPr>
        <w:ind w:left="6923" w:hanging="360"/>
      </w:pPr>
      <w:rPr>
        <w:rFonts w:hint="default"/>
        <w:lang w:val="en-AU" w:eastAsia="en-US" w:bidi="ar-SA"/>
      </w:rPr>
    </w:lvl>
    <w:lvl w:ilvl="7" w:tplc="7B6A33E0">
      <w:numFmt w:val="bullet"/>
      <w:lvlText w:val="•"/>
      <w:lvlJc w:val="left"/>
      <w:pPr>
        <w:ind w:left="7897" w:hanging="360"/>
      </w:pPr>
      <w:rPr>
        <w:rFonts w:hint="default"/>
        <w:lang w:val="en-AU" w:eastAsia="en-US" w:bidi="ar-SA"/>
      </w:rPr>
    </w:lvl>
    <w:lvl w:ilvl="8" w:tplc="91F4C098">
      <w:numFmt w:val="bullet"/>
      <w:lvlText w:val="•"/>
      <w:lvlJc w:val="left"/>
      <w:pPr>
        <w:ind w:left="8871" w:hanging="360"/>
      </w:pPr>
      <w:rPr>
        <w:rFonts w:hint="default"/>
        <w:lang w:val="en-AU" w:eastAsia="en-US" w:bidi="ar-SA"/>
      </w:rPr>
    </w:lvl>
  </w:abstractNum>
  <w:abstractNum w:abstractNumId="7" w15:restartNumberingAfterBreak="0">
    <w:nsid w:val="65B35D13"/>
    <w:multiLevelType w:val="hybridMultilevel"/>
    <w:tmpl w:val="F796EEE0"/>
    <w:lvl w:ilvl="0" w:tplc="8C481C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35768D"/>
    <w:multiLevelType w:val="hybridMultilevel"/>
    <w:tmpl w:val="3224D8A4"/>
    <w:lvl w:ilvl="0" w:tplc="CAEEB1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0816468">
    <w:abstractNumId w:val="8"/>
  </w:num>
  <w:num w:numId="2" w16cid:durableId="1901672840">
    <w:abstractNumId w:val="7"/>
  </w:num>
  <w:num w:numId="3" w16cid:durableId="1344012638">
    <w:abstractNumId w:val="1"/>
  </w:num>
  <w:num w:numId="4" w16cid:durableId="2113816402">
    <w:abstractNumId w:val="5"/>
  </w:num>
  <w:num w:numId="5" w16cid:durableId="1386946428">
    <w:abstractNumId w:val="3"/>
  </w:num>
  <w:num w:numId="6" w16cid:durableId="2080907846">
    <w:abstractNumId w:val="6"/>
  </w:num>
  <w:num w:numId="7" w16cid:durableId="1299339343">
    <w:abstractNumId w:val="4"/>
  </w:num>
  <w:num w:numId="8" w16cid:durableId="1899629273">
    <w:abstractNumId w:val="0"/>
  </w:num>
  <w:num w:numId="9" w16cid:durableId="1345093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4C"/>
    <w:rsid w:val="00001AE6"/>
    <w:rsid w:val="000035D6"/>
    <w:rsid w:val="00005F99"/>
    <w:rsid w:val="000060FC"/>
    <w:rsid w:val="00012B0A"/>
    <w:rsid w:val="0001358E"/>
    <w:rsid w:val="0001445D"/>
    <w:rsid w:val="00015FB3"/>
    <w:rsid w:val="0001722C"/>
    <w:rsid w:val="000177AD"/>
    <w:rsid w:val="00021273"/>
    <w:rsid w:val="000216F1"/>
    <w:rsid w:val="00021F3F"/>
    <w:rsid w:val="00022EFA"/>
    <w:rsid w:val="0002515A"/>
    <w:rsid w:val="0002775A"/>
    <w:rsid w:val="0003288E"/>
    <w:rsid w:val="000348E5"/>
    <w:rsid w:val="00035CF1"/>
    <w:rsid w:val="0003673C"/>
    <w:rsid w:val="00042CC3"/>
    <w:rsid w:val="0004477A"/>
    <w:rsid w:val="00044F05"/>
    <w:rsid w:val="00052620"/>
    <w:rsid w:val="00064B29"/>
    <w:rsid w:val="0006797A"/>
    <w:rsid w:val="00070CB6"/>
    <w:rsid w:val="00071CFB"/>
    <w:rsid w:val="0007454A"/>
    <w:rsid w:val="000759C6"/>
    <w:rsid w:val="00080F28"/>
    <w:rsid w:val="00081EC8"/>
    <w:rsid w:val="0008275B"/>
    <w:rsid w:val="00086A70"/>
    <w:rsid w:val="00087B5D"/>
    <w:rsid w:val="00087E7E"/>
    <w:rsid w:val="0009047E"/>
    <w:rsid w:val="000952BF"/>
    <w:rsid w:val="000A091A"/>
    <w:rsid w:val="000A2193"/>
    <w:rsid w:val="000A6580"/>
    <w:rsid w:val="000A7D4D"/>
    <w:rsid w:val="000B1C83"/>
    <w:rsid w:val="000B3A3E"/>
    <w:rsid w:val="000B3C82"/>
    <w:rsid w:val="000B3D87"/>
    <w:rsid w:val="000B5BED"/>
    <w:rsid w:val="000C18F4"/>
    <w:rsid w:val="000C1D05"/>
    <w:rsid w:val="000C44C4"/>
    <w:rsid w:val="000C49A6"/>
    <w:rsid w:val="000C76A8"/>
    <w:rsid w:val="000D1702"/>
    <w:rsid w:val="000D5068"/>
    <w:rsid w:val="000D5FC2"/>
    <w:rsid w:val="000E149D"/>
    <w:rsid w:val="000E3FA4"/>
    <w:rsid w:val="000E7572"/>
    <w:rsid w:val="000F0F2B"/>
    <w:rsid w:val="000F14C6"/>
    <w:rsid w:val="000F1A1D"/>
    <w:rsid w:val="000F4DC6"/>
    <w:rsid w:val="000F6535"/>
    <w:rsid w:val="000F6F53"/>
    <w:rsid w:val="000F74AA"/>
    <w:rsid w:val="001015BB"/>
    <w:rsid w:val="0010281C"/>
    <w:rsid w:val="00104E56"/>
    <w:rsid w:val="00105F10"/>
    <w:rsid w:val="00113F12"/>
    <w:rsid w:val="0011791E"/>
    <w:rsid w:val="0012155E"/>
    <w:rsid w:val="001240BB"/>
    <w:rsid w:val="00125EC5"/>
    <w:rsid w:val="001268D3"/>
    <w:rsid w:val="00134A67"/>
    <w:rsid w:val="0013730C"/>
    <w:rsid w:val="0014040B"/>
    <w:rsid w:val="0014056C"/>
    <w:rsid w:val="00147352"/>
    <w:rsid w:val="00147A2C"/>
    <w:rsid w:val="0015194F"/>
    <w:rsid w:val="00161EE4"/>
    <w:rsid w:val="00163E18"/>
    <w:rsid w:val="00163FCA"/>
    <w:rsid w:val="00165469"/>
    <w:rsid w:val="001765A6"/>
    <w:rsid w:val="00177EFE"/>
    <w:rsid w:val="00183E7B"/>
    <w:rsid w:val="0018682A"/>
    <w:rsid w:val="0018693E"/>
    <w:rsid w:val="00187C65"/>
    <w:rsid w:val="001924C1"/>
    <w:rsid w:val="001A0CEC"/>
    <w:rsid w:val="001A21C3"/>
    <w:rsid w:val="001A4950"/>
    <w:rsid w:val="001A5652"/>
    <w:rsid w:val="001B21B8"/>
    <w:rsid w:val="001C0F58"/>
    <w:rsid w:val="001C2028"/>
    <w:rsid w:val="001C6C72"/>
    <w:rsid w:val="001D1A28"/>
    <w:rsid w:val="001D2A3A"/>
    <w:rsid w:val="001D3D59"/>
    <w:rsid w:val="001D6600"/>
    <w:rsid w:val="001E006E"/>
    <w:rsid w:val="001E2735"/>
    <w:rsid w:val="001E73FD"/>
    <w:rsid w:val="001F58A2"/>
    <w:rsid w:val="00200C72"/>
    <w:rsid w:val="00202148"/>
    <w:rsid w:val="002021AF"/>
    <w:rsid w:val="00205C4A"/>
    <w:rsid w:val="002064EB"/>
    <w:rsid w:val="002112CC"/>
    <w:rsid w:val="002120DC"/>
    <w:rsid w:val="002144FD"/>
    <w:rsid w:val="00216EA5"/>
    <w:rsid w:val="002203F1"/>
    <w:rsid w:val="00225C38"/>
    <w:rsid w:val="002267E1"/>
    <w:rsid w:val="00226FC2"/>
    <w:rsid w:val="00227212"/>
    <w:rsid w:val="002318E0"/>
    <w:rsid w:val="00235716"/>
    <w:rsid w:val="0023755A"/>
    <w:rsid w:val="00237D0E"/>
    <w:rsid w:val="002410CF"/>
    <w:rsid w:val="00242C81"/>
    <w:rsid w:val="00244842"/>
    <w:rsid w:val="00244E4E"/>
    <w:rsid w:val="002502F3"/>
    <w:rsid w:val="00250E14"/>
    <w:rsid w:val="0026022A"/>
    <w:rsid w:val="0026336B"/>
    <w:rsid w:val="002664FF"/>
    <w:rsid w:val="002703BB"/>
    <w:rsid w:val="0027185A"/>
    <w:rsid w:val="00275234"/>
    <w:rsid w:val="002760C0"/>
    <w:rsid w:val="002800B5"/>
    <w:rsid w:val="0028077E"/>
    <w:rsid w:val="00283EBE"/>
    <w:rsid w:val="002850E6"/>
    <w:rsid w:val="00292FFA"/>
    <w:rsid w:val="002A0A07"/>
    <w:rsid w:val="002A1095"/>
    <w:rsid w:val="002A31C2"/>
    <w:rsid w:val="002A3888"/>
    <w:rsid w:val="002A5330"/>
    <w:rsid w:val="002A6D68"/>
    <w:rsid w:val="002B3BD4"/>
    <w:rsid w:val="002B7A1A"/>
    <w:rsid w:val="002C0972"/>
    <w:rsid w:val="002C42D7"/>
    <w:rsid w:val="002C4ED1"/>
    <w:rsid w:val="002C6ADE"/>
    <w:rsid w:val="002D41F0"/>
    <w:rsid w:val="002D5C04"/>
    <w:rsid w:val="002D7530"/>
    <w:rsid w:val="002E2A86"/>
    <w:rsid w:val="002E3A15"/>
    <w:rsid w:val="002E4C70"/>
    <w:rsid w:val="002E5D85"/>
    <w:rsid w:val="002E7025"/>
    <w:rsid w:val="002F4CD9"/>
    <w:rsid w:val="002F64F1"/>
    <w:rsid w:val="0030187F"/>
    <w:rsid w:val="00302DF6"/>
    <w:rsid w:val="0030796B"/>
    <w:rsid w:val="00314B7F"/>
    <w:rsid w:val="00314B88"/>
    <w:rsid w:val="0031569D"/>
    <w:rsid w:val="00317E8D"/>
    <w:rsid w:val="00317FE0"/>
    <w:rsid w:val="00321E51"/>
    <w:rsid w:val="00321F68"/>
    <w:rsid w:val="00323B32"/>
    <w:rsid w:val="00324EE3"/>
    <w:rsid w:val="00325E56"/>
    <w:rsid w:val="00331775"/>
    <w:rsid w:val="00332748"/>
    <w:rsid w:val="003350ED"/>
    <w:rsid w:val="00347DAC"/>
    <w:rsid w:val="00347F04"/>
    <w:rsid w:val="00362CCF"/>
    <w:rsid w:val="00363DCF"/>
    <w:rsid w:val="0036484C"/>
    <w:rsid w:val="00366627"/>
    <w:rsid w:val="00372BFC"/>
    <w:rsid w:val="00380ABD"/>
    <w:rsid w:val="00385147"/>
    <w:rsid w:val="00387A55"/>
    <w:rsid w:val="00387C8D"/>
    <w:rsid w:val="003A1B2E"/>
    <w:rsid w:val="003A3656"/>
    <w:rsid w:val="003A717F"/>
    <w:rsid w:val="003A7813"/>
    <w:rsid w:val="003B03F2"/>
    <w:rsid w:val="003B32E0"/>
    <w:rsid w:val="003B4DCE"/>
    <w:rsid w:val="003B7FCF"/>
    <w:rsid w:val="003C1E55"/>
    <w:rsid w:val="003C55A1"/>
    <w:rsid w:val="003C5DDC"/>
    <w:rsid w:val="003D07E2"/>
    <w:rsid w:val="003D205F"/>
    <w:rsid w:val="003D2603"/>
    <w:rsid w:val="003D67EB"/>
    <w:rsid w:val="003E07A7"/>
    <w:rsid w:val="003E2C85"/>
    <w:rsid w:val="003E2F83"/>
    <w:rsid w:val="003E681D"/>
    <w:rsid w:val="003E6F1B"/>
    <w:rsid w:val="003F2DD0"/>
    <w:rsid w:val="003F3912"/>
    <w:rsid w:val="00400FA2"/>
    <w:rsid w:val="004027C4"/>
    <w:rsid w:val="0040603C"/>
    <w:rsid w:val="004137F9"/>
    <w:rsid w:val="00415A39"/>
    <w:rsid w:val="00427E41"/>
    <w:rsid w:val="00431FA3"/>
    <w:rsid w:val="0043666E"/>
    <w:rsid w:val="00440669"/>
    <w:rsid w:val="00442AF5"/>
    <w:rsid w:val="004507A8"/>
    <w:rsid w:val="00451D41"/>
    <w:rsid w:val="00454AB9"/>
    <w:rsid w:val="00455534"/>
    <w:rsid w:val="00460515"/>
    <w:rsid w:val="0047227D"/>
    <w:rsid w:val="0047470D"/>
    <w:rsid w:val="00482B1E"/>
    <w:rsid w:val="00484B69"/>
    <w:rsid w:val="00487DB6"/>
    <w:rsid w:val="00491E38"/>
    <w:rsid w:val="004931A7"/>
    <w:rsid w:val="0049567B"/>
    <w:rsid w:val="00495807"/>
    <w:rsid w:val="004A120E"/>
    <w:rsid w:val="004A2026"/>
    <w:rsid w:val="004A2C9D"/>
    <w:rsid w:val="004A3F91"/>
    <w:rsid w:val="004A47EE"/>
    <w:rsid w:val="004A487D"/>
    <w:rsid w:val="004A592D"/>
    <w:rsid w:val="004B1DE8"/>
    <w:rsid w:val="004B6CDF"/>
    <w:rsid w:val="004B730F"/>
    <w:rsid w:val="004B748E"/>
    <w:rsid w:val="004C088D"/>
    <w:rsid w:val="004C1E3C"/>
    <w:rsid w:val="004C2059"/>
    <w:rsid w:val="004C7876"/>
    <w:rsid w:val="004D3F36"/>
    <w:rsid w:val="004D49C0"/>
    <w:rsid w:val="004E14FD"/>
    <w:rsid w:val="004E21A5"/>
    <w:rsid w:val="004E526B"/>
    <w:rsid w:val="004E5B98"/>
    <w:rsid w:val="004E7D44"/>
    <w:rsid w:val="004E7EA8"/>
    <w:rsid w:val="004F0663"/>
    <w:rsid w:val="004F093C"/>
    <w:rsid w:val="004F0B3A"/>
    <w:rsid w:val="004F288F"/>
    <w:rsid w:val="004F3F4D"/>
    <w:rsid w:val="00502A04"/>
    <w:rsid w:val="005115BF"/>
    <w:rsid w:val="00521C42"/>
    <w:rsid w:val="00526BBE"/>
    <w:rsid w:val="00531F37"/>
    <w:rsid w:val="00532F1D"/>
    <w:rsid w:val="005344D2"/>
    <w:rsid w:val="005352FF"/>
    <w:rsid w:val="00544C26"/>
    <w:rsid w:val="00544E17"/>
    <w:rsid w:val="00547362"/>
    <w:rsid w:val="005514DD"/>
    <w:rsid w:val="0057375C"/>
    <w:rsid w:val="0057401E"/>
    <w:rsid w:val="00577145"/>
    <w:rsid w:val="00586B90"/>
    <w:rsid w:val="0058745B"/>
    <w:rsid w:val="00592F76"/>
    <w:rsid w:val="00593913"/>
    <w:rsid w:val="0059538C"/>
    <w:rsid w:val="005A4CA3"/>
    <w:rsid w:val="005A5311"/>
    <w:rsid w:val="005A66CA"/>
    <w:rsid w:val="005A7310"/>
    <w:rsid w:val="005B510B"/>
    <w:rsid w:val="005C15BD"/>
    <w:rsid w:val="005C3BBE"/>
    <w:rsid w:val="005C5213"/>
    <w:rsid w:val="005C54A8"/>
    <w:rsid w:val="005C5D46"/>
    <w:rsid w:val="005D1A96"/>
    <w:rsid w:val="005D1D2C"/>
    <w:rsid w:val="005D1E13"/>
    <w:rsid w:val="005D3B78"/>
    <w:rsid w:val="005E0066"/>
    <w:rsid w:val="005E4586"/>
    <w:rsid w:val="005F039F"/>
    <w:rsid w:val="005F28C6"/>
    <w:rsid w:val="005F2B07"/>
    <w:rsid w:val="005F2D82"/>
    <w:rsid w:val="005F3CEB"/>
    <w:rsid w:val="005F78F6"/>
    <w:rsid w:val="006169A8"/>
    <w:rsid w:val="006241E5"/>
    <w:rsid w:val="006311F8"/>
    <w:rsid w:val="0063465B"/>
    <w:rsid w:val="00636B6A"/>
    <w:rsid w:val="00636BB4"/>
    <w:rsid w:val="00636FF2"/>
    <w:rsid w:val="00643F25"/>
    <w:rsid w:val="00647685"/>
    <w:rsid w:val="00660717"/>
    <w:rsid w:val="006613BB"/>
    <w:rsid w:val="00665B29"/>
    <w:rsid w:val="00676BE1"/>
    <w:rsid w:val="00684C4E"/>
    <w:rsid w:val="00686EF2"/>
    <w:rsid w:val="00695847"/>
    <w:rsid w:val="006A09FD"/>
    <w:rsid w:val="006A52D5"/>
    <w:rsid w:val="006A6FD4"/>
    <w:rsid w:val="006B2DAC"/>
    <w:rsid w:val="006B3448"/>
    <w:rsid w:val="006B3F5D"/>
    <w:rsid w:val="006B4071"/>
    <w:rsid w:val="006B4591"/>
    <w:rsid w:val="006B52EC"/>
    <w:rsid w:val="006B57B1"/>
    <w:rsid w:val="006C212E"/>
    <w:rsid w:val="006C515F"/>
    <w:rsid w:val="006C72F8"/>
    <w:rsid w:val="006C7413"/>
    <w:rsid w:val="006D289B"/>
    <w:rsid w:val="006D3202"/>
    <w:rsid w:val="006D564A"/>
    <w:rsid w:val="006D612D"/>
    <w:rsid w:val="006D62D5"/>
    <w:rsid w:val="006D79F0"/>
    <w:rsid w:val="006E0AE2"/>
    <w:rsid w:val="006E3D90"/>
    <w:rsid w:val="006E5447"/>
    <w:rsid w:val="006F244E"/>
    <w:rsid w:val="006F64A4"/>
    <w:rsid w:val="007000DC"/>
    <w:rsid w:val="00701F56"/>
    <w:rsid w:val="00702580"/>
    <w:rsid w:val="0072414B"/>
    <w:rsid w:val="00727405"/>
    <w:rsid w:val="00730599"/>
    <w:rsid w:val="00734D89"/>
    <w:rsid w:val="00736C66"/>
    <w:rsid w:val="007372E1"/>
    <w:rsid w:val="00740388"/>
    <w:rsid w:val="007404C3"/>
    <w:rsid w:val="0074369E"/>
    <w:rsid w:val="007439EC"/>
    <w:rsid w:val="007439F0"/>
    <w:rsid w:val="00744500"/>
    <w:rsid w:val="00751227"/>
    <w:rsid w:val="0075123B"/>
    <w:rsid w:val="0075282C"/>
    <w:rsid w:val="00760947"/>
    <w:rsid w:val="00761198"/>
    <w:rsid w:val="007638D0"/>
    <w:rsid w:val="00765511"/>
    <w:rsid w:val="007659DC"/>
    <w:rsid w:val="00766545"/>
    <w:rsid w:val="00766F89"/>
    <w:rsid w:val="00771C4D"/>
    <w:rsid w:val="00781D4C"/>
    <w:rsid w:val="00785A21"/>
    <w:rsid w:val="00786018"/>
    <w:rsid w:val="00791318"/>
    <w:rsid w:val="0079469D"/>
    <w:rsid w:val="007973B7"/>
    <w:rsid w:val="007A0AC9"/>
    <w:rsid w:val="007A3D83"/>
    <w:rsid w:val="007A7289"/>
    <w:rsid w:val="007A7767"/>
    <w:rsid w:val="007B33A2"/>
    <w:rsid w:val="007B3767"/>
    <w:rsid w:val="007C0C4D"/>
    <w:rsid w:val="007C4ED6"/>
    <w:rsid w:val="007D0684"/>
    <w:rsid w:val="007D7F0D"/>
    <w:rsid w:val="007E0972"/>
    <w:rsid w:val="007F0D9C"/>
    <w:rsid w:val="007F2495"/>
    <w:rsid w:val="007F499C"/>
    <w:rsid w:val="008037DF"/>
    <w:rsid w:val="00804250"/>
    <w:rsid w:val="00806925"/>
    <w:rsid w:val="008078A9"/>
    <w:rsid w:val="008142C8"/>
    <w:rsid w:val="008200C2"/>
    <w:rsid w:val="008217EF"/>
    <w:rsid w:val="008227B3"/>
    <w:rsid w:val="008239B2"/>
    <w:rsid w:val="00827BC7"/>
    <w:rsid w:val="00827FE3"/>
    <w:rsid w:val="008306B4"/>
    <w:rsid w:val="00830EDD"/>
    <w:rsid w:val="008313FD"/>
    <w:rsid w:val="008330FC"/>
    <w:rsid w:val="008352BB"/>
    <w:rsid w:val="0084050D"/>
    <w:rsid w:val="00840C62"/>
    <w:rsid w:val="00841D4B"/>
    <w:rsid w:val="00842EF9"/>
    <w:rsid w:val="00843A26"/>
    <w:rsid w:val="00856061"/>
    <w:rsid w:val="00864BA5"/>
    <w:rsid w:val="0086662A"/>
    <w:rsid w:val="008679F8"/>
    <w:rsid w:val="00870B95"/>
    <w:rsid w:val="00882B69"/>
    <w:rsid w:val="00885CEB"/>
    <w:rsid w:val="00887437"/>
    <w:rsid w:val="00893D6A"/>
    <w:rsid w:val="0089580D"/>
    <w:rsid w:val="00895AE7"/>
    <w:rsid w:val="00897657"/>
    <w:rsid w:val="008A222B"/>
    <w:rsid w:val="008A2499"/>
    <w:rsid w:val="008B0A55"/>
    <w:rsid w:val="008B2652"/>
    <w:rsid w:val="008B2945"/>
    <w:rsid w:val="008B4211"/>
    <w:rsid w:val="008B751A"/>
    <w:rsid w:val="008B79A5"/>
    <w:rsid w:val="008C09D9"/>
    <w:rsid w:val="008C2F87"/>
    <w:rsid w:val="008C3D80"/>
    <w:rsid w:val="008C41A2"/>
    <w:rsid w:val="008C425F"/>
    <w:rsid w:val="008C5BCF"/>
    <w:rsid w:val="008D4247"/>
    <w:rsid w:val="008D7478"/>
    <w:rsid w:val="008F215C"/>
    <w:rsid w:val="009109F5"/>
    <w:rsid w:val="00913DC3"/>
    <w:rsid w:val="00917083"/>
    <w:rsid w:val="00924DD7"/>
    <w:rsid w:val="00927E2E"/>
    <w:rsid w:val="009326E2"/>
    <w:rsid w:val="00933FA2"/>
    <w:rsid w:val="009356CC"/>
    <w:rsid w:val="00942D93"/>
    <w:rsid w:val="0095281E"/>
    <w:rsid w:val="009566EA"/>
    <w:rsid w:val="00960C80"/>
    <w:rsid w:val="00962817"/>
    <w:rsid w:val="009639BF"/>
    <w:rsid w:val="00967CD1"/>
    <w:rsid w:val="009725B2"/>
    <w:rsid w:val="00972C58"/>
    <w:rsid w:val="00974381"/>
    <w:rsid w:val="00974D68"/>
    <w:rsid w:val="009800F3"/>
    <w:rsid w:val="00983800"/>
    <w:rsid w:val="009839C7"/>
    <w:rsid w:val="00986E5E"/>
    <w:rsid w:val="00991A01"/>
    <w:rsid w:val="00991CBB"/>
    <w:rsid w:val="00992C45"/>
    <w:rsid w:val="00995554"/>
    <w:rsid w:val="009A038E"/>
    <w:rsid w:val="009A1FE7"/>
    <w:rsid w:val="009A31DE"/>
    <w:rsid w:val="009A4A67"/>
    <w:rsid w:val="009A6913"/>
    <w:rsid w:val="009B213A"/>
    <w:rsid w:val="009B2650"/>
    <w:rsid w:val="009B3B97"/>
    <w:rsid w:val="009B3C4C"/>
    <w:rsid w:val="009B5E4E"/>
    <w:rsid w:val="009C02B0"/>
    <w:rsid w:val="009C59D9"/>
    <w:rsid w:val="009D0493"/>
    <w:rsid w:val="009D4093"/>
    <w:rsid w:val="009D5E96"/>
    <w:rsid w:val="009E4285"/>
    <w:rsid w:val="009E633A"/>
    <w:rsid w:val="009E6496"/>
    <w:rsid w:val="009F07F0"/>
    <w:rsid w:val="009F24E7"/>
    <w:rsid w:val="009F55B5"/>
    <w:rsid w:val="00A006E3"/>
    <w:rsid w:val="00A0521D"/>
    <w:rsid w:val="00A064EA"/>
    <w:rsid w:val="00A068A5"/>
    <w:rsid w:val="00A124C7"/>
    <w:rsid w:val="00A13D7F"/>
    <w:rsid w:val="00A21CBE"/>
    <w:rsid w:val="00A2432D"/>
    <w:rsid w:val="00A24A86"/>
    <w:rsid w:val="00A319AC"/>
    <w:rsid w:val="00A35CC7"/>
    <w:rsid w:val="00A413FD"/>
    <w:rsid w:val="00A418C2"/>
    <w:rsid w:val="00A41DB3"/>
    <w:rsid w:val="00A42729"/>
    <w:rsid w:val="00A511DB"/>
    <w:rsid w:val="00A51A75"/>
    <w:rsid w:val="00A51DC9"/>
    <w:rsid w:val="00A54A15"/>
    <w:rsid w:val="00A57E94"/>
    <w:rsid w:val="00A609B1"/>
    <w:rsid w:val="00A71710"/>
    <w:rsid w:val="00A72FBD"/>
    <w:rsid w:val="00A74351"/>
    <w:rsid w:val="00A74EC2"/>
    <w:rsid w:val="00A7535A"/>
    <w:rsid w:val="00A81801"/>
    <w:rsid w:val="00A868B6"/>
    <w:rsid w:val="00A91CF2"/>
    <w:rsid w:val="00A92436"/>
    <w:rsid w:val="00A9326F"/>
    <w:rsid w:val="00AA1C7D"/>
    <w:rsid w:val="00AA4213"/>
    <w:rsid w:val="00AA537B"/>
    <w:rsid w:val="00AA6B53"/>
    <w:rsid w:val="00AB16F1"/>
    <w:rsid w:val="00AB233A"/>
    <w:rsid w:val="00AB34F9"/>
    <w:rsid w:val="00AB36CF"/>
    <w:rsid w:val="00AB5D11"/>
    <w:rsid w:val="00AB626C"/>
    <w:rsid w:val="00AB70B4"/>
    <w:rsid w:val="00AC1F7A"/>
    <w:rsid w:val="00AC37C9"/>
    <w:rsid w:val="00AC42C8"/>
    <w:rsid w:val="00AC4D33"/>
    <w:rsid w:val="00AD08FA"/>
    <w:rsid w:val="00AD75BE"/>
    <w:rsid w:val="00AE2142"/>
    <w:rsid w:val="00AE2615"/>
    <w:rsid w:val="00AE28F5"/>
    <w:rsid w:val="00AE3DD9"/>
    <w:rsid w:val="00AE47BC"/>
    <w:rsid w:val="00AF1B5A"/>
    <w:rsid w:val="00AF6F77"/>
    <w:rsid w:val="00B03D16"/>
    <w:rsid w:val="00B06BD7"/>
    <w:rsid w:val="00B10FF3"/>
    <w:rsid w:val="00B17E26"/>
    <w:rsid w:val="00B24B56"/>
    <w:rsid w:val="00B26C18"/>
    <w:rsid w:val="00B26F59"/>
    <w:rsid w:val="00B270EF"/>
    <w:rsid w:val="00B27488"/>
    <w:rsid w:val="00B2781B"/>
    <w:rsid w:val="00B370E0"/>
    <w:rsid w:val="00B374E6"/>
    <w:rsid w:val="00B37B93"/>
    <w:rsid w:val="00B407AC"/>
    <w:rsid w:val="00B44A0F"/>
    <w:rsid w:val="00B5064D"/>
    <w:rsid w:val="00B5368C"/>
    <w:rsid w:val="00B601FD"/>
    <w:rsid w:val="00B648A6"/>
    <w:rsid w:val="00B66180"/>
    <w:rsid w:val="00B73C98"/>
    <w:rsid w:val="00B7432E"/>
    <w:rsid w:val="00B76631"/>
    <w:rsid w:val="00B771C0"/>
    <w:rsid w:val="00B77995"/>
    <w:rsid w:val="00B839B8"/>
    <w:rsid w:val="00B92FA4"/>
    <w:rsid w:val="00B941D8"/>
    <w:rsid w:val="00B96189"/>
    <w:rsid w:val="00B96E88"/>
    <w:rsid w:val="00B96EA4"/>
    <w:rsid w:val="00BB1AE1"/>
    <w:rsid w:val="00BB4171"/>
    <w:rsid w:val="00BB5048"/>
    <w:rsid w:val="00BB7767"/>
    <w:rsid w:val="00BC048E"/>
    <w:rsid w:val="00BC0878"/>
    <w:rsid w:val="00BC3BAB"/>
    <w:rsid w:val="00BC4483"/>
    <w:rsid w:val="00BC47E1"/>
    <w:rsid w:val="00BC617C"/>
    <w:rsid w:val="00BC6E40"/>
    <w:rsid w:val="00BC7581"/>
    <w:rsid w:val="00BD2645"/>
    <w:rsid w:val="00BD4489"/>
    <w:rsid w:val="00BD4F2A"/>
    <w:rsid w:val="00BE1A48"/>
    <w:rsid w:val="00BE2B70"/>
    <w:rsid w:val="00BE728D"/>
    <w:rsid w:val="00BF5045"/>
    <w:rsid w:val="00C03AE3"/>
    <w:rsid w:val="00C03DE5"/>
    <w:rsid w:val="00C06549"/>
    <w:rsid w:val="00C07537"/>
    <w:rsid w:val="00C10AE1"/>
    <w:rsid w:val="00C120B8"/>
    <w:rsid w:val="00C17395"/>
    <w:rsid w:val="00C23424"/>
    <w:rsid w:val="00C25CB1"/>
    <w:rsid w:val="00C2784D"/>
    <w:rsid w:val="00C3071C"/>
    <w:rsid w:val="00C31F9F"/>
    <w:rsid w:val="00C44124"/>
    <w:rsid w:val="00C44357"/>
    <w:rsid w:val="00C4714D"/>
    <w:rsid w:val="00C5056C"/>
    <w:rsid w:val="00C50924"/>
    <w:rsid w:val="00C50B4F"/>
    <w:rsid w:val="00C52EE2"/>
    <w:rsid w:val="00C62EA4"/>
    <w:rsid w:val="00C64A93"/>
    <w:rsid w:val="00C6653F"/>
    <w:rsid w:val="00C705CC"/>
    <w:rsid w:val="00C72AD8"/>
    <w:rsid w:val="00C74873"/>
    <w:rsid w:val="00C75883"/>
    <w:rsid w:val="00C81A01"/>
    <w:rsid w:val="00C83F9F"/>
    <w:rsid w:val="00C84237"/>
    <w:rsid w:val="00C946A0"/>
    <w:rsid w:val="00CB02FC"/>
    <w:rsid w:val="00CB1AED"/>
    <w:rsid w:val="00CB493E"/>
    <w:rsid w:val="00CB7837"/>
    <w:rsid w:val="00CD1CD0"/>
    <w:rsid w:val="00CD4AF5"/>
    <w:rsid w:val="00CE27CC"/>
    <w:rsid w:val="00CE3212"/>
    <w:rsid w:val="00CE6656"/>
    <w:rsid w:val="00CE7F2F"/>
    <w:rsid w:val="00CF0A40"/>
    <w:rsid w:val="00CF1194"/>
    <w:rsid w:val="00CF44D5"/>
    <w:rsid w:val="00D07C85"/>
    <w:rsid w:val="00D110EC"/>
    <w:rsid w:val="00D1297B"/>
    <w:rsid w:val="00D225A2"/>
    <w:rsid w:val="00D25D0E"/>
    <w:rsid w:val="00D26DF9"/>
    <w:rsid w:val="00D30A03"/>
    <w:rsid w:val="00D33FCC"/>
    <w:rsid w:val="00D360E8"/>
    <w:rsid w:val="00D36C9A"/>
    <w:rsid w:val="00D37882"/>
    <w:rsid w:val="00D40D8B"/>
    <w:rsid w:val="00D42F77"/>
    <w:rsid w:val="00D47E83"/>
    <w:rsid w:val="00D50E7F"/>
    <w:rsid w:val="00D57DA2"/>
    <w:rsid w:val="00D606D3"/>
    <w:rsid w:val="00D64A1E"/>
    <w:rsid w:val="00D765EF"/>
    <w:rsid w:val="00D81D57"/>
    <w:rsid w:val="00D85F21"/>
    <w:rsid w:val="00D87745"/>
    <w:rsid w:val="00D91619"/>
    <w:rsid w:val="00D91725"/>
    <w:rsid w:val="00D942ED"/>
    <w:rsid w:val="00D9607F"/>
    <w:rsid w:val="00D96114"/>
    <w:rsid w:val="00DA434F"/>
    <w:rsid w:val="00DA5A90"/>
    <w:rsid w:val="00DB3C52"/>
    <w:rsid w:val="00DB6A3B"/>
    <w:rsid w:val="00DC270E"/>
    <w:rsid w:val="00DC3EB5"/>
    <w:rsid w:val="00DC4DC6"/>
    <w:rsid w:val="00DC7E19"/>
    <w:rsid w:val="00DD1071"/>
    <w:rsid w:val="00DD14D2"/>
    <w:rsid w:val="00DD32A9"/>
    <w:rsid w:val="00DD6669"/>
    <w:rsid w:val="00DD6742"/>
    <w:rsid w:val="00DD77CA"/>
    <w:rsid w:val="00DD7C25"/>
    <w:rsid w:val="00DD7E73"/>
    <w:rsid w:val="00DE6A2A"/>
    <w:rsid w:val="00DF1DC4"/>
    <w:rsid w:val="00DF2DBC"/>
    <w:rsid w:val="00DF6970"/>
    <w:rsid w:val="00DF6E14"/>
    <w:rsid w:val="00E002AD"/>
    <w:rsid w:val="00E00E7D"/>
    <w:rsid w:val="00E02D81"/>
    <w:rsid w:val="00E05188"/>
    <w:rsid w:val="00E111E9"/>
    <w:rsid w:val="00E15558"/>
    <w:rsid w:val="00E1695C"/>
    <w:rsid w:val="00E205EF"/>
    <w:rsid w:val="00E30CFA"/>
    <w:rsid w:val="00E35077"/>
    <w:rsid w:val="00E36BC4"/>
    <w:rsid w:val="00E4154A"/>
    <w:rsid w:val="00E50D63"/>
    <w:rsid w:val="00E51198"/>
    <w:rsid w:val="00E51214"/>
    <w:rsid w:val="00E518AA"/>
    <w:rsid w:val="00E51EE0"/>
    <w:rsid w:val="00E5426C"/>
    <w:rsid w:val="00E55CC0"/>
    <w:rsid w:val="00E57816"/>
    <w:rsid w:val="00E60786"/>
    <w:rsid w:val="00E61038"/>
    <w:rsid w:val="00E67C60"/>
    <w:rsid w:val="00E70DBA"/>
    <w:rsid w:val="00E7472E"/>
    <w:rsid w:val="00E7688D"/>
    <w:rsid w:val="00E8222A"/>
    <w:rsid w:val="00E846F9"/>
    <w:rsid w:val="00E8525D"/>
    <w:rsid w:val="00E85BE0"/>
    <w:rsid w:val="00E9648F"/>
    <w:rsid w:val="00EB04C0"/>
    <w:rsid w:val="00EB0643"/>
    <w:rsid w:val="00EB2923"/>
    <w:rsid w:val="00EB3EA3"/>
    <w:rsid w:val="00EB5883"/>
    <w:rsid w:val="00EC055B"/>
    <w:rsid w:val="00EC0B73"/>
    <w:rsid w:val="00EC4AB0"/>
    <w:rsid w:val="00ED0F73"/>
    <w:rsid w:val="00ED7BF9"/>
    <w:rsid w:val="00EE38E2"/>
    <w:rsid w:val="00EE6F24"/>
    <w:rsid w:val="00EE6F4C"/>
    <w:rsid w:val="00EE73EB"/>
    <w:rsid w:val="00EF2751"/>
    <w:rsid w:val="00EF3C79"/>
    <w:rsid w:val="00EF5E4A"/>
    <w:rsid w:val="00EF6362"/>
    <w:rsid w:val="00EF67EF"/>
    <w:rsid w:val="00F01022"/>
    <w:rsid w:val="00F049F5"/>
    <w:rsid w:val="00F05185"/>
    <w:rsid w:val="00F05F56"/>
    <w:rsid w:val="00F07BF0"/>
    <w:rsid w:val="00F1356C"/>
    <w:rsid w:val="00F15D0E"/>
    <w:rsid w:val="00F1661B"/>
    <w:rsid w:val="00F176A6"/>
    <w:rsid w:val="00F17DEB"/>
    <w:rsid w:val="00F2011A"/>
    <w:rsid w:val="00F259AF"/>
    <w:rsid w:val="00F26569"/>
    <w:rsid w:val="00F27B70"/>
    <w:rsid w:val="00F32D53"/>
    <w:rsid w:val="00F32E10"/>
    <w:rsid w:val="00F37046"/>
    <w:rsid w:val="00F4098C"/>
    <w:rsid w:val="00F428C1"/>
    <w:rsid w:val="00F46F57"/>
    <w:rsid w:val="00F50593"/>
    <w:rsid w:val="00F507FD"/>
    <w:rsid w:val="00F559B0"/>
    <w:rsid w:val="00F62FBF"/>
    <w:rsid w:val="00F75E5E"/>
    <w:rsid w:val="00F767E0"/>
    <w:rsid w:val="00F7763D"/>
    <w:rsid w:val="00F8183F"/>
    <w:rsid w:val="00F8386C"/>
    <w:rsid w:val="00F84E97"/>
    <w:rsid w:val="00F86948"/>
    <w:rsid w:val="00F86D7E"/>
    <w:rsid w:val="00F90E60"/>
    <w:rsid w:val="00F92077"/>
    <w:rsid w:val="00F939D8"/>
    <w:rsid w:val="00F93AB3"/>
    <w:rsid w:val="00F96F46"/>
    <w:rsid w:val="00F973E6"/>
    <w:rsid w:val="00FA16D3"/>
    <w:rsid w:val="00FA60D8"/>
    <w:rsid w:val="00FA70F6"/>
    <w:rsid w:val="00FB02F6"/>
    <w:rsid w:val="00FC2CE0"/>
    <w:rsid w:val="00FC31EB"/>
    <w:rsid w:val="00FD0299"/>
    <w:rsid w:val="00FD049A"/>
    <w:rsid w:val="00FD4060"/>
    <w:rsid w:val="00FD55AA"/>
    <w:rsid w:val="00FD7D7E"/>
    <w:rsid w:val="00FE6CEA"/>
    <w:rsid w:val="00FE7C23"/>
    <w:rsid w:val="00FF1A74"/>
    <w:rsid w:val="00FF1C5B"/>
    <w:rsid w:val="00FF33A6"/>
    <w:rsid w:val="00FF7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46F90E"/>
  <w14:defaultImageDpi w14:val="300"/>
  <w15:docId w15:val="{E5772DAE-BAA3-4C68-B9C6-CFB6B469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33A"/>
    <w:pPr>
      <w:spacing w:line="360" w:lineRule="auto"/>
    </w:pPr>
    <w:rPr>
      <w:rFonts w:ascii="Source Sans Pro" w:hAnsi="Source Sans Pro"/>
    </w:rPr>
  </w:style>
  <w:style w:type="paragraph" w:styleId="Heading1">
    <w:name w:val="heading 1"/>
    <w:basedOn w:val="Normal"/>
    <w:next w:val="Normal"/>
    <w:link w:val="Heading1Char"/>
    <w:uiPriority w:val="9"/>
    <w:qFormat/>
    <w:rsid w:val="00806925"/>
    <w:pPr>
      <w:keepNext/>
      <w:keepLines/>
      <w:outlineLvl w:val="0"/>
    </w:pPr>
    <w:rPr>
      <w:rFonts w:ascii="Roboto" w:eastAsiaTheme="majorEastAsia" w:hAnsi="Roboto" w:cstheme="majorBidi"/>
      <w:b/>
      <w:szCs w:val="32"/>
    </w:rPr>
  </w:style>
  <w:style w:type="paragraph" w:styleId="Heading2">
    <w:name w:val="heading 2"/>
    <w:basedOn w:val="Normal"/>
    <w:next w:val="Normal"/>
    <w:link w:val="Heading2Char"/>
    <w:uiPriority w:val="9"/>
    <w:unhideWhenUsed/>
    <w:rsid w:val="003666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26DF9"/>
    <w:pPr>
      <w:keepNext/>
      <w:keepLines/>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D4C"/>
    <w:pPr>
      <w:tabs>
        <w:tab w:val="center" w:pos="4320"/>
        <w:tab w:val="right" w:pos="8640"/>
      </w:tabs>
    </w:pPr>
  </w:style>
  <w:style w:type="character" w:customStyle="1" w:styleId="HeaderChar">
    <w:name w:val="Header Char"/>
    <w:basedOn w:val="DefaultParagraphFont"/>
    <w:link w:val="Header"/>
    <w:uiPriority w:val="99"/>
    <w:rsid w:val="00781D4C"/>
  </w:style>
  <w:style w:type="paragraph" w:styleId="Footer">
    <w:name w:val="footer"/>
    <w:basedOn w:val="Normal"/>
    <w:link w:val="FooterChar"/>
    <w:uiPriority w:val="99"/>
    <w:unhideWhenUsed/>
    <w:rsid w:val="00781D4C"/>
    <w:pPr>
      <w:tabs>
        <w:tab w:val="center" w:pos="4320"/>
        <w:tab w:val="right" w:pos="8640"/>
      </w:tabs>
    </w:pPr>
  </w:style>
  <w:style w:type="character" w:customStyle="1" w:styleId="FooterChar">
    <w:name w:val="Footer Char"/>
    <w:basedOn w:val="DefaultParagraphFont"/>
    <w:link w:val="Footer"/>
    <w:uiPriority w:val="99"/>
    <w:rsid w:val="00781D4C"/>
  </w:style>
  <w:style w:type="paragraph" w:styleId="BalloonText">
    <w:name w:val="Balloon Text"/>
    <w:basedOn w:val="Normal"/>
    <w:link w:val="BalloonTextChar"/>
    <w:uiPriority w:val="99"/>
    <w:semiHidden/>
    <w:unhideWhenUsed/>
    <w:rsid w:val="00781D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1D4C"/>
    <w:rPr>
      <w:rFonts w:ascii="Lucida Grande" w:hAnsi="Lucida Grande" w:cs="Lucida Grande"/>
      <w:sz w:val="18"/>
      <w:szCs w:val="18"/>
    </w:rPr>
  </w:style>
  <w:style w:type="paragraph" w:customStyle="1" w:styleId="arial">
    <w:name w:val="arial"/>
    <w:basedOn w:val="Normal"/>
    <w:rsid w:val="00781D4C"/>
  </w:style>
  <w:style w:type="paragraph" w:customStyle="1" w:styleId="QAIHeading1">
    <w:name w:val="QAI Heading 1"/>
    <w:basedOn w:val="Normal"/>
    <w:autoRedefine/>
    <w:qFormat/>
    <w:rsid w:val="001D6600"/>
    <w:pPr>
      <w:tabs>
        <w:tab w:val="left" w:pos="1400"/>
      </w:tabs>
    </w:pPr>
    <w:rPr>
      <w:rFonts w:ascii="Roboto Black" w:hAnsi="Roboto Black" w:cs="Calibri"/>
      <w:color w:val="FFFFFF" w:themeColor="background1"/>
      <w:sz w:val="48"/>
      <w:szCs w:val="56"/>
    </w:rPr>
  </w:style>
  <w:style w:type="paragraph" w:customStyle="1" w:styleId="QAIHeading2">
    <w:name w:val="QAI Heading 2"/>
    <w:basedOn w:val="Normal"/>
    <w:autoRedefine/>
    <w:qFormat/>
    <w:rsid w:val="00AB16F1"/>
    <w:pPr>
      <w:spacing w:before="240" w:after="240"/>
    </w:pPr>
    <w:rPr>
      <w:rFonts w:ascii="Roboto" w:hAnsi="Roboto" w:cs="Calibri"/>
      <w:b/>
      <w:bCs/>
      <w:color w:val="333333"/>
      <w:sz w:val="32"/>
      <w:szCs w:val="32"/>
    </w:rPr>
  </w:style>
  <w:style w:type="paragraph" w:customStyle="1" w:styleId="MWAWParagraph">
    <w:name w:val="MWAW Paragraph"/>
    <w:basedOn w:val="Normal"/>
    <w:autoRedefine/>
    <w:rsid w:val="00347F04"/>
    <w:pPr>
      <w:spacing w:line="276" w:lineRule="auto"/>
    </w:pPr>
    <w:rPr>
      <w:rFonts w:ascii="Nunito Sans Light" w:hAnsi="Nunito Sans Light"/>
      <w:color w:val="000000" w:themeColor="text1"/>
      <w:sz w:val="19"/>
      <w:szCs w:val="19"/>
    </w:rPr>
  </w:style>
  <w:style w:type="paragraph" w:customStyle="1" w:styleId="QAIHeading3">
    <w:name w:val="QAI Heading 3"/>
    <w:basedOn w:val="Normal"/>
    <w:rsid w:val="00DD14D2"/>
    <w:rPr>
      <w:rFonts w:cs="Calibri"/>
      <w:color w:val="F26222"/>
    </w:rPr>
  </w:style>
  <w:style w:type="character" w:customStyle="1" w:styleId="Heading1Char">
    <w:name w:val="Heading 1 Char"/>
    <w:basedOn w:val="DefaultParagraphFont"/>
    <w:link w:val="Heading1"/>
    <w:uiPriority w:val="9"/>
    <w:rsid w:val="00806925"/>
    <w:rPr>
      <w:rFonts w:ascii="Roboto" w:eastAsiaTheme="majorEastAsia" w:hAnsi="Roboto" w:cstheme="majorBidi"/>
      <w:b/>
      <w:szCs w:val="32"/>
    </w:rPr>
  </w:style>
  <w:style w:type="character" w:customStyle="1" w:styleId="Heading3Char">
    <w:name w:val="Heading 3 Char"/>
    <w:basedOn w:val="DefaultParagraphFont"/>
    <w:link w:val="Heading3"/>
    <w:uiPriority w:val="9"/>
    <w:semiHidden/>
    <w:rsid w:val="00D26DF9"/>
    <w:rPr>
      <w:rFonts w:ascii="Calibri" w:eastAsiaTheme="majorEastAsia" w:hAnsi="Calibri" w:cstheme="majorBidi"/>
    </w:rPr>
  </w:style>
  <w:style w:type="paragraph" w:styleId="NoSpacing">
    <w:name w:val="No Spacing"/>
    <w:uiPriority w:val="1"/>
    <w:qFormat/>
    <w:rsid w:val="00366627"/>
    <w:rPr>
      <w:rFonts w:ascii="Calibri" w:hAnsi="Calibri"/>
    </w:rPr>
  </w:style>
  <w:style w:type="paragraph" w:styleId="ListParagraph">
    <w:name w:val="List Paragraph"/>
    <w:basedOn w:val="Normal"/>
    <w:autoRedefine/>
    <w:uiPriority w:val="34"/>
    <w:qFormat/>
    <w:rsid w:val="006B4071"/>
    <w:pPr>
      <w:numPr>
        <w:numId w:val="9"/>
      </w:numPr>
      <w:tabs>
        <w:tab w:val="left" w:pos="288"/>
      </w:tabs>
      <w:spacing w:after="240"/>
      <w:contextualSpacing/>
    </w:pPr>
    <w:rPr>
      <w:rFonts w:cs="Times New Roman"/>
      <w:lang w:val="en-AU" w:eastAsia="ja-JP"/>
    </w:rPr>
  </w:style>
  <w:style w:type="character" w:customStyle="1" w:styleId="Heading2Char">
    <w:name w:val="Heading 2 Char"/>
    <w:basedOn w:val="DefaultParagraphFont"/>
    <w:link w:val="Heading2"/>
    <w:uiPriority w:val="9"/>
    <w:rsid w:val="00366627"/>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C64A93"/>
    <w:pPr>
      <w:spacing w:before="100" w:beforeAutospacing="1" w:after="100" w:afterAutospacing="1" w:line="240" w:lineRule="auto"/>
    </w:pPr>
    <w:rPr>
      <w:rFonts w:ascii="Times New Roman" w:eastAsia="Times New Roman" w:hAnsi="Times New Roman" w:cs="Times New Roman"/>
      <w:lang w:val="en-AU" w:eastAsia="en-AU"/>
    </w:rPr>
  </w:style>
  <w:style w:type="character" w:styleId="Hyperlink">
    <w:name w:val="Hyperlink"/>
    <w:basedOn w:val="DefaultParagraphFont"/>
    <w:uiPriority w:val="99"/>
    <w:unhideWhenUsed/>
    <w:rsid w:val="00F259AF"/>
    <w:rPr>
      <w:color w:val="0000FF" w:themeColor="hyperlink"/>
      <w:u w:val="single"/>
    </w:rPr>
  </w:style>
  <w:style w:type="paragraph" w:styleId="TOCHeading">
    <w:name w:val="TOC Heading"/>
    <w:basedOn w:val="Heading1"/>
    <w:next w:val="Normal"/>
    <w:uiPriority w:val="39"/>
    <w:unhideWhenUsed/>
    <w:qFormat/>
    <w:rsid w:val="00F259AF"/>
    <w:pPr>
      <w:spacing w:before="240"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F259AF"/>
    <w:pPr>
      <w:tabs>
        <w:tab w:val="right" w:pos="9736"/>
      </w:tabs>
      <w:spacing w:after="100" w:line="240" w:lineRule="auto"/>
    </w:pPr>
    <w:rPr>
      <w:rFonts w:asciiTheme="minorHAnsi" w:hAnsiTheme="minorHAnsi" w:cs="Times New Roman"/>
      <w:lang w:val="en-AU" w:eastAsia="ja-JP"/>
    </w:rPr>
  </w:style>
  <w:style w:type="paragraph" w:styleId="TOC2">
    <w:name w:val="toc 2"/>
    <w:basedOn w:val="Normal"/>
    <w:next w:val="Normal"/>
    <w:autoRedefine/>
    <w:uiPriority w:val="39"/>
    <w:unhideWhenUsed/>
    <w:rsid w:val="00F259AF"/>
    <w:pPr>
      <w:spacing w:after="100" w:line="240" w:lineRule="auto"/>
      <w:ind w:left="240"/>
    </w:pPr>
    <w:rPr>
      <w:rFonts w:asciiTheme="minorHAnsi" w:hAnsiTheme="minorHAnsi" w:cs="Times New Roman"/>
      <w:lang w:val="en-AU" w:eastAsia="ja-JP"/>
    </w:rPr>
  </w:style>
  <w:style w:type="table" w:styleId="TableGrid">
    <w:name w:val="Table Grid"/>
    <w:basedOn w:val="TableNormal"/>
    <w:uiPriority w:val="39"/>
    <w:rsid w:val="00FA70F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E27CC"/>
    <w:pPr>
      <w:spacing w:after="100" w:line="259" w:lineRule="auto"/>
      <w:ind w:left="440"/>
    </w:pPr>
    <w:rPr>
      <w:rFonts w:asciiTheme="minorHAnsi" w:hAnsiTheme="minorHAnsi" w:cs="Times New Roman"/>
      <w:sz w:val="22"/>
      <w:szCs w:val="22"/>
    </w:rPr>
  </w:style>
  <w:style w:type="character" w:styleId="BookTitle">
    <w:name w:val="Book Title"/>
    <w:basedOn w:val="DefaultParagraphFont"/>
    <w:uiPriority w:val="33"/>
    <w:qFormat/>
    <w:rsid w:val="00D765EF"/>
    <w:rPr>
      <w:b/>
      <w:bCs/>
      <w:i/>
      <w:iCs/>
      <w:spacing w:val="5"/>
    </w:rPr>
  </w:style>
  <w:style w:type="paragraph" w:styleId="FootnoteText">
    <w:name w:val="footnote text"/>
    <w:basedOn w:val="Normal"/>
    <w:link w:val="FootnoteTextChar"/>
    <w:uiPriority w:val="99"/>
    <w:semiHidden/>
    <w:unhideWhenUsed/>
    <w:rsid w:val="00283EBE"/>
    <w:pPr>
      <w:spacing w:line="240" w:lineRule="auto"/>
    </w:pPr>
    <w:rPr>
      <w:sz w:val="20"/>
      <w:szCs w:val="20"/>
    </w:rPr>
  </w:style>
  <w:style w:type="character" w:customStyle="1" w:styleId="FootnoteTextChar">
    <w:name w:val="Footnote Text Char"/>
    <w:basedOn w:val="DefaultParagraphFont"/>
    <w:link w:val="FootnoteText"/>
    <w:uiPriority w:val="99"/>
    <w:semiHidden/>
    <w:rsid w:val="00283EBE"/>
    <w:rPr>
      <w:rFonts w:ascii="Source Sans Pro" w:hAnsi="Source Sans Pro"/>
      <w:sz w:val="20"/>
      <w:szCs w:val="20"/>
    </w:rPr>
  </w:style>
  <w:style w:type="character" w:styleId="FootnoteReference">
    <w:name w:val="footnote reference"/>
    <w:basedOn w:val="DefaultParagraphFont"/>
    <w:uiPriority w:val="99"/>
    <w:semiHidden/>
    <w:unhideWhenUsed/>
    <w:rsid w:val="00283EBE"/>
    <w:rPr>
      <w:vertAlign w:val="superscript"/>
    </w:rPr>
  </w:style>
  <w:style w:type="character" w:styleId="UnresolvedMention">
    <w:name w:val="Unresolved Mention"/>
    <w:basedOn w:val="DefaultParagraphFont"/>
    <w:uiPriority w:val="99"/>
    <w:rsid w:val="00324EE3"/>
    <w:rPr>
      <w:color w:val="605E5C"/>
      <w:shd w:val="clear" w:color="auto" w:fill="E1DFDD"/>
    </w:rPr>
  </w:style>
  <w:style w:type="paragraph" w:styleId="BodyText">
    <w:name w:val="Body Text"/>
    <w:basedOn w:val="Normal"/>
    <w:link w:val="BodyTextChar"/>
    <w:uiPriority w:val="1"/>
    <w:qFormat/>
    <w:rsid w:val="00B96EA4"/>
    <w:pPr>
      <w:widowControl w:val="0"/>
      <w:autoSpaceDE w:val="0"/>
      <w:autoSpaceDN w:val="0"/>
      <w:spacing w:line="240" w:lineRule="auto"/>
    </w:pPr>
    <w:rPr>
      <w:rFonts w:ascii="Calibri" w:eastAsia="Calibri" w:hAnsi="Calibri" w:cs="Calibri"/>
      <w:sz w:val="22"/>
      <w:szCs w:val="22"/>
      <w:lang w:val="en-AU"/>
    </w:rPr>
  </w:style>
  <w:style w:type="character" w:customStyle="1" w:styleId="BodyTextChar">
    <w:name w:val="Body Text Char"/>
    <w:basedOn w:val="DefaultParagraphFont"/>
    <w:link w:val="BodyText"/>
    <w:uiPriority w:val="1"/>
    <w:rsid w:val="00B96EA4"/>
    <w:rPr>
      <w:rFonts w:ascii="Calibri" w:eastAsia="Calibri" w:hAnsi="Calibri" w:cs="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www.fedvol.ie/_fileupload/Quality%20%26%20Standards/Additional%20Policies%202018/KARE/Restraint%20Restr" TargetMode="External"/><Relationship Id="rId1" Type="http://schemas.openxmlformats.org/officeDocument/2006/relationships/hyperlink" Target="https://www.dana.org.au/royal-commission-analysing-the-recommendations-on-restrictive-prac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24B067D30BF2499845ACEC545648F0" ma:contentTypeVersion="21" ma:contentTypeDescription="Create a new document." ma:contentTypeScope="" ma:versionID="11c4a9af2ff00d8db5df1b804a505686">
  <xsd:schema xmlns:xsd="http://www.w3.org/2001/XMLSchema" xmlns:xs="http://www.w3.org/2001/XMLSchema" xmlns:p="http://schemas.microsoft.com/office/2006/metadata/properties" xmlns:ns1="http://schemas.microsoft.com/sharepoint/v3" xmlns:ns2="662b4d72-0963-4903-8d1e-908999ea922a" xmlns:ns3="422eb771-ca73-43f7-ae9a-92fcdf6b2d87" targetNamespace="http://schemas.microsoft.com/office/2006/metadata/properties" ma:root="true" ma:fieldsID="2c844e4e6793c1fe8d6323e2e1dfb7d5" ns1:_="" ns2:_="" ns3:_="">
    <xsd:import namespace="http://schemas.microsoft.com/sharepoint/v3"/>
    <xsd:import namespace="662b4d72-0963-4903-8d1e-908999ea922a"/>
    <xsd:import namespace="422eb771-ca73-43f7-ae9a-92fcdf6b2d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element ref="ns2:MediaServiceObjectDetectorVersions" minOccurs="0"/>
                <xsd:element ref="ns2:Commne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b4d72-0963-4903-8d1e-908999ea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ab6623-b492-42e2-a4a2-e207cea2c5e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mmnet" ma:index="27" nillable="true" ma:displayName="Commnet" ma:format="Dropdown" ma:internalName="Commnet">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2eb771-ca73-43f7-ae9a-92fcdf6b2d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9444ad-9253-42c9-be6d-e401742c2274}" ma:internalName="TaxCatchAll" ma:showField="CatchAllData" ma:web="422eb771-ca73-43f7-ae9a-92fcdf6b2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2eb771-ca73-43f7-ae9a-92fcdf6b2d87" xsi:nil="true"/>
    <_ip_UnifiedCompliancePolicyProperties xmlns="http://schemas.microsoft.com/sharepoint/v3" xsi:nil="true"/>
    <SharedWithUsers xmlns="422eb771-ca73-43f7-ae9a-92fcdf6b2d87">
      <UserInfo>
        <DisplayName>Caitlin De Cocq Van Delwijnen</DisplayName>
        <AccountId>42</AccountId>
        <AccountType/>
      </UserInfo>
    </SharedWithUsers>
    <lcf76f155ced4ddcb4097134ff3c332f xmlns="662b4d72-0963-4903-8d1e-908999ea922a">
      <Terms xmlns="http://schemas.microsoft.com/office/infopath/2007/PartnerControls"/>
    </lcf76f155ced4ddcb4097134ff3c332f>
    <Commnet xmlns="662b4d72-0963-4903-8d1e-908999ea922a" xsi:nil="true"/>
  </documentManagement>
</p:properties>
</file>

<file path=customXml/itemProps1.xml><?xml version="1.0" encoding="utf-8"?>
<ds:datastoreItem xmlns:ds="http://schemas.openxmlformats.org/officeDocument/2006/customXml" ds:itemID="{08037151-AC10-4D51-AFBD-09B9FEB126E3}">
  <ds:schemaRefs>
    <ds:schemaRef ds:uri="http://schemas.microsoft.com/sharepoint/v3/contenttype/forms"/>
  </ds:schemaRefs>
</ds:datastoreItem>
</file>

<file path=customXml/itemProps2.xml><?xml version="1.0" encoding="utf-8"?>
<ds:datastoreItem xmlns:ds="http://schemas.openxmlformats.org/officeDocument/2006/customXml" ds:itemID="{73DC5E1F-6CA8-465A-945B-810598CDD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b4d72-0963-4903-8d1e-908999ea922a"/>
    <ds:schemaRef ds:uri="422eb771-ca73-43f7-ae9a-92fcdf6b2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4A3F1D-01C3-499D-93C5-B7EA84808C51}">
  <ds:schemaRefs>
    <ds:schemaRef ds:uri="http://schemas.openxmlformats.org/officeDocument/2006/bibliography"/>
  </ds:schemaRefs>
</ds:datastoreItem>
</file>

<file path=customXml/itemProps4.xml><?xml version="1.0" encoding="utf-8"?>
<ds:datastoreItem xmlns:ds="http://schemas.openxmlformats.org/officeDocument/2006/customXml" ds:itemID="{2420A5F4-A659-4E3C-802A-1593A91C40F9}">
  <ds:schemaRefs>
    <ds:schemaRef ds:uri="http://schemas.microsoft.com/office/2006/metadata/properties"/>
    <ds:schemaRef ds:uri="http://schemas.microsoft.com/office/infopath/2007/PartnerControls"/>
    <ds:schemaRef ds:uri="http://schemas.microsoft.com/sharepoint/v3"/>
    <ds:schemaRef ds:uri="422eb771-ca73-43f7-ae9a-92fcdf6b2d87"/>
    <ds:schemaRef ds:uri="662b4d72-0963-4903-8d1e-908999ea92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4713</Words>
  <Characters>26869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31519</CharactersWithSpaces>
  <SharedDoc>false</SharedDoc>
  <HLinks>
    <vt:vector size="30" baseType="variant">
      <vt:variant>
        <vt:i4>1376318</vt:i4>
      </vt:variant>
      <vt:variant>
        <vt:i4>14</vt:i4>
      </vt:variant>
      <vt:variant>
        <vt:i4>0</vt:i4>
      </vt:variant>
      <vt:variant>
        <vt:i4>5</vt:i4>
      </vt:variant>
      <vt:variant>
        <vt:lpwstr/>
      </vt:variant>
      <vt:variant>
        <vt:lpwstr>_Toc130476834</vt:lpwstr>
      </vt:variant>
      <vt:variant>
        <vt:i4>1310782</vt:i4>
      </vt:variant>
      <vt:variant>
        <vt:i4>8</vt:i4>
      </vt:variant>
      <vt:variant>
        <vt:i4>0</vt:i4>
      </vt:variant>
      <vt:variant>
        <vt:i4>5</vt:i4>
      </vt:variant>
      <vt:variant>
        <vt:lpwstr/>
      </vt:variant>
      <vt:variant>
        <vt:lpwstr>_Toc130476828</vt:lpwstr>
      </vt:variant>
      <vt:variant>
        <vt:i4>1310782</vt:i4>
      </vt:variant>
      <vt:variant>
        <vt:i4>2</vt:i4>
      </vt:variant>
      <vt:variant>
        <vt:i4>0</vt:i4>
      </vt:variant>
      <vt:variant>
        <vt:i4>5</vt:i4>
      </vt:variant>
      <vt:variant>
        <vt:lpwstr/>
      </vt:variant>
      <vt:variant>
        <vt:lpwstr>_Toc130476827</vt:lpwstr>
      </vt:variant>
      <vt:variant>
        <vt:i4>3604502</vt:i4>
      </vt:variant>
      <vt:variant>
        <vt:i4>3</vt:i4>
      </vt:variant>
      <vt:variant>
        <vt:i4>0</vt:i4>
      </vt:variant>
      <vt:variant>
        <vt:i4>5</vt:i4>
      </vt:variant>
      <vt:variant>
        <vt:lpwstr>http://www.fedvol.ie/_fileupload/Quality %26 Standards/Additional Policies 2018/KARE/Restraint Restr</vt:lpwstr>
      </vt:variant>
      <vt:variant>
        <vt:lpwstr/>
      </vt:variant>
      <vt:variant>
        <vt:i4>983118</vt:i4>
      </vt:variant>
      <vt:variant>
        <vt:i4>0</vt:i4>
      </vt:variant>
      <vt:variant>
        <vt:i4>0</vt:i4>
      </vt:variant>
      <vt:variant>
        <vt:i4>5</vt:i4>
      </vt:variant>
      <vt:variant>
        <vt:lpwstr>https://www.dana.org.au/royal-commission-analysing-the-recommendations-on-restrictive-practices/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Knowles</dc:creator>
  <cp:keywords/>
  <dc:description/>
  <cp:lastModifiedBy>Sophie Wiggans</cp:lastModifiedBy>
  <cp:revision>2</cp:revision>
  <cp:lastPrinted>2024-07-05T21:18:00Z</cp:lastPrinted>
  <dcterms:created xsi:type="dcterms:W3CDTF">2025-08-04T02:02:00Z</dcterms:created>
  <dcterms:modified xsi:type="dcterms:W3CDTF">2025-08-04T02:02:00Z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0x0101000724B067D30BF2499845ACEC545648F0</vt:lpwstr>
  </property>
</Properties>
</file>