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94A73" w14:textId="4483B8BD" w:rsidR="00D13B4F" w:rsidRPr="008A579E" w:rsidRDefault="00A82340" w:rsidP="002144C3">
      <w:pPr>
        <w:spacing w:after="240" w:line="276" w:lineRule="auto"/>
        <w:rPr>
          <w:rFonts w:eastAsia="Arial" w:cstheme="minorHAnsi"/>
        </w:rPr>
      </w:pPr>
      <w:r>
        <w:rPr>
          <w:rFonts w:eastAsia="Arial" w:cstheme="minorHAnsi"/>
        </w:rPr>
        <w:t>16 May 2025</w:t>
      </w:r>
    </w:p>
    <w:p w14:paraId="6DDC35D2" w14:textId="77777777" w:rsidR="00FB5C98" w:rsidRDefault="00FB5C98" w:rsidP="002144C3">
      <w:pPr>
        <w:pStyle w:val="NoSpacing"/>
        <w:spacing w:after="240" w:line="276" w:lineRule="auto"/>
      </w:pPr>
    </w:p>
    <w:p w14:paraId="72F7F1AE" w14:textId="7F16AE1C" w:rsidR="00D13B4F" w:rsidRDefault="00A82340" w:rsidP="002144C3">
      <w:pPr>
        <w:pStyle w:val="NoSpacing"/>
        <w:spacing w:after="240" w:line="276" w:lineRule="auto"/>
      </w:pPr>
      <w:r>
        <w:t>Robyn Rosengrave</w:t>
      </w:r>
    </w:p>
    <w:p w14:paraId="584A0E57" w14:textId="270F424F" w:rsidR="00A82340" w:rsidRDefault="00A82340" w:rsidP="002144C3">
      <w:pPr>
        <w:pStyle w:val="NoSpacing"/>
        <w:spacing w:after="240" w:line="276" w:lineRule="auto"/>
      </w:pPr>
      <w:r>
        <w:t>Executive Director, Behaviour</w:t>
      </w:r>
    </w:p>
    <w:p w14:paraId="2CFF9866" w14:textId="246F1537" w:rsidR="00D13B4F" w:rsidRPr="000F448C" w:rsidRDefault="00A82340" w:rsidP="002144C3">
      <w:pPr>
        <w:pStyle w:val="NoSpacing"/>
        <w:spacing w:after="240" w:line="276" w:lineRule="auto"/>
      </w:pPr>
      <w:r>
        <w:t>De</w:t>
      </w:r>
      <w:r w:rsidR="00925D82">
        <w:t>partment of Education</w:t>
      </w:r>
    </w:p>
    <w:p w14:paraId="3AF6A7FA" w14:textId="3BCE3D97" w:rsidR="00D13B4F" w:rsidRPr="008A579E" w:rsidRDefault="00D13B4F" w:rsidP="002144C3">
      <w:pPr>
        <w:pStyle w:val="Heading1"/>
        <w:spacing w:after="240" w:line="276" w:lineRule="auto"/>
        <w:rPr>
          <w:color w:val="000000"/>
          <w:lang w:eastAsia="en-AU"/>
        </w:rPr>
      </w:pPr>
      <w:r>
        <w:t xml:space="preserve">Delivered via </w:t>
      </w:r>
      <w:r w:rsidR="0040076E">
        <w:t>email:</w:t>
      </w:r>
      <w:r w:rsidR="00925D82">
        <w:t xml:space="preserve"> </w:t>
      </w:r>
      <w:hyperlink r:id="rId11" w:history="1">
        <w:r w:rsidR="00925D82" w:rsidRPr="00925D82">
          <w:rPr>
            <w:rStyle w:val="Hyperlink"/>
            <w:b w:val="0"/>
            <w:bCs/>
          </w:rPr>
          <w:t>robyn.rosengrave@qed.qld.gov.au</w:t>
        </w:r>
      </w:hyperlink>
      <w:r w:rsidR="00925D82">
        <w:t xml:space="preserve"> </w:t>
      </w:r>
      <w:r w:rsidRPr="008A579E">
        <w:t xml:space="preserve"> </w:t>
      </w:r>
    </w:p>
    <w:p w14:paraId="721E3F8A" w14:textId="77777777" w:rsidR="00FB5C98" w:rsidRDefault="00FB5C98" w:rsidP="002144C3">
      <w:pPr>
        <w:spacing w:after="240" w:line="276" w:lineRule="auto"/>
      </w:pPr>
    </w:p>
    <w:p w14:paraId="20858213" w14:textId="7259A422" w:rsidR="00D13B4F" w:rsidRPr="00F61299" w:rsidRDefault="00D13B4F" w:rsidP="002144C3">
      <w:pPr>
        <w:spacing w:after="240" w:line="276" w:lineRule="auto"/>
      </w:pPr>
      <w:r w:rsidRPr="00F61299">
        <w:t>Dear</w:t>
      </w:r>
      <w:r w:rsidR="00F61299" w:rsidRPr="00F61299">
        <w:t xml:space="preserve"> </w:t>
      </w:r>
      <w:r w:rsidR="00A2576D">
        <w:t>Ms Rosengrave</w:t>
      </w:r>
      <w:r w:rsidRPr="00F61299">
        <w:t xml:space="preserve">, </w:t>
      </w:r>
    </w:p>
    <w:p w14:paraId="249DD03A" w14:textId="4182D715" w:rsidR="00CD132C" w:rsidRPr="00F61299" w:rsidRDefault="00A2576D" w:rsidP="002144C3">
      <w:pPr>
        <w:pStyle w:val="PlainText"/>
        <w:spacing w:after="240" w:line="276" w:lineRule="auto"/>
        <w:rPr>
          <w:b/>
          <w:bCs/>
          <w:sz w:val="24"/>
          <w:szCs w:val="24"/>
        </w:rPr>
      </w:pPr>
      <w:r>
        <w:rPr>
          <w:b/>
          <w:bCs/>
          <w:sz w:val="24"/>
          <w:szCs w:val="24"/>
        </w:rPr>
        <w:t>Restrictive Practices Procedure Review</w:t>
      </w:r>
    </w:p>
    <w:p w14:paraId="01D68CEC" w14:textId="6D1E7930" w:rsidR="00E75C54" w:rsidRDefault="00E75C54" w:rsidP="002144C3">
      <w:pPr>
        <w:pStyle w:val="PlainText"/>
        <w:spacing w:after="240" w:line="276" w:lineRule="auto"/>
        <w:rPr>
          <w:sz w:val="24"/>
          <w:szCs w:val="24"/>
        </w:rPr>
      </w:pPr>
      <w:r>
        <w:rPr>
          <w:sz w:val="24"/>
          <w:szCs w:val="24"/>
        </w:rPr>
        <w:t>Thank you for the opportunity to provide feedback on the Department</w:t>
      </w:r>
      <w:r w:rsidR="00610DC0">
        <w:rPr>
          <w:sz w:val="24"/>
          <w:szCs w:val="24"/>
        </w:rPr>
        <w:t xml:space="preserve"> of Education</w:t>
      </w:r>
      <w:r>
        <w:rPr>
          <w:sz w:val="24"/>
          <w:szCs w:val="24"/>
        </w:rPr>
        <w:t xml:space="preserve">’s Restrictive Practices Procedure </w:t>
      </w:r>
      <w:r w:rsidR="00610DC0">
        <w:rPr>
          <w:sz w:val="24"/>
          <w:szCs w:val="24"/>
        </w:rPr>
        <w:t>R</w:t>
      </w:r>
      <w:r>
        <w:rPr>
          <w:sz w:val="24"/>
          <w:szCs w:val="24"/>
        </w:rPr>
        <w:t>eview.</w:t>
      </w:r>
    </w:p>
    <w:p w14:paraId="0DAA7BB1" w14:textId="7E827F59" w:rsidR="00CD132C" w:rsidRDefault="001610C1" w:rsidP="002144C3">
      <w:pPr>
        <w:pStyle w:val="PlainText"/>
        <w:spacing w:after="240" w:line="276" w:lineRule="auto"/>
        <w:rPr>
          <w:sz w:val="24"/>
          <w:szCs w:val="24"/>
        </w:rPr>
      </w:pPr>
      <w:r>
        <w:rPr>
          <w:sz w:val="24"/>
          <w:szCs w:val="24"/>
        </w:rPr>
        <w:t>Queensland Adv</w:t>
      </w:r>
      <w:r w:rsidR="00692A2B">
        <w:rPr>
          <w:sz w:val="24"/>
          <w:szCs w:val="24"/>
        </w:rPr>
        <w:t>ocacy for Inclusion (QAI)</w:t>
      </w:r>
      <w:r w:rsidR="00610DC0">
        <w:rPr>
          <w:sz w:val="24"/>
          <w:szCs w:val="24"/>
        </w:rPr>
        <w:t xml:space="preserve"> </w:t>
      </w:r>
      <w:r w:rsidR="00F048C7" w:rsidRPr="00F048C7">
        <w:rPr>
          <w:sz w:val="24"/>
          <w:szCs w:val="24"/>
        </w:rPr>
        <w:t xml:space="preserve">is a Disabled Peoples Organisation. We are an independent, community-based advocacy organisation and community legal service that provides individual and systems advocacy for people with disability. Our purpose is to advocate for the protection and advancement of the needs, rights, and lives of people with disability in Queensland. QAI’s Management Committee is comprised of </w:t>
      </w:r>
      <w:proofErr w:type="gramStart"/>
      <w:r w:rsidR="00F048C7" w:rsidRPr="00F048C7">
        <w:rPr>
          <w:sz w:val="24"/>
          <w:szCs w:val="24"/>
        </w:rPr>
        <w:t>a majority of</w:t>
      </w:r>
      <w:proofErr w:type="gramEnd"/>
      <w:r w:rsidR="00F048C7" w:rsidRPr="00F048C7">
        <w:rPr>
          <w:sz w:val="24"/>
          <w:szCs w:val="24"/>
        </w:rPr>
        <w:t xml:space="preserve"> persons with disability, whose wisdom and lived experience guides our work and values.</w:t>
      </w:r>
    </w:p>
    <w:p w14:paraId="193830B2" w14:textId="4E41F985" w:rsidR="00DD2BBC" w:rsidRDefault="007B67BC" w:rsidP="00DD2BBC">
      <w:pPr>
        <w:spacing w:before="240" w:line="276" w:lineRule="auto"/>
      </w:pPr>
      <w:r w:rsidRPr="007B67BC">
        <w:t xml:space="preserve">Restrictive Practices are disproportionately </w:t>
      </w:r>
      <w:r w:rsidR="00381773">
        <w:t>applied to</w:t>
      </w:r>
      <w:r w:rsidRPr="007B67BC">
        <w:t xml:space="preserve"> people with disability, implicating </w:t>
      </w:r>
      <w:r w:rsidR="00E87255">
        <w:t xml:space="preserve">the </w:t>
      </w:r>
      <w:r w:rsidR="00E87255" w:rsidRPr="00F42A15">
        <w:t>human rights</w:t>
      </w:r>
      <w:r w:rsidR="00E87255">
        <w:t xml:space="preserve"> </w:t>
      </w:r>
      <w:r w:rsidR="00E87255" w:rsidRPr="00F42A15">
        <w:t>of a</w:t>
      </w:r>
      <w:r w:rsidR="001C0121">
        <w:t>n already</w:t>
      </w:r>
      <w:r w:rsidR="00E87255" w:rsidRPr="00F42A15">
        <w:t xml:space="preserve"> highly disempowered group in our society. </w:t>
      </w:r>
      <w:r w:rsidR="004A6A2F">
        <w:t>Restrictive Practices</w:t>
      </w:r>
      <w:r w:rsidR="00DD2BBC">
        <w:t xml:space="preserve"> are u</w:t>
      </w:r>
      <w:r w:rsidR="00DD2BBC" w:rsidRPr="00820457">
        <w:t>sed as a form of behaviour control, applied to individuals considered to be exhibiting ‘behaviours of concern</w:t>
      </w:r>
      <w:r w:rsidR="00DD2BBC">
        <w:t>.</w:t>
      </w:r>
      <w:r w:rsidR="00DD2BBC" w:rsidRPr="00820457">
        <w:t xml:space="preserve">’ There are numerous issues with this, not least the assumption that the problem lies with the individual rather than </w:t>
      </w:r>
      <w:r w:rsidR="00DD2BBC">
        <w:t>factors within their environment and that</w:t>
      </w:r>
      <w:r w:rsidR="00DD2BBC" w:rsidRPr="00820457">
        <w:t xml:space="preserve"> the solution </w:t>
      </w:r>
      <w:r w:rsidR="005F2A98">
        <w:t>is to</w:t>
      </w:r>
      <w:r w:rsidR="00DD2BBC" w:rsidRPr="00820457">
        <w:t xml:space="preserve"> restrict personal freedoms </w:t>
      </w:r>
      <w:r w:rsidR="005F2A98">
        <w:t xml:space="preserve">rather than implementing </w:t>
      </w:r>
      <w:r w:rsidR="00DD2BBC" w:rsidRPr="00820457">
        <w:t xml:space="preserve">structural </w:t>
      </w:r>
      <w:r w:rsidR="00ED220D">
        <w:t xml:space="preserve">or environmental </w:t>
      </w:r>
      <w:r w:rsidR="00DD2BBC" w:rsidRPr="00820457">
        <w:t>change</w:t>
      </w:r>
      <w:r w:rsidR="00210062">
        <w:t>s</w:t>
      </w:r>
      <w:r w:rsidR="00DD2BBC" w:rsidRPr="00820457">
        <w:t>.</w:t>
      </w:r>
    </w:p>
    <w:p w14:paraId="7666E280" w14:textId="2A45D4F1" w:rsidR="00626A81" w:rsidRDefault="00626A81" w:rsidP="00626A81">
      <w:pPr>
        <w:pStyle w:val="PlainText"/>
        <w:spacing w:before="240" w:after="240" w:line="276" w:lineRule="auto"/>
        <w:rPr>
          <w:sz w:val="24"/>
          <w:szCs w:val="24"/>
        </w:rPr>
      </w:pPr>
      <w:r>
        <w:rPr>
          <w:sz w:val="24"/>
          <w:szCs w:val="24"/>
        </w:rPr>
        <w:t xml:space="preserve">Since 2020, QAI has been funded by the Department of Education to deliver </w:t>
      </w:r>
      <w:r w:rsidR="4BB238C2" w:rsidRPr="559C6274">
        <w:rPr>
          <w:sz w:val="24"/>
          <w:szCs w:val="24"/>
        </w:rPr>
        <w:t xml:space="preserve">independent </w:t>
      </w:r>
      <w:r w:rsidR="4BB238C2" w:rsidRPr="528A63DA">
        <w:rPr>
          <w:sz w:val="24"/>
          <w:szCs w:val="24"/>
        </w:rPr>
        <w:t>disability</w:t>
      </w:r>
      <w:r>
        <w:rPr>
          <w:sz w:val="24"/>
          <w:szCs w:val="24"/>
        </w:rPr>
        <w:t xml:space="preserve"> advocacy services to children and young people with disability enrolled in Queensland </w:t>
      </w:r>
      <w:r w:rsidR="001A10B1">
        <w:rPr>
          <w:sz w:val="24"/>
          <w:szCs w:val="24"/>
        </w:rPr>
        <w:t>s</w:t>
      </w:r>
      <w:r>
        <w:rPr>
          <w:sz w:val="24"/>
          <w:szCs w:val="24"/>
        </w:rPr>
        <w:t xml:space="preserve">tate </w:t>
      </w:r>
      <w:r w:rsidR="001A10B1">
        <w:rPr>
          <w:sz w:val="24"/>
          <w:szCs w:val="24"/>
        </w:rPr>
        <w:t>s</w:t>
      </w:r>
      <w:r>
        <w:rPr>
          <w:sz w:val="24"/>
          <w:szCs w:val="24"/>
        </w:rPr>
        <w:t>chools. We have advocated for children who have been locked in school cupboards, separated from their peers or physically manhandled, all with little regulation and all without independent oversight.</w:t>
      </w:r>
    </w:p>
    <w:p w14:paraId="0C048A37" w14:textId="575AB4A9" w:rsidR="004141AD" w:rsidRDefault="00441BBB" w:rsidP="00626A81">
      <w:pPr>
        <w:pStyle w:val="PlainText"/>
        <w:spacing w:before="240" w:after="240" w:line="276" w:lineRule="auto"/>
        <w:rPr>
          <w:sz w:val="24"/>
          <w:szCs w:val="24"/>
        </w:rPr>
      </w:pPr>
      <w:r>
        <w:rPr>
          <w:sz w:val="24"/>
          <w:szCs w:val="24"/>
        </w:rPr>
        <w:t xml:space="preserve">We are generally pleased to see clearer guidance regarding the use of </w:t>
      </w:r>
      <w:r w:rsidRPr="00743E38">
        <w:rPr>
          <w:sz w:val="24"/>
          <w:szCs w:val="24"/>
        </w:rPr>
        <w:t xml:space="preserve">Restrictive Practices in Queensland state schools </w:t>
      </w:r>
      <w:r w:rsidR="00892F46">
        <w:rPr>
          <w:sz w:val="24"/>
          <w:szCs w:val="24"/>
        </w:rPr>
        <w:t>provided</w:t>
      </w:r>
      <w:r w:rsidR="00743E38" w:rsidRPr="00743E38">
        <w:rPr>
          <w:sz w:val="24"/>
          <w:szCs w:val="24"/>
        </w:rPr>
        <w:t xml:space="preserve"> in the consultation documents.</w:t>
      </w:r>
      <w:r w:rsidR="00D55176">
        <w:rPr>
          <w:sz w:val="24"/>
          <w:szCs w:val="24"/>
        </w:rPr>
        <w:t xml:space="preserve"> The decision-making trees </w:t>
      </w:r>
      <w:r w:rsidR="00D55176">
        <w:rPr>
          <w:sz w:val="24"/>
          <w:szCs w:val="24"/>
        </w:rPr>
        <w:lastRenderedPageBreak/>
        <w:t xml:space="preserve">are </w:t>
      </w:r>
      <w:proofErr w:type="gramStart"/>
      <w:r w:rsidR="00D55176">
        <w:rPr>
          <w:sz w:val="24"/>
          <w:szCs w:val="24"/>
        </w:rPr>
        <w:t>helpful</w:t>
      </w:r>
      <w:proofErr w:type="gramEnd"/>
      <w:r w:rsidR="00D55176">
        <w:rPr>
          <w:sz w:val="24"/>
          <w:szCs w:val="24"/>
        </w:rPr>
        <w:t xml:space="preserve"> and the language used is generally very clear and comprehensible.</w:t>
      </w:r>
      <w:r w:rsidR="00743E38" w:rsidRPr="00743E38">
        <w:rPr>
          <w:sz w:val="24"/>
          <w:szCs w:val="24"/>
        </w:rPr>
        <w:t xml:space="preserve"> We particularly welcome the inclusion of a student’s perspective in Restrictive Practice Focused Reviews. </w:t>
      </w:r>
    </w:p>
    <w:p w14:paraId="284DB133" w14:textId="02DC5EEC" w:rsidR="00321A90" w:rsidRDefault="00743E38" w:rsidP="00626A81">
      <w:pPr>
        <w:pStyle w:val="PlainText"/>
        <w:spacing w:before="240" w:after="240" w:line="276" w:lineRule="auto"/>
        <w:rPr>
          <w:sz w:val="24"/>
          <w:szCs w:val="24"/>
        </w:rPr>
      </w:pPr>
      <w:r w:rsidRPr="00743E38">
        <w:rPr>
          <w:sz w:val="24"/>
          <w:szCs w:val="24"/>
        </w:rPr>
        <w:t>However, we remain</w:t>
      </w:r>
      <w:r>
        <w:rPr>
          <w:sz w:val="24"/>
          <w:szCs w:val="24"/>
        </w:rPr>
        <w:t xml:space="preserve"> concerned about the</w:t>
      </w:r>
      <w:r w:rsidR="00AE72FF">
        <w:rPr>
          <w:sz w:val="24"/>
          <w:szCs w:val="24"/>
        </w:rPr>
        <w:t xml:space="preserve"> overall</w:t>
      </w:r>
      <w:r>
        <w:rPr>
          <w:sz w:val="24"/>
          <w:szCs w:val="24"/>
        </w:rPr>
        <w:t xml:space="preserve"> lack of </w:t>
      </w:r>
      <w:r w:rsidR="00AE72FF">
        <w:rPr>
          <w:sz w:val="24"/>
          <w:szCs w:val="24"/>
        </w:rPr>
        <w:t>oversig</w:t>
      </w:r>
      <w:r w:rsidR="00F93C2F">
        <w:rPr>
          <w:sz w:val="24"/>
          <w:szCs w:val="24"/>
        </w:rPr>
        <w:t xml:space="preserve">ht and accountability of the use of Restrictive Practices in Queensland </w:t>
      </w:r>
      <w:r w:rsidR="004325D3">
        <w:rPr>
          <w:sz w:val="24"/>
          <w:szCs w:val="24"/>
        </w:rPr>
        <w:t>S</w:t>
      </w:r>
      <w:r w:rsidR="00F93C2F">
        <w:rPr>
          <w:sz w:val="24"/>
          <w:szCs w:val="24"/>
        </w:rPr>
        <w:t xml:space="preserve">tate </w:t>
      </w:r>
      <w:r w:rsidR="004325D3">
        <w:rPr>
          <w:sz w:val="24"/>
          <w:szCs w:val="24"/>
        </w:rPr>
        <w:t>S</w:t>
      </w:r>
      <w:r w:rsidR="00F93C2F">
        <w:rPr>
          <w:sz w:val="24"/>
          <w:szCs w:val="24"/>
        </w:rPr>
        <w:t>chools</w:t>
      </w:r>
      <w:r w:rsidR="000671A2">
        <w:rPr>
          <w:sz w:val="24"/>
          <w:szCs w:val="24"/>
        </w:rPr>
        <w:t xml:space="preserve">. QAI’s </w:t>
      </w:r>
      <w:r w:rsidR="001E0497">
        <w:rPr>
          <w:sz w:val="24"/>
          <w:szCs w:val="24"/>
        </w:rPr>
        <w:t>advocate</w:t>
      </w:r>
      <w:r w:rsidR="000671A2">
        <w:rPr>
          <w:sz w:val="24"/>
          <w:szCs w:val="24"/>
        </w:rPr>
        <w:t>s</w:t>
      </w:r>
      <w:r w:rsidR="001E0497">
        <w:rPr>
          <w:sz w:val="24"/>
          <w:szCs w:val="24"/>
        </w:rPr>
        <w:t xml:space="preserve"> for </w:t>
      </w:r>
      <w:r w:rsidR="00D0448A">
        <w:rPr>
          <w:sz w:val="24"/>
          <w:szCs w:val="24"/>
        </w:rPr>
        <w:t xml:space="preserve">uniform regulation </w:t>
      </w:r>
      <w:r w:rsidR="00181676">
        <w:rPr>
          <w:sz w:val="24"/>
          <w:szCs w:val="24"/>
        </w:rPr>
        <w:t xml:space="preserve">of the use of Restrictive Practices on people with disability </w:t>
      </w:r>
      <w:r w:rsidR="00D0448A">
        <w:rPr>
          <w:sz w:val="24"/>
          <w:szCs w:val="24"/>
        </w:rPr>
        <w:t xml:space="preserve">and </w:t>
      </w:r>
      <w:r w:rsidR="001E0497">
        <w:rPr>
          <w:sz w:val="24"/>
          <w:szCs w:val="24"/>
        </w:rPr>
        <w:t>the implementation of a Senior Practitioner model of authorisation</w:t>
      </w:r>
      <w:r w:rsidR="000671A2">
        <w:rPr>
          <w:sz w:val="24"/>
          <w:szCs w:val="24"/>
        </w:rPr>
        <w:t xml:space="preserve"> </w:t>
      </w:r>
      <w:r w:rsidR="0078672B">
        <w:rPr>
          <w:sz w:val="24"/>
          <w:szCs w:val="24"/>
        </w:rPr>
        <w:t>for</w:t>
      </w:r>
      <w:r w:rsidR="000671A2">
        <w:rPr>
          <w:sz w:val="24"/>
          <w:szCs w:val="24"/>
        </w:rPr>
        <w:t xml:space="preserve"> Restrictive Practices</w:t>
      </w:r>
      <w:r w:rsidR="0078672B">
        <w:rPr>
          <w:sz w:val="24"/>
          <w:szCs w:val="24"/>
        </w:rPr>
        <w:t xml:space="preserve"> used in any setting</w:t>
      </w:r>
      <w:r w:rsidR="00752F31">
        <w:rPr>
          <w:sz w:val="24"/>
          <w:szCs w:val="24"/>
        </w:rPr>
        <w:t>, including educational settings</w:t>
      </w:r>
      <w:r w:rsidR="001E0497">
        <w:rPr>
          <w:sz w:val="24"/>
          <w:szCs w:val="24"/>
        </w:rPr>
        <w:t xml:space="preserve">, as recommended by the </w:t>
      </w:r>
      <w:r w:rsidR="00BB15F6">
        <w:rPr>
          <w:sz w:val="24"/>
          <w:szCs w:val="24"/>
        </w:rPr>
        <w:t>Queensland Public Advocate</w:t>
      </w:r>
      <w:r w:rsidR="00BB15F6">
        <w:rPr>
          <w:rStyle w:val="FootnoteReference"/>
          <w:sz w:val="24"/>
          <w:szCs w:val="24"/>
        </w:rPr>
        <w:footnoteReference w:id="2"/>
      </w:r>
      <w:r w:rsidR="00BB15F6">
        <w:rPr>
          <w:sz w:val="24"/>
          <w:szCs w:val="24"/>
        </w:rPr>
        <w:t xml:space="preserve"> and the </w:t>
      </w:r>
      <w:r w:rsidR="001E0497">
        <w:rPr>
          <w:sz w:val="24"/>
          <w:szCs w:val="24"/>
        </w:rPr>
        <w:t>Disability Royal Commission.</w:t>
      </w:r>
      <w:r w:rsidR="00EE5E9C">
        <w:rPr>
          <w:rStyle w:val="FootnoteReference"/>
          <w:sz w:val="24"/>
          <w:szCs w:val="24"/>
        </w:rPr>
        <w:footnoteReference w:id="3"/>
      </w:r>
    </w:p>
    <w:p w14:paraId="26EC2E6B" w14:textId="69610E7F" w:rsidR="00DF3A1A" w:rsidRDefault="00DF3A1A" w:rsidP="00DF3A1A">
      <w:pPr>
        <w:spacing w:before="240" w:line="276" w:lineRule="auto"/>
      </w:pPr>
      <w:r>
        <w:t>In QAI’s view, any procedure concerning the use of Restrictive Practices should contain the following elements:</w:t>
      </w:r>
    </w:p>
    <w:p w14:paraId="4DBD920A" w14:textId="77777777" w:rsidR="00DF3A1A" w:rsidRDefault="00DF3A1A" w:rsidP="00F775AD">
      <w:pPr>
        <w:pStyle w:val="ListParagraph"/>
        <w:numPr>
          <w:ilvl w:val="0"/>
          <w:numId w:val="6"/>
        </w:numPr>
      </w:pPr>
      <w:r>
        <w:t>Measures that aim to eliminate, not just reduce, the use of Restrictive Practices.</w:t>
      </w:r>
    </w:p>
    <w:p w14:paraId="7C987B4C" w14:textId="77777777" w:rsidR="00DF3A1A" w:rsidRDefault="00DF3A1A" w:rsidP="00F775AD">
      <w:pPr>
        <w:pStyle w:val="ListParagraph"/>
        <w:numPr>
          <w:ilvl w:val="0"/>
          <w:numId w:val="6"/>
        </w:numPr>
      </w:pPr>
      <w:r>
        <w:t>Authorisation processes that are applicable to all people with disability, not just people with certain diagnoses.</w:t>
      </w:r>
    </w:p>
    <w:p w14:paraId="00BF0182" w14:textId="77777777" w:rsidR="00DF3A1A" w:rsidRDefault="00DF3A1A" w:rsidP="00F775AD">
      <w:pPr>
        <w:pStyle w:val="ListParagraph"/>
        <w:numPr>
          <w:ilvl w:val="0"/>
          <w:numId w:val="6"/>
        </w:numPr>
      </w:pPr>
      <w:r>
        <w:t>Explicit statements that R</w:t>
      </w:r>
      <w:r w:rsidRPr="002F559F">
        <w:t xml:space="preserve">estrictive </w:t>
      </w:r>
      <w:r>
        <w:t>P</w:t>
      </w:r>
      <w:r w:rsidRPr="002F559F">
        <w:t xml:space="preserve">ractices </w:t>
      </w:r>
      <w:r>
        <w:t>should</w:t>
      </w:r>
      <w:r w:rsidRPr="002F559F">
        <w:t xml:space="preserve"> only be used as a last resort, in response to a </w:t>
      </w:r>
      <w:r w:rsidRPr="00D4578B">
        <w:rPr>
          <w:i/>
          <w:iCs/>
        </w:rPr>
        <w:t>serious</w:t>
      </w:r>
      <w:r w:rsidRPr="002F559F">
        <w:t xml:space="preserve"> risk of harm to a person with disability or others</w:t>
      </w:r>
      <w:r>
        <w:t>.</w:t>
      </w:r>
    </w:p>
    <w:p w14:paraId="3AA9851C" w14:textId="7CD8C447" w:rsidR="00DF3A1A" w:rsidRDefault="00DF3A1A" w:rsidP="00F775AD">
      <w:pPr>
        <w:pStyle w:val="ListParagraph"/>
        <w:numPr>
          <w:ilvl w:val="0"/>
          <w:numId w:val="6"/>
        </w:numPr>
      </w:pPr>
      <w:r>
        <w:t>Requirements that steps are always taken to understand the person and the various factors causing the behaviour of concern.</w:t>
      </w:r>
    </w:p>
    <w:p w14:paraId="14645573" w14:textId="193C2F92" w:rsidR="00DF3A1A" w:rsidRDefault="00DF3A1A" w:rsidP="00F775AD">
      <w:pPr>
        <w:pStyle w:val="ListParagraph"/>
        <w:numPr>
          <w:ilvl w:val="0"/>
          <w:numId w:val="6"/>
        </w:numPr>
      </w:pPr>
      <w:r>
        <w:t>Robust authorisation processes that ensure decision-makers are</w:t>
      </w:r>
      <w:r w:rsidRPr="00AF5D4C">
        <w:t xml:space="preserve"> </w:t>
      </w:r>
      <w:r>
        <w:t>sufficiently qualified, skilled and experienced and who work alongside people with lived experience of disability and Restrictive Practices</w:t>
      </w:r>
      <w:r w:rsidR="00FE2939">
        <w:t>.</w:t>
      </w:r>
    </w:p>
    <w:p w14:paraId="682EC649" w14:textId="77777777" w:rsidR="00DF3A1A" w:rsidRDefault="00DF3A1A" w:rsidP="00F775AD">
      <w:pPr>
        <w:pStyle w:val="ListParagraph"/>
        <w:numPr>
          <w:ilvl w:val="0"/>
          <w:numId w:val="6"/>
        </w:numPr>
      </w:pPr>
      <w:r>
        <w:t xml:space="preserve">Requirements that Restrictive Practices are only ever implemented by sufficiently qualified, skilled and trained staff. </w:t>
      </w:r>
    </w:p>
    <w:p w14:paraId="6579D07C" w14:textId="12059645" w:rsidR="00DF3A1A" w:rsidRDefault="00DF3A1A" w:rsidP="00F775AD">
      <w:pPr>
        <w:pStyle w:val="ListParagraph"/>
        <w:numPr>
          <w:ilvl w:val="0"/>
          <w:numId w:val="6"/>
        </w:numPr>
      </w:pPr>
      <w:r>
        <w:t xml:space="preserve">Transparency and accountability </w:t>
      </w:r>
      <w:r w:rsidR="00B7364A">
        <w:t>regarding</w:t>
      </w:r>
      <w:r>
        <w:t xml:space="preserve"> decision-making processes, including the provision of accessible information that outlines a person’s rights, </w:t>
      </w:r>
      <w:r w:rsidR="00B7364A">
        <w:t>such as</w:t>
      </w:r>
      <w:r>
        <w:t xml:space="preserve"> review and appeal rights</w:t>
      </w:r>
      <w:r w:rsidR="00710F4E">
        <w:t xml:space="preserve"> and a</w:t>
      </w:r>
      <w:r w:rsidRPr="00A0064D">
        <w:t>ll decisions hav</w:t>
      </w:r>
      <w:r w:rsidR="00710F4E">
        <w:t>ing</w:t>
      </w:r>
      <w:r w:rsidRPr="00A0064D">
        <w:t xml:space="preserve"> the potential for merits review at the Queensland Civil and Administrative Tribunal (QCAT).</w:t>
      </w:r>
    </w:p>
    <w:p w14:paraId="0D400974" w14:textId="7D5459DA" w:rsidR="00DF3A1A" w:rsidRDefault="00DF3A1A" w:rsidP="00F775AD">
      <w:pPr>
        <w:pStyle w:val="ListParagraph"/>
        <w:numPr>
          <w:ilvl w:val="0"/>
          <w:numId w:val="6"/>
        </w:numPr>
      </w:pPr>
      <w:r>
        <w:t xml:space="preserve">Penalties for people who use Restrictive Practices in a way that </w:t>
      </w:r>
      <w:r w:rsidR="004C7F0F">
        <w:t xml:space="preserve">is </w:t>
      </w:r>
      <w:r>
        <w:t>not compl</w:t>
      </w:r>
      <w:r w:rsidR="004C7F0F">
        <w:t>iant</w:t>
      </w:r>
      <w:r>
        <w:t xml:space="preserve"> with relevant policies or authorisation procedures.</w:t>
      </w:r>
    </w:p>
    <w:p w14:paraId="5623B974" w14:textId="7B629E1E" w:rsidR="004C7F0F" w:rsidRPr="00DB2F7B" w:rsidRDefault="00DF3A1A" w:rsidP="00F775AD">
      <w:pPr>
        <w:pStyle w:val="ListParagraph"/>
        <w:numPr>
          <w:ilvl w:val="0"/>
          <w:numId w:val="6"/>
        </w:numPr>
        <w:rPr>
          <w:lang w:val="en-US"/>
        </w:rPr>
      </w:pPr>
      <w:r>
        <w:lastRenderedPageBreak/>
        <w:t xml:space="preserve">A human rights framework that </w:t>
      </w:r>
      <w:r w:rsidR="004C7F0F">
        <w:t>is not tokenistic but instead embeds human rights considerations throughout decision-making and authorisation processes.</w:t>
      </w:r>
    </w:p>
    <w:p w14:paraId="536696B0" w14:textId="366FEB7D" w:rsidR="00DF3A1A" w:rsidRDefault="004C7F0F" w:rsidP="00F775AD">
      <w:pPr>
        <w:pStyle w:val="ListParagraph"/>
        <w:numPr>
          <w:ilvl w:val="0"/>
          <w:numId w:val="6"/>
        </w:numPr>
      </w:pPr>
      <w:r>
        <w:t>Explicit prohibition of the use of certain Restrictive Practices as per Recommendation</w:t>
      </w:r>
      <w:r w:rsidR="003059CC">
        <w:t xml:space="preserve"> 6.36</w:t>
      </w:r>
      <w:r>
        <w:t xml:space="preserve"> of the Disability Royal Commission. This includes the clear prohibition of c</w:t>
      </w:r>
      <w:r w:rsidR="00DF3A1A" w:rsidRPr="00B34640">
        <w:t>ontainment and seclusion of children under the age of 18</w:t>
      </w:r>
      <w:r w:rsidR="00DF3A1A">
        <w:t>.</w:t>
      </w:r>
    </w:p>
    <w:p w14:paraId="15FB1BCC" w14:textId="5442CCD4" w:rsidR="000233AD" w:rsidRPr="00B34640" w:rsidRDefault="00A66A52" w:rsidP="00F775AD">
      <w:pPr>
        <w:pStyle w:val="ListParagraph"/>
        <w:numPr>
          <w:ilvl w:val="0"/>
          <w:numId w:val="6"/>
        </w:numPr>
      </w:pPr>
      <w:r>
        <w:t>Publicly</w:t>
      </w:r>
      <w:r w:rsidR="000233AD">
        <w:t xml:space="preserve"> available data on the use of Restrictive Practices</w:t>
      </w:r>
      <w:r w:rsidR="003F36DB">
        <w:t>, including</w:t>
      </w:r>
      <w:r w:rsidR="00CF4AAB">
        <w:t xml:space="preserve"> data that shows</w:t>
      </w:r>
      <w:r w:rsidR="003F36DB">
        <w:t xml:space="preserve"> trends towards the reduction in the use of Restrictive Practices.</w:t>
      </w:r>
      <w:r w:rsidR="000233AD">
        <w:t xml:space="preserve"> </w:t>
      </w:r>
    </w:p>
    <w:p w14:paraId="4E2300B6" w14:textId="4BC86A81" w:rsidR="00670544" w:rsidRDefault="00E30330" w:rsidP="00835E50">
      <w:pPr>
        <w:spacing w:before="240" w:line="276" w:lineRule="auto"/>
      </w:pPr>
      <w:r>
        <w:t xml:space="preserve">Given that Restrictive Practices are disproportionately and predominantly used on people with disability </w:t>
      </w:r>
      <w:r w:rsidR="00A972DF">
        <w:t>in comparison to people without disability, th</w:t>
      </w:r>
      <w:r w:rsidR="00167D85">
        <w:t xml:space="preserve">is should be acknowledged in the Department’s </w:t>
      </w:r>
      <w:r w:rsidR="009A3DC7">
        <w:t xml:space="preserve">Restrictive Practices </w:t>
      </w:r>
      <w:r w:rsidR="00167D85">
        <w:t>Procedure and related documents. For example, th</w:t>
      </w:r>
      <w:r w:rsidR="00A972DF">
        <w:t xml:space="preserve">e </w:t>
      </w:r>
      <w:r w:rsidR="00670544" w:rsidRPr="00EE6529">
        <w:rPr>
          <w:i/>
          <w:iCs/>
        </w:rPr>
        <w:t>Restrictive Practice guidelines</w:t>
      </w:r>
      <w:r w:rsidR="00670544">
        <w:t xml:space="preserve"> </w:t>
      </w:r>
      <w:r w:rsidR="00A972DF">
        <w:t>would benefit from</w:t>
      </w:r>
      <w:r w:rsidR="00EE6529">
        <w:t xml:space="preserve"> </w:t>
      </w:r>
      <w:r w:rsidR="003E5268">
        <w:t>some</w:t>
      </w:r>
      <w:r>
        <w:t xml:space="preserve"> </w:t>
      </w:r>
      <w:r w:rsidR="00A972DF">
        <w:t>explanation of</w:t>
      </w:r>
      <w:r w:rsidR="003E5268">
        <w:t xml:space="preserve"> the way in which behaviours</w:t>
      </w:r>
      <w:r w:rsidR="004503D4">
        <w:t xml:space="preserve"> relating to a person’s disability</w:t>
      </w:r>
      <w:r w:rsidR="003E5268">
        <w:t xml:space="preserve"> can escalate</w:t>
      </w:r>
      <w:r w:rsidR="004503D4">
        <w:t xml:space="preserve"> in the absence of reasonable adjustments, supports or other environmental factors so that staff utilising these documents have a </w:t>
      </w:r>
      <w:r w:rsidR="00E15C67">
        <w:t>better</w:t>
      </w:r>
      <w:r w:rsidR="004503D4">
        <w:t xml:space="preserve"> understanding of the</w:t>
      </w:r>
      <w:r w:rsidR="00E15C67">
        <w:t xml:space="preserve"> intervention points that exist to </w:t>
      </w:r>
      <w:r w:rsidR="00543435">
        <w:t>prior to a behaviour escalating to a point at which a Restrictive Practice is used.</w:t>
      </w:r>
      <w:r w:rsidR="007E6AA3">
        <w:t xml:space="preserve"> While we understand this issue is likely </w:t>
      </w:r>
      <w:r w:rsidR="00B627B1">
        <w:t>cover</w:t>
      </w:r>
      <w:r w:rsidR="007E6AA3">
        <w:t xml:space="preserve">ed </w:t>
      </w:r>
      <w:r w:rsidR="007E37DA">
        <w:t xml:space="preserve">in specialist training modules, such as those organized by a </w:t>
      </w:r>
      <w:proofErr w:type="gramStart"/>
      <w:r w:rsidR="007E37DA">
        <w:t>Principal</w:t>
      </w:r>
      <w:proofErr w:type="gramEnd"/>
      <w:r w:rsidR="007E37DA">
        <w:t xml:space="preserve"> for staff who anticipate using a mechanical restraint on a student, this would nevertheless be </w:t>
      </w:r>
      <w:r w:rsidR="00B627B1">
        <w:t>a welcome addition to the Restrictive Practices guidelines.</w:t>
      </w:r>
      <w:r w:rsidR="007F1833">
        <w:t xml:space="preserve"> The examples of proactive intervention provided are useful but do not specifically relate to disability. </w:t>
      </w:r>
    </w:p>
    <w:p w14:paraId="35B9B9C0" w14:textId="2BED6AB2" w:rsidR="00425374" w:rsidRDefault="004141AD" w:rsidP="00835E50">
      <w:pPr>
        <w:spacing w:before="240" w:line="276" w:lineRule="auto"/>
        <w:rPr>
          <w:b/>
          <w:bCs/>
        </w:rPr>
      </w:pPr>
      <w:r>
        <w:t>With regards</w:t>
      </w:r>
      <w:r w:rsidRPr="004141AD">
        <w:t xml:space="preserve"> to the consultation documents, QAI</w:t>
      </w:r>
      <w:r>
        <w:t xml:space="preserve"> </w:t>
      </w:r>
      <w:r w:rsidR="00836D80">
        <w:t>provides</w:t>
      </w:r>
      <w:r>
        <w:t xml:space="preserve"> the following </w:t>
      </w:r>
      <w:r w:rsidR="00836D80">
        <w:t>commentary</w:t>
      </w:r>
      <w:r w:rsidR="00D26290">
        <w:t xml:space="preserve"> for the Department’s consideration</w:t>
      </w:r>
      <w:r>
        <w:t>:</w:t>
      </w:r>
    </w:p>
    <w:p w14:paraId="1F1E8E03" w14:textId="43069A79" w:rsidR="003D5F93" w:rsidRPr="00A91748" w:rsidRDefault="003D5F93" w:rsidP="00835E50">
      <w:pPr>
        <w:spacing w:before="240" w:line="276" w:lineRule="auto"/>
        <w:rPr>
          <w:b/>
          <w:bCs/>
          <w:i/>
          <w:iCs/>
        </w:rPr>
      </w:pPr>
      <w:r w:rsidRPr="00A91748">
        <w:rPr>
          <w:b/>
          <w:bCs/>
          <w:i/>
          <w:iCs/>
        </w:rPr>
        <w:t>Restrictive Practices Procedure</w:t>
      </w:r>
    </w:p>
    <w:p w14:paraId="6F7B5660" w14:textId="18A60E16" w:rsidR="00BE7BDC" w:rsidRDefault="00BC1A60" w:rsidP="00F775AD">
      <w:pPr>
        <w:pStyle w:val="ListParagraph"/>
      </w:pPr>
      <w:r>
        <w:t xml:space="preserve">The name of the procedure can </w:t>
      </w:r>
      <w:r w:rsidR="00250E1F">
        <w:t>remain</w:t>
      </w:r>
      <w:r>
        <w:t>, so long as the terminology ‘Restrictive Practices’ is well understood and already</w:t>
      </w:r>
      <w:r w:rsidR="00450A3C">
        <w:t xml:space="preserve"> commonly</w:t>
      </w:r>
      <w:r>
        <w:t xml:space="preserve"> used by teachers and other school employees.</w:t>
      </w:r>
    </w:p>
    <w:p w14:paraId="55B2A823" w14:textId="7BBA08CB" w:rsidR="00450A3C" w:rsidRDefault="00450A3C" w:rsidP="00F775AD">
      <w:pPr>
        <w:pStyle w:val="ListParagraph"/>
      </w:pPr>
      <w:r>
        <w:t xml:space="preserve">More information </w:t>
      </w:r>
      <w:r w:rsidR="000B2CFA">
        <w:t>as to why</w:t>
      </w:r>
      <w:r>
        <w:t xml:space="preserve"> </w:t>
      </w:r>
      <w:r w:rsidR="00D076D4">
        <w:t xml:space="preserve">clinical holding </w:t>
      </w:r>
      <w:r w:rsidR="009E4453">
        <w:t xml:space="preserve">has been removed </w:t>
      </w:r>
      <w:r w:rsidR="00D076D4">
        <w:t>from this procedure and add</w:t>
      </w:r>
      <w:r w:rsidR="009E4453">
        <w:t>ed</w:t>
      </w:r>
      <w:r w:rsidR="00D076D4">
        <w:t xml:space="preserve"> to </w:t>
      </w:r>
      <w:r w:rsidR="009E4453">
        <w:t>‘</w:t>
      </w:r>
      <w:r w:rsidR="00D076D4" w:rsidRPr="00E8504F">
        <w:rPr>
          <w:i/>
          <w:iCs/>
        </w:rPr>
        <w:t>Managing student’s health support needs at school</w:t>
      </w:r>
      <w:r w:rsidR="00D076D4">
        <w:t>’</w:t>
      </w:r>
      <w:r w:rsidR="009E4453">
        <w:t xml:space="preserve"> </w:t>
      </w:r>
      <w:r w:rsidR="008C689F">
        <w:t xml:space="preserve">procedure </w:t>
      </w:r>
      <w:r w:rsidR="009E4453">
        <w:t>is needed.</w:t>
      </w:r>
      <w:r w:rsidR="00E3516A">
        <w:t xml:space="preserve"> QAI </w:t>
      </w:r>
      <w:r w:rsidR="00BE5560">
        <w:t>does</w:t>
      </w:r>
      <w:r w:rsidR="00E3516A">
        <w:t xml:space="preserve"> not support this if the outcome result</w:t>
      </w:r>
      <w:r w:rsidR="00E431AD">
        <w:t>s</w:t>
      </w:r>
      <w:r w:rsidR="00E3516A">
        <w:t xml:space="preserve"> in less oversight and accountability of the use of clinical holding</w:t>
      </w:r>
      <w:r w:rsidR="0012434C">
        <w:t>.</w:t>
      </w:r>
      <w:r w:rsidR="00D056F4">
        <w:t xml:space="preserve"> </w:t>
      </w:r>
      <w:r w:rsidR="002D1859">
        <w:t>The Disability Royal Commission recommended that states and territories prohibit the use of clinical holding in education settings when it is</w:t>
      </w:r>
      <w:r w:rsidR="00A21D5D">
        <w:t xml:space="preserve"> used as a behaviour support strategy, used to enforce the compliance of a student in undertaking personal care that is non-urgent or used to punish a student</w:t>
      </w:r>
      <w:r w:rsidR="00D35E8B">
        <w:t>.</w:t>
      </w:r>
      <w:r w:rsidR="00C37BF4">
        <w:rPr>
          <w:rStyle w:val="FootnoteReference"/>
        </w:rPr>
        <w:footnoteReference w:id="4"/>
      </w:r>
      <w:r w:rsidR="00454EBF">
        <w:t xml:space="preserve"> </w:t>
      </w:r>
      <w:r w:rsidR="00BE5560">
        <w:t xml:space="preserve">These actions constitute </w:t>
      </w:r>
      <w:r w:rsidR="006A453F">
        <w:lastRenderedPageBreak/>
        <w:t>Restrictive Practices that should never be used and should therefore remain within the Department’s Restrictive Practice</w:t>
      </w:r>
      <w:r w:rsidR="00C37BF4">
        <w:t>s</w:t>
      </w:r>
      <w:r w:rsidR="006A453F">
        <w:t xml:space="preserve"> Procedure.</w:t>
      </w:r>
      <w:r w:rsidR="001A29F8">
        <w:t xml:space="preserve"> </w:t>
      </w:r>
    </w:p>
    <w:p w14:paraId="60CCD091" w14:textId="47804BDF" w:rsidR="00987B71" w:rsidRDefault="00987B71" w:rsidP="00F775AD">
      <w:pPr>
        <w:pStyle w:val="ListParagraph"/>
      </w:pPr>
      <w:r>
        <w:t xml:space="preserve">QAI does not agree with the term ‘protective action’ </w:t>
      </w:r>
      <w:r w:rsidR="00293E7F">
        <w:t xml:space="preserve">as </w:t>
      </w:r>
      <w:r w:rsidR="00A44633">
        <w:t>used</w:t>
      </w:r>
      <w:r w:rsidR="00293E7F">
        <w:t xml:space="preserve"> in the </w:t>
      </w:r>
      <w:r w:rsidR="00A44633">
        <w:t>O</w:t>
      </w:r>
      <w:r w:rsidR="00293E7F">
        <w:t>verview</w:t>
      </w:r>
      <w:r w:rsidR="00A44633">
        <w:t xml:space="preserve"> section</w:t>
      </w:r>
      <w:r w:rsidR="00293E7F">
        <w:t xml:space="preserve">. </w:t>
      </w:r>
      <w:r w:rsidR="00B00EC1">
        <w:t xml:space="preserve">It would be sufficient to </w:t>
      </w:r>
      <w:r w:rsidR="00AB0B11">
        <w:t xml:space="preserve">state </w:t>
      </w:r>
      <w:r w:rsidR="00B00EC1">
        <w:t xml:space="preserve">the example provided and </w:t>
      </w:r>
      <w:r w:rsidR="00AB0B11">
        <w:t>name it as something that i</w:t>
      </w:r>
      <w:r w:rsidR="00B00EC1">
        <w:t xml:space="preserve">s not </w:t>
      </w:r>
      <w:r w:rsidR="00C23DE1">
        <w:t xml:space="preserve">considered </w:t>
      </w:r>
      <w:r w:rsidR="00B00EC1">
        <w:t>a Restrictive Practice, rather than label</w:t>
      </w:r>
      <w:r w:rsidR="00AB0B11">
        <w:t>ling</w:t>
      </w:r>
      <w:r w:rsidR="00B00EC1">
        <w:t xml:space="preserve"> it a ‘protective action’. Th</w:t>
      </w:r>
      <w:r w:rsidR="00AB0B11">
        <w:t>is</w:t>
      </w:r>
      <w:r w:rsidR="00B00EC1">
        <w:t xml:space="preserve"> term</w:t>
      </w:r>
      <w:r w:rsidR="00C23DE1">
        <w:t>inology presumes an intent</w:t>
      </w:r>
      <w:r w:rsidR="000451E7">
        <w:t xml:space="preserve"> or reasoning behind an action that may not necessarily be true.</w:t>
      </w:r>
      <w:r w:rsidR="00BD190A">
        <w:t xml:space="preserve"> The</w:t>
      </w:r>
      <w:r w:rsidR="00FA1BD5">
        <w:t xml:space="preserve"> important</w:t>
      </w:r>
      <w:r w:rsidR="00BD190A">
        <w:t xml:space="preserve"> </w:t>
      </w:r>
      <w:r w:rsidR="00FA1BD5">
        <w:t>aspect of the examp</w:t>
      </w:r>
      <w:r w:rsidR="002D7FE6">
        <w:t>le</w:t>
      </w:r>
      <w:r w:rsidR="00173D25">
        <w:t xml:space="preserve"> </w:t>
      </w:r>
      <w:r w:rsidR="00461E1F">
        <w:t>is th</w:t>
      </w:r>
      <w:r w:rsidR="00983513">
        <w:t>e ability of</w:t>
      </w:r>
      <w:r w:rsidR="00461E1F">
        <w:t xml:space="preserve"> the student to move</w:t>
      </w:r>
      <w:r w:rsidR="00173D25">
        <w:t xml:space="preserve"> freely</w:t>
      </w:r>
      <w:r w:rsidR="00461E1F">
        <w:t xml:space="preserve"> away at any time</w:t>
      </w:r>
      <w:r w:rsidR="00E8504F">
        <w:t>, rather than its classification as a ‘protective action.’</w:t>
      </w:r>
    </w:p>
    <w:p w14:paraId="6924F615" w14:textId="5EC23F6B" w:rsidR="000451E7" w:rsidRDefault="002D7FE6" w:rsidP="00F775AD">
      <w:pPr>
        <w:pStyle w:val="ListParagraph"/>
      </w:pPr>
      <w:r>
        <w:t>References to ‘i</w:t>
      </w:r>
      <w:r w:rsidR="00961DD5">
        <w:t>mminent risk of harm</w:t>
      </w:r>
      <w:r>
        <w:t>’</w:t>
      </w:r>
      <w:r w:rsidR="00961DD5">
        <w:t xml:space="preserve"> should be</w:t>
      </w:r>
      <w:r>
        <w:t>come</w:t>
      </w:r>
      <w:r w:rsidR="008C689F">
        <w:t xml:space="preserve"> </w:t>
      </w:r>
      <w:r>
        <w:t>‘</w:t>
      </w:r>
      <w:r w:rsidR="008C689F">
        <w:t>imminent risk of</w:t>
      </w:r>
      <w:r w:rsidR="00961DD5">
        <w:t xml:space="preserve"> </w:t>
      </w:r>
      <w:r w:rsidR="00961DD5" w:rsidRPr="002D7FE6">
        <w:rPr>
          <w:i/>
          <w:iCs/>
        </w:rPr>
        <w:t>serious</w:t>
      </w:r>
      <w:r w:rsidR="00961DD5">
        <w:t xml:space="preserve"> harm’</w:t>
      </w:r>
      <w:r w:rsidR="008C689F">
        <w:t>, as recommended by the Disability Royal Commission</w:t>
      </w:r>
      <w:r w:rsidR="00B906CD">
        <w:t xml:space="preserve"> in Recommendation 6.35(b)</w:t>
      </w:r>
      <w:r w:rsidR="008C689F">
        <w:t>.</w:t>
      </w:r>
    </w:p>
    <w:p w14:paraId="2E9AFD30" w14:textId="1220867C" w:rsidR="002229E3" w:rsidRDefault="001B6EB5" w:rsidP="00F775AD">
      <w:pPr>
        <w:pStyle w:val="ListParagraph"/>
      </w:pPr>
      <w:r>
        <w:t>The condition</w:t>
      </w:r>
      <w:r w:rsidR="00730C18">
        <w:t xml:space="preserve"> that</w:t>
      </w:r>
      <w:r>
        <w:t xml:space="preserve"> ‘the restrictive practice used is respectful of the student’s dignity’ </w:t>
      </w:r>
      <w:r w:rsidR="00A2096B">
        <w:t xml:space="preserve">is </w:t>
      </w:r>
      <w:r w:rsidR="007D7A7E">
        <w:t>deceptive</w:t>
      </w:r>
      <w:r w:rsidR="00A2096B">
        <w:t xml:space="preserve">, as generally speaking, </w:t>
      </w:r>
      <w:r w:rsidR="007D7A7E">
        <w:t>a</w:t>
      </w:r>
      <w:r w:rsidR="00A2096B">
        <w:t xml:space="preserve"> limitation of </w:t>
      </w:r>
      <w:r w:rsidR="00461376">
        <w:t xml:space="preserve">an individual’s </w:t>
      </w:r>
      <w:r w:rsidR="00A2096B">
        <w:t xml:space="preserve">personal freedoms </w:t>
      </w:r>
      <w:r w:rsidR="00903460">
        <w:t xml:space="preserve">is an undignified experience. This could be reworded to state ‘the restrictive practice used </w:t>
      </w:r>
      <w:r w:rsidR="006D5BF4">
        <w:t>upholds the student’s dignity to the greatest extent possible’ or something to that affect.</w:t>
      </w:r>
    </w:p>
    <w:p w14:paraId="3B0EF655" w14:textId="10DD8A3A" w:rsidR="0029598A" w:rsidRDefault="0029598A" w:rsidP="00F775AD">
      <w:pPr>
        <w:pStyle w:val="ListParagraph"/>
      </w:pPr>
      <w:r>
        <w:t>Regarding the responsibilities of Principals, when notifying parents of the student subject to Restrictive Practices, the Principal must</w:t>
      </w:r>
      <w:r w:rsidR="00423C36">
        <w:t xml:space="preserve"> notify the parent </w:t>
      </w:r>
      <w:r w:rsidR="00423C36" w:rsidRPr="00416F25">
        <w:rPr>
          <w:i/>
          <w:iCs/>
        </w:rPr>
        <w:t>as soon as possible</w:t>
      </w:r>
      <w:r w:rsidR="00416F25">
        <w:t xml:space="preserve"> within the same school day. They should</w:t>
      </w:r>
      <w:r w:rsidR="000F17C1">
        <w:t xml:space="preserve"> have relevant information as to the circumstances that resulted in the use of Restrictive Practices, including information as to why there were no other reasonable alternatives in the circumstances.</w:t>
      </w:r>
      <w:r w:rsidR="00397616">
        <w:t xml:space="preserve"> The parent should then receive a written explanation of the incident</w:t>
      </w:r>
      <w:r w:rsidR="00873850">
        <w:t xml:space="preserve"> and the assessment of human rights considerations completed by the relevant employee.</w:t>
      </w:r>
    </w:p>
    <w:p w14:paraId="1D953A9B" w14:textId="56BD666B" w:rsidR="00F71858" w:rsidRDefault="00042645" w:rsidP="00F775AD">
      <w:pPr>
        <w:pStyle w:val="ListParagraph"/>
      </w:pPr>
      <w:r>
        <w:t xml:space="preserve">The procedure should </w:t>
      </w:r>
      <w:r w:rsidR="000947D4">
        <w:t>clearly state</w:t>
      </w:r>
      <w:r>
        <w:t xml:space="preserve"> who can </w:t>
      </w:r>
      <w:proofErr w:type="gramStart"/>
      <w:r>
        <w:t>make a decision</w:t>
      </w:r>
      <w:proofErr w:type="gramEnd"/>
      <w:r>
        <w:t xml:space="preserve"> to use a </w:t>
      </w:r>
      <w:r w:rsidR="000947D4">
        <w:t>R</w:t>
      </w:r>
      <w:r>
        <w:t xml:space="preserve">estrictive </w:t>
      </w:r>
      <w:r w:rsidR="000947D4">
        <w:t>P</w:t>
      </w:r>
      <w:r>
        <w:t>ractice</w:t>
      </w:r>
      <w:r w:rsidR="000947D4">
        <w:t>.</w:t>
      </w:r>
    </w:p>
    <w:p w14:paraId="0C401627" w14:textId="6F9D0090" w:rsidR="000D5A53" w:rsidRDefault="000D5A53" w:rsidP="00F775AD">
      <w:pPr>
        <w:pStyle w:val="ListParagraph"/>
      </w:pPr>
      <w:r>
        <w:t>Greater clarity is needed as to whom a Principal can delegate certain tasks, including the completion of a Restrictive Practices Focused Review</w:t>
      </w:r>
      <w:r w:rsidR="00B17272">
        <w:t xml:space="preserve"> and confirming </w:t>
      </w:r>
      <w:r w:rsidR="0031396F">
        <w:t xml:space="preserve">that </w:t>
      </w:r>
      <w:r w:rsidR="00B17272">
        <w:t>follow-up actions arising from these</w:t>
      </w:r>
      <w:r w:rsidR="0031396F">
        <w:t xml:space="preserve"> reviews</w:t>
      </w:r>
      <w:r w:rsidR="00B17272">
        <w:t xml:space="preserve"> have been completed. The </w:t>
      </w:r>
      <w:r w:rsidR="00D847F6">
        <w:t xml:space="preserve">person being delegated </w:t>
      </w:r>
      <w:r w:rsidR="0031396F">
        <w:t xml:space="preserve">authority to complete </w:t>
      </w:r>
      <w:r w:rsidR="00D847F6">
        <w:t>these tasks should have relevant training, skills and an appropriate level of responsibility within the school.</w:t>
      </w:r>
    </w:p>
    <w:p w14:paraId="0E617C9B" w14:textId="2308BB6D" w:rsidR="00C71EBB" w:rsidRDefault="00910C49" w:rsidP="00F775AD">
      <w:pPr>
        <w:pStyle w:val="ListParagraph"/>
      </w:pPr>
      <w:r>
        <w:t xml:space="preserve">The title </w:t>
      </w:r>
      <w:r w:rsidR="00C71EBB">
        <w:t xml:space="preserve">‘All state school employees’ is sufficient and clearly explains that the </w:t>
      </w:r>
      <w:r w:rsidR="00C913D6">
        <w:t>responsibilities outlined</w:t>
      </w:r>
      <w:r>
        <w:t xml:space="preserve"> in that section</w:t>
      </w:r>
      <w:r w:rsidR="00C913D6">
        <w:t xml:space="preserve"> apply to all employees, including Principals and non-teaching staff.</w:t>
      </w:r>
    </w:p>
    <w:p w14:paraId="335FADA9" w14:textId="250F0656" w:rsidR="007A563E" w:rsidRDefault="007A563E" w:rsidP="00F775AD">
      <w:pPr>
        <w:pStyle w:val="ListParagraph"/>
      </w:pPr>
      <w:r>
        <w:t>Regarding the</w:t>
      </w:r>
      <w:r w:rsidR="00482F41">
        <w:t xml:space="preserve"> Process, more detail is required as to the kind of data that </w:t>
      </w:r>
      <w:r w:rsidR="00FD4CEB">
        <w:t>might</w:t>
      </w:r>
      <w:r w:rsidR="00482F41">
        <w:t xml:space="preserve"> indicate a student’s behaviour presents an ongoing, significant risk to themselves or others</w:t>
      </w:r>
      <w:r w:rsidR="00A31667">
        <w:t xml:space="preserve">. </w:t>
      </w:r>
      <w:r w:rsidR="00A37809">
        <w:t>Detail as to what timeframe the relevant data should relate to, would also be beneficial.</w:t>
      </w:r>
    </w:p>
    <w:p w14:paraId="425A4CD9" w14:textId="7CC73B4D" w:rsidR="00BE7BDC" w:rsidRDefault="009341EA" w:rsidP="00F775AD">
      <w:pPr>
        <w:pStyle w:val="ListParagraph"/>
      </w:pPr>
      <w:r>
        <w:lastRenderedPageBreak/>
        <w:t>The specialist training suggested</w:t>
      </w:r>
      <w:r w:rsidR="00A00CE6">
        <w:t xml:space="preserve"> for state school employees working with a student whose behaviour presents an ongoing, significant risk should be given to all staff</w:t>
      </w:r>
      <w:r w:rsidR="00BE14DA">
        <w:t>, not just those work</w:t>
      </w:r>
      <w:r w:rsidR="00ED5BF5">
        <w:t>ing</w:t>
      </w:r>
      <w:r w:rsidR="00BE14DA">
        <w:t xml:space="preserve"> with specific students.</w:t>
      </w:r>
      <w:r w:rsidR="00F63331">
        <w:t xml:space="preserve"> This is because </w:t>
      </w:r>
      <w:r w:rsidR="0056474F">
        <w:t xml:space="preserve">the policy permits the use of </w:t>
      </w:r>
      <w:r w:rsidR="00F63331">
        <w:t>physical and environmental restraints in emergency situations</w:t>
      </w:r>
      <w:r w:rsidR="008419E9">
        <w:t xml:space="preserve"> which may involve staff who have not received</w:t>
      </w:r>
      <w:r w:rsidR="0056474F">
        <w:t xml:space="preserve"> this</w:t>
      </w:r>
      <w:r w:rsidR="008419E9">
        <w:t xml:space="preserve"> specialist training.</w:t>
      </w:r>
    </w:p>
    <w:p w14:paraId="528B16BE" w14:textId="1203F517" w:rsidR="003D5F93" w:rsidRDefault="00A96E8C" w:rsidP="00F775AD">
      <w:pPr>
        <w:pStyle w:val="ListParagraph"/>
      </w:pPr>
      <w:r>
        <w:t xml:space="preserve">Guidance on the Department’s </w:t>
      </w:r>
      <w:r w:rsidR="00E50204">
        <w:t xml:space="preserve">timeline and </w:t>
      </w:r>
      <w:r>
        <w:t xml:space="preserve">plan to transition to this new procedure </w:t>
      </w:r>
      <w:r w:rsidR="00E50204">
        <w:t xml:space="preserve">and framework </w:t>
      </w:r>
      <w:r>
        <w:t>would be welcome</w:t>
      </w:r>
      <w:r w:rsidR="00541E9C">
        <w:t xml:space="preserve">, including how its roll out will impact students </w:t>
      </w:r>
      <w:r w:rsidR="00523C2E">
        <w:t xml:space="preserve">who are </w:t>
      </w:r>
      <w:r w:rsidR="00541E9C">
        <w:t>currently being subject to Restrictive Practices</w:t>
      </w:r>
      <w:r w:rsidR="00FE413A">
        <w:t xml:space="preserve">, particularly </w:t>
      </w:r>
      <w:r w:rsidR="00723D0B">
        <w:t xml:space="preserve">students who are subject to </w:t>
      </w:r>
      <w:r w:rsidR="00FE413A">
        <w:t>chemical restraints which are prohibited</w:t>
      </w:r>
      <w:r w:rsidR="00723D0B">
        <w:t xml:space="preserve"> in all circumstances in the new procedure.</w:t>
      </w:r>
    </w:p>
    <w:p w14:paraId="586C36CF" w14:textId="674313B8" w:rsidR="00E43E46" w:rsidRDefault="00E43E46" w:rsidP="00F775AD">
      <w:pPr>
        <w:pStyle w:val="ListParagraph"/>
      </w:pPr>
      <w:r>
        <w:t>The procedure</w:t>
      </w:r>
      <w:r w:rsidR="00E22A4B">
        <w:t xml:space="preserve"> does not outline</w:t>
      </w:r>
      <w:r w:rsidR="00B25CB3">
        <w:t xml:space="preserve"> </w:t>
      </w:r>
      <w:r w:rsidR="00AD331A">
        <w:t>a</w:t>
      </w:r>
      <w:r w:rsidR="00B25CB3">
        <w:t xml:space="preserve"> process that should occur if Restrictive Practices are used in contravention of the Procedure,</w:t>
      </w:r>
      <w:r w:rsidR="006535AF">
        <w:t xml:space="preserve"> including if chemical restraint, seclusion or containment are used</w:t>
      </w:r>
      <w:r w:rsidR="00AD331A">
        <w:t xml:space="preserve">, other than requiring a Principal to notify their supervisor. </w:t>
      </w:r>
      <w:r w:rsidR="006740A7">
        <w:t>There should be consequences for staff who use Restrictive Practices in a way that contravenes the Department’s policy.</w:t>
      </w:r>
    </w:p>
    <w:p w14:paraId="4A303FCF" w14:textId="4E26DB09" w:rsidR="003D5F93" w:rsidRPr="001F5639" w:rsidRDefault="003D5F93" w:rsidP="00995F50">
      <w:pPr>
        <w:spacing w:before="240" w:line="276" w:lineRule="auto"/>
        <w:rPr>
          <w:b/>
          <w:bCs/>
          <w:i/>
          <w:iCs/>
        </w:rPr>
      </w:pPr>
      <w:r w:rsidRPr="001F5639">
        <w:rPr>
          <w:b/>
          <w:bCs/>
          <w:i/>
          <w:iCs/>
        </w:rPr>
        <w:t>Mechanical Restraint Transition Process</w:t>
      </w:r>
    </w:p>
    <w:p w14:paraId="59169B0F" w14:textId="6D8571C7" w:rsidR="00931E02" w:rsidRDefault="008E6E2F" w:rsidP="00F775AD">
      <w:pPr>
        <w:pStyle w:val="ListParagraph"/>
      </w:pPr>
      <w:r>
        <w:t>More clarity as to why the procedure for mechanical restraints is termed ‘</w:t>
      </w:r>
      <w:r w:rsidR="00CC5AA0">
        <w:t>M</w:t>
      </w:r>
      <w:r>
        <w:t xml:space="preserve">echanical </w:t>
      </w:r>
      <w:r w:rsidR="00CC5AA0">
        <w:t>R</w:t>
      </w:r>
      <w:r>
        <w:t xml:space="preserve">estraint </w:t>
      </w:r>
      <w:r w:rsidR="00CC5AA0" w:rsidRPr="00FE7256">
        <w:rPr>
          <w:i/>
          <w:iCs/>
        </w:rPr>
        <w:t>T</w:t>
      </w:r>
      <w:r w:rsidRPr="00FE7256">
        <w:rPr>
          <w:i/>
          <w:iCs/>
        </w:rPr>
        <w:t xml:space="preserve">ransition </w:t>
      </w:r>
      <w:r w:rsidR="00CC5AA0" w:rsidRPr="00FE7256">
        <w:rPr>
          <w:i/>
          <w:iCs/>
        </w:rPr>
        <w:t>P</w:t>
      </w:r>
      <w:r w:rsidRPr="00FE7256">
        <w:rPr>
          <w:i/>
          <w:iCs/>
        </w:rPr>
        <w:t>rocess</w:t>
      </w:r>
      <w:r>
        <w:t>’ is needed</w:t>
      </w:r>
      <w:r w:rsidR="0091685F">
        <w:t>.</w:t>
      </w:r>
      <w:r w:rsidR="00FE7256">
        <w:t xml:space="preserve"> If the reason is because</w:t>
      </w:r>
      <w:r w:rsidR="009A306D">
        <w:t xml:space="preserve"> the process involves supporting the transition away from the use of the </w:t>
      </w:r>
      <w:r w:rsidR="0057610C">
        <w:t>mechanical restraint as quickly as i</w:t>
      </w:r>
      <w:r w:rsidR="00AE1ED1">
        <w:t>s</w:t>
      </w:r>
      <w:r w:rsidR="0057610C">
        <w:t xml:space="preserve"> practicable, this should equally apply to all Restrictive Practices used in the </w:t>
      </w:r>
      <w:r w:rsidR="00742343">
        <w:t>school</w:t>
      </w:r>
      <w:r w:rsidR="0057610C">
        <w:t xml:space="preserve"> setting.</w:t>
      </w:r>
    </w:p>
    <w:p w14:paraId="7A48BAD3" w14:textId="79B7893A" w:rsidR="00571E72" w:rsidRDefault="00763F0A" w:rsidP="00F775AD">
      <w:pPr>
        <w:pStyle w:val="ListParagraph"/>
      </w:pPr>
      <w:r>
        <w:t>While the procedure outlines the information</w:t>
      </w:r>
      <w:r w:rsidR="00916F9B">
        <w:t xml:space="preserve"> required for </w:t>
      </w:r>
      <w:r w:rsidR="004D23D9">
        <w:t>a</w:t>
      </w:r>
      <w:r w:rsidR="00916F9B">
        <w:t xml:space="preserve"> Mechanical Restraint Transition Process includ</w:t>
      </w:r>
      <w:r w:rsidR="004D23D9">
        <w:t xml:space="preserve">ing </w:t>
      </w:r>
      <w:r w:rsidR="00DB1955">
        <w:t>specific d</w:t>
      </w:r>
      <w:r w:rsidR="00916F9B">
        <w:t>ocumentation from</w:t>
      </w:r>
      <w:r w:rsidR="004728E0">
        <w:t xml:space="preserve"> a departmental health professional, consultation with external stakeholders</w:t>
      </w:r>
      <w:r w:rsidR="004D23D9">
        <w:t xml:space="preserve"> </w:t>
      </w:r>
      <w:r w:rsidR="00DB1955">
        <w:t>who</w:t>
      </w:r>
      <w:r w:rsidR="004D23D9">
        <w:t xml:space="preserve"> are familiar with the student</w:t>
      </w:r>
      <w:r w:rsidR="002028FF">
        <w:t xml:space="preserve"> will often be beneficial. For example, the student may have a positive behaviour support practitioner outside of the school system</w:t>
      </w:r>
      <w:r w:rsidR="00B36D3D">
        <w:t xml:space="preserve"> who would be well-placed to provide information and recommendations. We consider that consulting with relevant </w:t>
      </w:r>
      <w:r w:rsidR="00731B4F">
        <w:t>external stakeholders should therefore be added to the Mechanical Restraint Transition Process.</w:t>
      </w:r>
    </w:p>
    <w:p w14:paraId="16D6C2E1" w14:textId="2DD50C0E" w:rsidR="00E603C4" w:rsidRDefault="00E603C4" w:rsidP="00F775AD">
      <w:pPr>
        <w:pStyle w:val="ListParagraph"/>
      </w:pPr>
      <w:r>
        <w:t>With regards to</w:t>
      </w:r>
      <w:r w:rsidR="007328A3">
        <w:t xml:space="preserve"> the </w:t>
      </w:r>
      <w:r w:rsidR="00BC3975">
        <w:t xml:space="preserve">‘Proactive Planning’ section of the </w:t>
      </w:r>
      <w:r w:rsidR="007328A3">
        <w:t xml:space="preserve">Mechanical Restraint Transition Process, QAI </w:t>
      </w:r>
      <w:r w:rsidR="00B34A5D">
        <w:t>recommends</w:t>
      </w:r>
      <w:r w:rsidR="00E56325">
        <w:t xml:space="preserve"> requir</w:t>
      </w:r>
      <w:r w:rsidR="00B34A5D">
        <w:t>ing</w:t>
      </w:r>
      <w:r w:rsidR="00E56325">
        <w:t xml:space="preserve"> state school staff to have completed a</w:t>
      </w:r>
      <w:r w:rsidR="007328A3">
        <w:t xml:space="preserve"> functional behaviour assessment </w:t>
      </w:r>
      <w:r w:rsidR="00E56325">
        <w:t>within the last</w:t>
      </w:r>
      <w:r w:rsidR="007328A3">
        <w:t xml:space="preserve"> 12 months</w:t>
      </w:r>
      <w:r w:rsidR="00EE4B94">
        <w:t>; not just ‘recently’ completed a functional behaviour assessment.</w:t>
      </w:r>
      <w:r w:rsidR="000D08C6">
        <w:t xml:space="preserve"> Similarly, with regards to the Individual Behaviour Support Plan (IBSP), the template should defin</w:t>
      </w:r>
      <w:r w:rsidR="00B002B7">
        <w:t>e what is meant by ‘current’.</w:t>
      </w:r>
    </w:p>
    <w:p w14:paraId="6FC24966" w14:textId="1C3D7C2E" w:rsidR="0024378B" w:rsidRDefault="006B4FA2" w:rsidP="00F775AD">
      <w:pPr>
        <w:pStyle w:val="ListParagraph"/>
      </w:pPr>
      <w:r>
        <w:t>Ultimately, the use of mechanical restraints should not be permitted in education settings, as per Recommendation 6.36 of the Disability Royal Commission.</w:t>
      </w:r>
    </w:p>
    <w:p w14:paraId="0A40ED84" w14:textId="77777777" w:rsidR="00235B32" w:rsidRDefault="00235B32" w:rsidP="00995F50">
      <w:pPr>
        <w:spacing w:before="240" w:line="276" w:lineRule="auto"/>
        <w:rPr>
          <w:b/>
          <w:bCs/>
          <w:i/>
          <w:iCs/>
        </w:rPr>
      </w:pPr>
    </w:p>
    <w:p w14:paraId="0E53D6A0" w14:textId="77E49001" w:rsidR="003D5F93" w:rsidRPr="001F5639" w:rsidRDefault="003D5F93" w:rsidP="00995F50">
      <w:pPr>
        <w:spacing w:before="240" w:line="276" w:lineRule="auto"/>
        <w:rPr>
          <w:b/>
          <w:bCs/>
          <w:i/>
          <w:iCs/>
        </w:rPr>
      </w:pPr>
      <w:r w:rsidRPr="001F5639">
        <w:rPr>
          <w:b/>
          <w:bCs/>
          <w:i/>
          <w:iCs/>
        </w:rPr>
        <w:lastRenderedPageBreak/>
        <w:t xml:space="preserve">Restrictive Practices Focused Review </w:t>
      </w:r>
    </w:p>
    <w:p w14:paraId="50192AE7" w14:textId="4FF09076" w:rsidR="00E5240B" w:rsidRPr="00FD4761" w:rsidRDefault="00E5240B" w:rsidP="00F775AD">
      <w:pPr>
        <w:pStyle w:val="ListParagraph"/>
      </w:pPr>
      <w:r>
        <w:t>Greater clarity</w:t>
      </w:r>
      <w:r w:rsidR="009156CC">
        <w:t xml:space="preserve"> regarding</w:t>
      </w:r>
      <w:r>
        <w:t xml:space="preserve"> </w:t>
      </w:r>
      <w:r w:rsidR="006971CC">
        <w:t>who can facilitate a Restrictive Practices Focused Review</w:t>
      </w:r>
      <w:r w:rsidR="009156CC">
        <w:t xml:space="preserve"> is needed, specifically in relation to their level of responsibility, skills and training in the use of Restrictive Practices.</w:t>
      </w:r>
      <w:r w:rsidR="000A2754">
        <w:t xml:space="preserve"> The </w:t>
      </w:r>
      <w:r w:rsidR="000A2754" w:rsidRPr="001D39A2">
        <w:rPr>
          <w:i/>
          <w:iCs/>
        </w:rPr>
        <w:t>Restrictive Practices Procedure</w:t>
      </w:r>
      <w:r w:rsidR="000A2754">
        <w:t xml:space="preserve"> states that</w:t>
      </w:r>
      <w:r w:rsidR="003238EE">
        <w:t xml:space="preserve"> ‘the person facilitating a Restrictive Practices Focused Review should not have been directly involved in the incident being reviewed</w:t>
      </w:r>
      <w:r w:rsidR="00A26E0C">
        <w:t xml:space="preserve">’ whereas the </w:t>
      </w:r>
      <w:r w:rsidR="00A26E0C" w:rsidRPr="000A619A">
        <w:rPr>
          <w:i/>
          <w:iCs/>
        </w:rPr>
        <w:t>Restrictive Practices Focused Review Template</w:t>
      </w:r>
      <w:r w:rsidR="00A26E0C">
        <w:t xml:space="preserve"> states that it is to be facilitated by the Principal</w:t>
      </w:r>
      <w:r w:rsidR="000A619A">
        <w:t xml:space="preserve"> and the </w:t>
      </w:r>
      <w:r w:rsidR="000A619A" w:rsidRPr="00A522D9">
        <w:rPr>
          <w:i/>
          <w:iCs/>
        </w:rPr>
        <w:t>Restrictive Practices Focused Review – Information to support schools</w:t>
      </w:r>
      <w:r w:rsidR="000A619A">
        <w:t xml:space="preserve"> document states it is to be completed by the Principal or Deputy Principal</w:t>
      </w:r>
      <w:r w:rsidR="00F10738">
        <w:t xml:space="preserve"> unless they were both involved, in which case an external regional representative should facilitate the review</w:t>
      </w:r>
      <w:r w:rsidR="00A26E0C">
        <w:t>.</w:t>
      </w:r>
    </w:p>
    <w:p w14:paraId="13336410" w14:textId="3923E67A" w:rsidR="00953C94" w:rsidRDefault="00953C94" w:rsidP="00F775AD">
      <w:pPr>
        <w:pStyle w:val="ListParagraph"/>
      </w:pPr>
      <w:r>
        <w:t>It is unclear why Restrictive Practice Focused Reviews are not</w:t>
      </w:r>
      <w:r w:rsidR="00D84876">
        <w:t xml:space="preserve"> mandated</w:t>
      </w:r>
      <w:r>
        <w:t xml:space="preserve"> following the use of a mechanical restraint. QAI </w:t>
      </w:r>
      <w:r w:rsidR="00A74F38">
        <w:t>recommends</w:t>
      </w:r>
      <w:r>
        <w:t xml:space="preserve"> that</w:t>
      </w:r>
      <w:r w:rsidR="00393822">
        <w:t xml:space="preserve"> Restrictive Practices Focused Reviews be mandated following the use of</w:t>
      </w:r>
      <w:r w:rsidR="00D84876">
        <w:t xml:space="preserve"> all Restrictive Practices including</w:t>
      </w:r>
      <w:r w:rsidR="00393822">
        <w:t xml:space="preserve"> mechanical restraints</w:t>
      </w:r>
      <w:r w:rsidR="00D84876">
        <w:t>, not just</w:t>
      </w:r>
      <w:r w:rsidR="00393822">
        <w:t xml:space="preserve"> physical or environmental restraints.</w:t>
      </w:r>
      <w:r w:rsidR="00D84876">
        <w:t xml:space="preserve"> This is particularly important</w:t>
      </w:r>
      <w:r w:rsidR="00713B81">
        <w:t xml:space="preserve"> given that the use of mechanical restraints was recommended to be prohibited in all circumstances in educational settings by the Disability Royal Commission.</w:t>
      </w:r>
    </w:p>
    <w:p w14:paraId="108FD5F8" w14:textId="11179831" w:rsidR="00785B48" w:rsidRPr="00724775" w:rsidRDefault="00E235CC" w:rsidP="00DE18EF">
      <w:pPr>
        <w:numPr>
          <w:ilvl w:val="0"/>
          <w:numId w:val="12"/>
        </w:numPr>
        <w:spacing w:before="240" w:line="276" w:lineRule="auto"/>
        <w:rPr>
          <w:lang w:val="en-AU"/>
        </w:rPr>
      </w:pPr>
      <w:r w:rsidRPr="00E235CC">
        <w:rPr>
          <w:lang w:val="en-AU"/>
        </w:rPr>
        <w:t xml:space="preserve">QAI </w:t>
      </w:r>
      <w:r w:rsidR="00B42C49" w:rsidRPr="00724775">
        <w:rPr>
          <w:lang w:val="en-AU"/>
        </w:rPr>
        <w:t>welcomes</w:t>
      </w:r>
      <w:r w:rsidRPr="00E235CC">
        <w:rPr>
          <w:lang w:val="en-AU"/>
        </w:rPr>
        <w:t xml:space="preserve"> the addition of </w:t>
      </w:r>
      <w:r w:rsidR="00B42C49" w:rsidRPr="00724775">
        <w:rPr>
          <w:lang w:val="en-AU"/>
        </w:rPr>
        <w:t xml:space="preserve">the student perspective and in particular, </w:t>
      </w:r>
      <w:r w:rsidRPr="00E235CC">
        <w:rPr>
          <w:lang w:val="en-AU"/>
        </w:rPr>
        <w:t>a section t</w:t>
      </w:r>
      <w:r w:rsidR="00785B48" w:rsidRPr="00724775">
        <w:rPr>
          <w:lang w:val="en-AU"/>
        </w:rPr>
        <w:t>hat specifically asks how changes will be communicated back to the student and their parent/guardian.</w:t>
      </w:r>
      <w:r w:rsidR="006265F2" w:rsidRPr="00724775">
        <w:rPr>
          <w:lang w:val="en-AU"/>
        </w:rPr>
        <w:t xml:space="preserve"> However, with regards to the collection of the student</w:t>
      </w:r>
      <w:r w:rsidR="004C2010" w:rsidRPr="00724775">
        <w:rPr>
          <w:lang w:val="en-AU"/>
        </w:rPr>
        <w:t>’</w:t>
      </w:r>
      <w:r w:rsidR="006265F2" w:rsidRPr="00724775">
        <w:rPr>
          <w:lang w:val="en-AU"/>
        </w:rPr>
        <w:t>s perspective of the incident</w:t>
      </w:r>
      <w:r w:rsidR="004C2010" w:rsidRPr="00724775">
        <w:rPr>
          <w:lang w:val="en-AU"/>
        </w:rPr>
        <w:t xml:space="preserve">, more </w:t>
      </w:r>
      <w:r w:rsidR="00B03E29" w:rsidRPr="00724775">
        <w:rPr>
          <w:lang w:val="en-AU"/>
        </w:rPr>
        <w:t>clarity</w:t>
      </w:r>
      <w:r w:rsidR="004C2010" w:rsidRPr="00724775">
        <w:rPr>
          <w:lang w:val="en-AU"/>
        </w:rPr>
        <w:t xml:space="preserve"> is needed as to who </w:t>
      </w:r>
      <w:r w:rsidR="00620504" w:rsidRPr="00724775">
        <w:rPr>
          <w:lang w:val="en-AU"/>
        </w:rPr>
        <w:t xml:space="preserve">will </w:t>
      </w:r>
      <w:r w:rsidR="00357D85" w:rsidRPr="00724775">
        <w:rPr>
          <w:lang w:val="en-AU"/>
        </w:rPr>
        <w:t xml:space="preserve">obtain </w:t>
      </w:r>
      <w:r w:rsidR="00503F5A" w:rsidRPr="00724775">
        <w:rPr>
          <w:lang w:val="en-AU"/>
        </w:rPr>
        <w:t xml:space="preserve">this information and who </w:t>
      </w:r>
      <w:r w:rsidR="004C2010" w:rsidRPr="00724775">
        <w:rPr>
          <w:lang w:val="en-AU"/>
        </w:rPr>
        <w:t>is</w:t>
      </w:r>
      <w:r w:rsidR="00D8691B" w:rsidRPr="00724775">
        <w:rPr>
          <w:lang w:val="en-AU"/>
        </w:rPr>
        <w:t xml:space="preserve"> the</w:t>
      </w:r>
      <w:r w:rsidR="004C2010" w:rsidRPr="00724775">
        <w:rPr>
          <w:lang w:val="en-AU"/>
        </w:rPr>
        <w:t xml:space="preserve"> most appropriate </w:t>
      </w:r>
      <w:r w:rsidR="00620504" w:rsidRPr="00724775">
        <w:rPr>
          <w:lang w:val="en-AU"/>
        </w:rPr>
        <w:t xml:space="preserve">person </w:t>
      </w:r>
      <w:r w:rsidR="004C2010" w:rsidRPr="00724775">
        <w:rPr>
          <w:lang w:val="en-AU"/>
        </w:rPr>
        <w:t>to</w:t>
      </w:r>
      <w:r w:rsidR="00503F5A" w:rsidRPr="00724775">
        <w:rPr>
          <w:lang w:val="en-AU"/>
        </w:rPr>
        <w:t xml:space="preserve"> do so</w:t>
      </w:r>
      <w:r w:rsidR="004C2010" w:rsidRPr="00724775">
        <w:rPr>
          <w:lang w:val="en-AU"/>
        </w:rPr>
        <w:t>.</w:t>
      </w:r>
      <w:r w:rsidR="00CF07F9" w:rsidRPr="00724775">
        <w:rPr>
          <w:lang w:val="en-AU"/>
        </w:rPr>
        <w:t xml:space="preserve"> For example, if the person who is obtaining this information was also involved in the incident, their</w:t>
      </w:r>
      <w:r w:rsidR="006F502E" w:rsidRPr="00724775">
        <w:rPr>
          <w:lang w:val="en-AU"/>
        </w:rPr>
        <w:t xml:space="preserve"> interaction with the student and </w:t>
      </w:r>
      <w:r w:rsidR="007B191B" w:rsidRPr="00724775">
        <w:rPr>
          <w:lang w:val="en-AU"/>
        </w:rPr>
        <w:t xml:space="preserve">their </w:t>
      </w:r>
      <w:r w:rsidR="006F502E" w:rsidRPr="00724775">
        <w:rPr>
          <w:lang w:val="en-AU"/>
        </w:rPr>
        <w:t>recount of the student’s perspective is likely to be biased</w:t>
      </w:r>
      <w:r w:rsidR="007B191B" w:rsidRPr="00724775">
        <w:rPr>
          <w:lang w:val="en-AU"/>
        </w:rPr>
        <w:t xml:space="preserve">. </w:t>
      </w:r>
      <w:r w:rsidR="00357D85" w:rsidRPr="00724775">
        <w:rPr>
          <w:lang w:val="en-AU"/>
        </w:rPr>
        <w:t xml:space="preserve">While the </w:t>
      </w:r>
      <w:r w:rsidR="00357D85" w:rsidRPr="00724775">
        <w:rPr>
          <w:i/>
          <w:iCs/>
          <w:lang w:val="en-AU"/>
        </w:rPr>
        <w:t>Restrictive Practices Focused Review – Information to support schools</w:t>
      </w:r>
      <w:r w:rsidR="00357D85" w:rsidRPr="00724775">
        <w:rPr>
          <w:lang w:val="en-AU"/>
        </w:rPr>
        <w:t xml:space="preserve"> document states that the person facilitating the </w:t>
      </w:r>
      <w:r w:rsidR="00BB52E4" w:rsidRPr="00724775">
        <w:rPr>
          <w:lang w:val="en-AU"/>
        </w:rPr>
        <w:t>review will obtain</w:t>
      </w:r>
      <w:r w:rsidR="00D8691B" w:rsidRPr="00724775">
        <w:rPr>
          <w:lang w:val="en-AU"/>
        </w:rPr>
        <w:t xml:space="preserve"> the student’s perspective and </w:t>
      </w:r>
      <w:r w:rsidR="008F312B" w:rsidRPr="00724775">
        <w:rPr>
          <w:lang w:val="en-AU"/>
        </w:rPr>
        <w:t>that this person will not have been directly involved with the incident, in QAI’s experience, this does not always happen.</w:t>
      </w:r>
      <w:r w:rsidR="00724775" w:rsidRPr="00724775">
        <w:rPr>
          <w:lang w:val="en-AU"/>
        </w:rPr>
        <w:t xml:space="preserve"> </w:t>
      </w:r>
      <w:r w:rsidR="007B191B" w:rsidRPr="00724775">
        <w:rPr>
          <w:lang w:val="en-AU"/>
        </w:rPr>
        <w:t>Furthermore, the template should ask what kind of support the student received</w:t>
      </w:r>
      <w:r w:rsidR="00F11421" w:rsidRPr="00724775">
        <w:rPr>
          <w:lang w:val="en-AU"/>
        </w:rPr>
        <w:t xml:space="preserve"> to engage </w:t>
      </w:r>
      <w:r w:rsidR="00111C32" w:rsidRPr="00724775">
        <w:rPr>
          <w:lang w:val="en-AU"/>
        </w:rPr>
        <w:t>with</w:t>
      </w:r>
      <w:r w:rsidR="00F11421" w:rsidRPr="00724775">
        <w:rPr>
          <w:lang w:val="en-AU"/>
        </w:rPr>
        <w:t xml:space="preserve"> this process.</w:t>
      </w:r>
    </w:p>
    <w:p w14:paraId="2E7FD21A" w14:textId="735522B2" w:rsidR="000E042F" w:rsidRDefault="000E042F" w:rsidP="00E235CC">
      <w:pPr>
        <w:numPr>
          <w:ilvl w:val="0"/>
          <w:numId w:val="12"/>
        </w:numPr>
        <w:spacing w:before="240" w:line="276" w:lineRule="auto"/>
        <w:rPr>
          <w:lang w:val="en-AU"/>
        </w:rPr>
      </w:pPr>
      <w:r>
        <w:rPr>
          <w:lang w:val="en-AU"/>
        </w:rPr>
        <w:t xml:space="preserve">With regards to the </w:t>
      </w:r>
      <w:r w:rsidRPr="00A522D9">
        <w:rPr>
          <w:i/>
          <w:iCs/>
          <w:lang w:val="en-AU"/>
        </w:rPr>
        <w:t>Restrictive Practices Focused Review – Information to support schools</w:t>
      </w:r>
      <w:r>
        <w:rPr>
          <w:lang w:val="en-AU"/>
        </w:rPr>
        <w:t xml:space="preserve"> document, it states ‘where appropriate, the school leadership team may also invite the student’s parents/guardians to contribute to the review.’ QAI </w:t>
      </w:r>
      <w:r w:rsidR="001A0F13">
        <w:rPr>
          <w:lang w:val="en-AU"/>
        </w:rPr>
        <w:t xml:space="preserve">strongly recommends </w:t>
      </w:r>
      <w:r>
        <w:rPr>
          <w:lang w:val="en-AU"/>
        </w:rPr>
        <w:t>that parents and guardians always be invited to contr</w:t>
      </w:r>
      <w:r w:rsidR="00EE5E9C">
        <w:rPr>
          <w:lang w:val="en-AU"/>
        </w:rPr>
        <w:t>ibute to and participate in the review.</w:t>
      </w:r>
    </w:p>
    <w:p w14:paraId="0F52AE8E" w14:textId="1F7EEEC7" w:rsidR="009A7625" w:rsidRDefault="009A7625" w:rsidP="00E235CC">
      <w:pPr>
        <w:numPr>
          <w:ilvl w:val="0"/>
          <w:numId w:val="12"/>
        </w:numPr>
        <w:spacing w:before="240" w:line="276" w:lineRule="auto"/>
        <w:rPr>
          <w:lang w:val="en-AU"/>
        </w:rPr>
      </w:pPr>
      <w:r w:rsidRPr="009A7625">
        <w:rPr>
          <w:lang w:val="en-AU"/>
        </w:rPr>
        <w:t xml:space="preserve">The </w:t>
      </w:r>
      <w:r w:rsidRPr="00A522D9">
        <w:rPr>
          <w:i/>
          <w:iCs/>
          <w:lang w:val="en-AU"/>
        </w:rPr>
        <w:t>Restrictive Practices Focused Review – Information to support schools</w:t>
      </w:r>
      <w:r>
        <w:rPr>
          <w:lang w:val="en-AU"/>
        </w:rPr>
        <w:t xml:space="preserve"> document should explicitly ask relevant staff to identify strategies they will put in place to reduce the likelihood</w:t>
      </w:r>
      <w:r w:rsidR="000F6A48">
        <w:rPr>
          <w:lang w:val="en-AU"/>
        </w:rPr>
        <w:t xml:space="preserve"> of the Restrictive Practice being used again</w:t>
      </w:r>
      <w:r w:rsidR="00B722DC">
        <w:rPr>
          <w:lang w:val="en-AU"/>
        </w:rPr>
        <w:t xml:space="preserve">, as well as ask what would be required to happen </w:t>
      </w:r>
      <w:proofErr w:type="gramStart"/>
      <w:r w:rsidR="00B722DC">
        <w:rPr>
          <w:lang w:val="en-AU"/>
        </w:rPr>
        <w:t>in order for</w:t>
      </w:r>
      <w:proofErr w:type="gramEnd"/>
      <w:r w:rsidR="00B722DC">
        <w:rPr>
          <w:lang w:val="en-AU"/>
        </w:rPr>
        <w:t xml:space="preserve"> the Restrictive Practice </w:t>
      </w:r>
      <w:r w:rsidR="008E53D6">
        <w:rPr>
          <w:lang w:val="en-AU"/>
        </w:rPr>
        <w:t xml:space="preserve">to </w:t>
      </w:r>
      <w:r w:rsidR="00B722DC">
        <w:rPr>
          <w:lang w:val="en-AU"/>
        </w:rPr>
        <w:t>never be used again.</w:t>
      </w:r>
    </w:p>
    <w:p w14:paraId="404311AC" w14:textId="0CA6F295" w:rsidR="009069D3" w:rsidRDefault="005A70C9" w:rsidP="001F3F18">
      <w:pPr>
        <w:spacing w:line="276" w:lineRule="auto"/>
      </w:pPr>
      <w:r>
        <w:lastRenderedPageBreak/>
        <w:t xml:space="preserve">Thank you for the opportunity to provide feedback on the Department’s Restrictive Practices Procedure Review. We would be happy to provide additional information </w:t>
      </w:r>
      <w:r w:rsidR="00E63CB5">
        <w:t>if this would be helpful.</w:t>
      </w:r>
    </w:p>
    <w:p w14:paraId="361E2D3F" w14:textId="77777777" w:rsidR="00180E06" w:rsidRDefault="00180E06" w:rsidP="001F3F18">
      <w:pPr>
        <w:spacing w:line="276" w:lineRule="auto"/>
      </w:pPr>
    </w:p>
    <w:p w14:paraId="29501788" w14:textId="12F52229" w:rsidR="00CD132C" w:rsidRDefault="00CD132C" w:rsidP="002144C3">
      <w:pPr>
        <w:pStyle w:val="PlainText"/>
        <w:spacing w:after="240" w:line="276" w:lineRule="auto"/>
        <w:rPr>
          <w:sz w:val="24"/>
          <w:szCs w:val="24"/>
        </w:rPr>
      </w:pPr>
      <w:r w:rsidRPr="00F61299">
        <w:rPr>
          <w:sz w:val="24"/>
          <w:szCs w:val="24"/>
        </w:rPr>
        <w:t xml:space="preserve">Yours </w:t>
      </w:r>
      <w:r w:rsidR="00692A2B">
        <w:rPr>
          <w:sz w:val="24"/>
          <w:szCs w:val="24"/>
        </w:rPr>
        <w:t>faithfully</w:t>
      </w:r>
      <w:r w:rsidRPr="00F61299">
        <w:rPr>
          <w:sz w:val="24"/>
          <w:szCs w:val="24"/>
        </w:rPr>
        <w:t>,</w:t>
      </w:r>
    </w:p>
    <w:p w14:paraId="0AB841A9" w14:textId="5512CE74" w:rsidR="00A84C62" w:rsidRDefault="00E63CB5" w:rsidP="002144C3">
      <w:pPr>
        <w:pStyle w:val="PlainText"/>
        <w:spacing w:after="240" w:line="276" w:lineRule="auto"/>
        <w:rPr>
          <w:sz w:val="24"/>
          <w:szCs w:val="24"/>
        </w:rPr>
      </w:pPr>
      <w:r>
        <w:rPr>
          <w:noProof/>
          <w:sz w:val="24"/>
          <w:szCs w:val="24"/>
          <w14:ligatures w14:val="none"/>
        </w:rPr>
        <w:drawing>
          <wp:inline distT="0" distB="0" distL="0" distR="0" wp14:anchorId="4D871DF8" wp14:editId="056FCDF3">
            <wp:extent cx="2305372" cy="257211"/>
            <wp:effectExtent l="0" t="0" r="0" b="9525"/>
            <wp:docPr id="485922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922350" name="Picture 485922350"/>
                    <pic:cNvPicPr/>
                  </pic:nvPicPr>
                  <pic:blipFill>
                    <a:blip r:embed="rId12"/>
                    <a:stretch>
                      <a:fillRect/>
                    </a:stretch>
                  </pic:blipFill>
                  <pic:spPr>
                    <a:xfrm>
                      <a:off x="0" y="0"/>
                      <a:ext cx="2305372" cy="257211"/>
                    </a:xfrm>
                    <a:prstGeom prst="rect">
                      <a:avLst/>
                    </a:prstGeom>
                  </pic:spPr>
                </pic:pic>
              </a:graphicData>
            </a:graphic>
          </wp:inline>
        </w:drawing>
      </w:r>
    </w:p>
    <w:p w14:paraId="108CFC8A" w14:textId="1C3375A9" w:rsidR="00A84C62" w:rsidRPr="00F61299" w:rsidRDefault="00E63CB5" w:rsidP="002144C3">
      <w:pPr>
        <w:pStyle w:val="PlainText"/>
        <w:spacing w:after="240" w:line="276" w:lineRule="auto"/>
        <w:rPr>
          <w:sz w:val="24"/>
          <w:szCs w:val="24"/>
        </w:rPr>
      </w:pPr>
      <w:r>
        <w:rPr>
          <w:sz w:val="24"/>
          <w:szCs w:val="24"/>
        </w:rPr>
        <w:t>Matilda Alexander</w:t>
      </w:r>
    </w:p>
    <w:p w14:paraId="40503302" w14:textId="2B8120F9" w:rsidR="00F61577" w:rsidRPr="005B2F25" w:rsidRDefault="00E63CB5" w:rsidP="005B2F25">
      <w:pPr>
        <w:pStyle w:val="PlainText"/>
        <w:spacing w:after="240" w:line="276" w:lineRule="auto"/>
        <w:rPr>
          <w:sz w:val="24"/>
          <w:szCs w:val="24"/>
        </w:rPr>
      </w:pPr>
      <w:r>
        <w:rPr>
          <w:sz w:val="24"/>
          <w:szCs w:val="24"/>
        </w:rPr>
        <w:t>Chief Executive Officer</w:t>
      </w:r>
    </w:p>
    <w:sectPr w:rsidR="00F61577" w:rsidRPr="005B2F25" w:rsidSect="009F7931">
      <w:footerReference w:type="default" r:id="rId13"/>
      <w:headerReference w:type="first" r:id="rId14"/>
      <w:footerReference w:type="first" r:id="rId15"/>
      <w:pgSz w:w="11900" w:h="16840"/>
      <w:pgMar w:top="1440" w:right="1268" w:bottom="1440" w:left="1276"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C4F3D" w14:textId="77777777" w:rsidR="00C83556" w:rsidRDefault="00C83556" w:rsidP="00781D4C">
      <w:r>
        <w:separator/>
      </w:r>
    </w:p>
  </w:endnote>
  <w:endnote w:type="continuationSeparator" w:id="0">
    <w:p w14:paraId="5CEEE27E" w14:textId="77777777" w:rsidR="00C83556" w:rsidRDefault="00C83556" w:rsidP="00781D4C">
      <w:r>
        <w:continuationSeparator/>
      </w:r>
    </w:p>
  </w:endnote>
  <w:endnote w:type="continuationNotice" w:id="1">
    <w:p w14:paraId="221DE870" w14:textId="77777777" w:rsidR="00C83556" w:rsidRDefault="00C8355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Nunito Sans Light">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782026"/>
      <w:docPartObj>
        <w:docPartGallery w:val="Page Numbers (Bottom of Page)"/>
        <w:docPartUnique/>
      </w:docPartObj>
    </w:sdtPr>
    <w:sdtEndPr>
      <w:rPr>
        <w:noProof/>
      </w:rPr>
    </w:sdtEndPr>
    <w:sdtContent>
      <w:p w14:paraId="46C29A8C" w14:textId="36620222" w:rsidR="000E042F" w:rsidRDefault="000E04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1F606A" w14:textId="77777777" w:rsidR="000E042F" w:rsidRDefault="000E04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7DCF7" w14:textId="004A4FC5" w:rsidR="00F62FBF" w:rsidRDefault="00EE6F4C">
    <w:pPr>
      <w:pStyle w:val="Footer"/>
    </w:pPr>
    <w:r>
      <w:rPr>
        <w:noProof/>
      </w:rPr>
      <w:drawing>
        <wp:anchor distT="0" distB="0" distL="114300" distR="114300" simplePos="0" relativeHeight="251658240" behindDoc="1" locked="0" layoutInCell="1" allowOverlap="0" wp14:anchorId="3DE2DC4F" wp14:editId="4D2335F1">
          <wp:simplePos x="0" y="0"/>
          <wp:positionH relativeFrom="page">
            <wp:align>left</wp:align>
          </wp:positionH>
          <wp:positionV relativeFrom="page">
            <wp:align>bottom</wp:align>
          </wp:positionV>
          <wp:extent cx="7560000" cy="903600"/>
          <wp:effectExtent l="0" t="0" r="0" b="0"/>
          <wp:wrapNone/>
          <wp:docPr id="744769154" name="Picture 2" descr="advocacy for people with disability. Phone number is 07 3844 4200, email address is qai@qai.org.au website is qai.org.au and address is South Central Commercial, L2 43 Peel Street (PO Box 3384) South Brisbane QLD 4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8909" name="Picture 2" descr="advocacy for people with disability. Phone number is 07 3844 4200, email address is qai@qai.org.au website is qai.org.au and address is South Central Commercial, L2 43 Peel Street (PO Box 3384) South Brisbane QLD 4101"/>
                  <pic:cNvPicPr/>
                </pic:nvPicPr>
                <pic:blipFill>
                  <a:blip r:embed="rId1"/>
                  <a:stretch>
                    <a:fillRect/>
                  </a:stretch>
                </pic:blipFill>
                <pic:spPr>
                  <a:xfrm>
                    <a:off x="0" y="0"/>
                    <a:ext cx="7560000" cy="90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5D249" w14:textId="77777777" w:rsidR="00C83556" w:rsidRDefault="00C83556" w:rsidP="00781D4C">
      <w:r>
        <w:separator/>
      </w:r>
    </w:p>
  </w:footnote>
  <w:footnote w:type="continuationSeparator" w:id="0">
    <w:p w14:paraId="65A32BD2" w14:textId="77777777" w:rsidR="00C83556" w:rsidRDefault="00C83556" w:rsidP="00781D4C">
      <w:r>
        <w:continuationSeparator/>
      </w:r>
    </w:p>
  </w:footnote>
  <w:footnote w:type="continuationNotice" w:id="1">
    <w:p w14:paraId="6CD92F9B" w14:textId="77777777" w:rsidR="00C83556" w:rsidRDefault="00C83556">
      <w:pPr>
        <w:spacing w:line="240" w:lineRule="auto"/>
      </w:pPr>
    </w:p>
  </w:footnote>
  <w:footnote w:id="2">
    <w:p w14:paraId="7FA6FDAB" w14:textId="0A7673B7" w:rsidR="00BB15F6" w:rsidRPr="00BB15F6" w:rsidRDefault="00BB15F6">
      <w:pPr>
        <w:pStyle w:val="FootnoteText"/>
        <w:rPr>
          <w:lang w:val="en-AU"/>
        </w:rPr>
      </w:pPr>
      <w:r>
        <w:rPr>
          <w:rStyle w:val="FootnoteReference"/>
        </w:rPr>
        <w:footnoteRef/>
      </w:r>
      <w:r>
        <w:t xml:space="preserve"> </w:t>
      </w:r>
      <w:r>
        <w:rPr>
          <w:lang w:val="en-AU"/>
        </w:rPr>
        <w:t>Proposal for the future regulation (and reduction in the use) of restrictive practices in Queensland – Discussion Paper (March 2025)</w:t>
      </w:r>
      <w:r w:rsidR="00F64DC4">
        <w:rPr>
          <w:lang w:val="en-AU"/>
        </w:rPr>
        <w:t xml:space="preserve">, Queensland Public Advocate </w:t>
      </w:r>
    </w:p>
  </w:footnote>
  <w:footnote w:id="3">
    <w:p w14:paraId="39E882AA" w14:textId="1D964892" w:rsidR="00EE5E9C" w:rsidRPr="00EE5E9C" w:rsidRDefault="00EE5E9C">
      <w:pPr>
        <w:pStyle w:val="FootnoteText"/>
        <w:rPr>
          <w:lang w:val="en-AU"/>
        </w:rPr>
      </w:pPr>
      <w:r>
        <w:rPr>
          <w:rStyle w:val="FootnoteReference"/>
        </w:rPr>
        <w:footnoteRef/>
      </w:r>
      <w:r>
        <w:t xml:space="preserve"> </w:t>
      </w:r>
      <w:r w:rsidR="00E965E2" w:rsidRPr="005D1311">
        <w:t>Royal Commission into Violence, Abuse, Neglect and Exploitation of People with Disability: Final Report</w:t>
      </w:r>
      <w:r w:rsidR="00E965E2">
        <w:rPr>
          <w:lang w:val="en-AU"/>
        </w:rPr>
        <w:t xml:space="preserve"> - </w:t>
      </w:r>
      <w:r w:rsidR="00E965E2" w:rsidRPr="005B2F25">
        <w:rPr>
          <w:lang w:val="en-AU"/>
        </w:rPr>
        <w:t>Volume 6: Enabling autonomy and access</w:t>
      </w:r>
      <w:r w:rsidR="00E965E2">
        <w:rPr>
          <w:lang w:val="en-AU"/>
        </w:rPr>
        <w:t xml:space="preserve">, </w:t>
      </w:r>
      <w:r>
        <w:rPr>
          <w:lang w:val="en-AU"/>
        </w:rPr>
        <w:t>Recommendation 6.35</w:t>
      </w:r>
    </w:p>
  </w:footnote>
  <w:footnote w:id="4">
    <w:p w14:paraId="2AF03E98" w14:textId="70E10BE0" w:rsidR="00C37BF4" w:rsidRPr="00C37BF4" w:rsidRDefault="00C37BF4">
      <w:pPr>
        <w:pStyle w:val="FootnoteText"/>
        <w:rPr>
          <w:lang w:val="en-AU"/>
        </w:rPr>
      </w:pPr>
      <w:r>
        <w:rPr>
          <w:rStyle w:val="FootnoteReference"/>
        </w:rPr>
        <w:footnoteRef/>
      </w:r>
      <w:r>
        <w:t xml:space="preserve"> </w:t>
      </w:r>
      <w:r w:rsidR="005D1311" w:rsidRPr="005D1311">
        <w:t>Royal Commission into Violence, Abuse, Neglect and Exploitation of People with Disability: Final Report</w:t>
      </w:r>
      <w:r>
        <w:rPr>
          <w:lang w:val="en-AU"/>
        </w:rPr>
        <w:t xml:space="preserve"> </w:t>
      </w:r>
      <w:r w:rsidR="005B2F25">
        <w:rPr>
          <w:lang w:val="en-AU"/>
        </w:rPr>
        <w:t xml:space="preserve">- </w:t>
      </w:r>
      <w:r w:rsidR="005B2F25" w:rsidRPr="005B2F25">
        <w:rPr>
          <w:lang w:val="en-AU"/>
        </w:rPr>
        <w:t>Volume 6: Enabling autonomy and access</w:t>
      </w:r>
      <w:r w:rsidR="005B2F25">
        <w:rPr>
          <w:lang w:val="en-AU"/>
        </w:rPr>
        <w:t xml:space="preserve">, </w:t>
      </w:r>
      <w:r>
        <w:rPr>
          <w:lang w:val="en-AU"/>
        </w:rPr>
        <w:t>Recommendation 6.36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0EE4F" w14:textId="64D56D39" w:rsidR="00F62FBF" w:rsidRDefault="00F61577">
    <w:pPr>
      <w:pStyle w:val="Header"/>
    </w:pPr>
    <w:r>
      <w:rPr>
        <w:noProof/>
      </w:rPr>
      <w:drawing>
        <wp:anchor distT="0" distB="0" distL="114300" distR="114300" simplePos="0" relativeHeight="251658241" behindDoc="1" locked="0" layoutInCell="1" allowOverlap="0" wp14:anchorId="6ACC00D7" wp14:editId="385FD2B8">
          <wp:simplePos x="0" y="0"/>
          <wp:positionH relativeFrom="page">
            <wp:posOffset>3810</wp:posOffset>
          </wp:positionH>
          <wp:positionV relativeFrom="page">
            <wp:posOffset>76200</wp:posOffset>
          </wp:positionV>
          <wp:extent cx="7560000" cy="1791529"/>
          <wp:effectExtent l="0" t="0" r="0" b="0"/>
          <wp:wrapNone/>
          <wp:docPr id="353253073" name="Picture 1" descr="A white background with a pink logo that says qai Queensland Advocacy for Inc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64463" name="Picture 1" descr="A white background with a pink logo that says qai Queensland Advocacy for Inclusion"/>
                  <pic:cNvPicPr/>
                </pic:nvPicPr>
                <pic:blipFill>
                  <a:blip r:embed="rId1"/>
                  <a:stretch>
                    <a:fillRect/>
                  </a:stretch>
                </pic:blipFill>
                <pic:spPr>
                  <a:xfrm>
                    <a:off x="0" y="0"/>
                    <a:ext cx="7560000" cy="179152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D37"/>
    <w:multiLevelType w:val="multilevel"/>
    <w:tmpl w:val="DD9AF9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E8110FB"/>
    <w:multiLevelType w:val="multilevel"/>
    <w:tmpl w:val="1D3E19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204536D"/>
    <w:multiLevelType w:val="multilevel"/>
    <w:tmpl w:val="6F86C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4CF0574"/>
    <w:multiLevelType w:val="multilevel"/>
    <w:tmpl w:val="A8D476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54C34D5"/>
    <w:multiLevelType w:val="hybridMultilevel"/>
    <w:tmpl w:val="1A9E99AE"/>
    <w:lvl w:ilvl="0" w:tplc="478C5110">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771CF8"/>
    <w:multiLevelType w:val="multilevel"/>
    <w:tmpl w:val="1DE66C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2DD4353"/>
    <w:multiLevelType w:val="hybridMultilevel"/>
    <w:tmpl w:val="18166A2A"/>
    <w:lvl w:ilvl="0" w:tplc="B3763D8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EC6BE4"/>
    <w:multiLevelType w:val="hybridMultilevel"/>
    <w:tmpl w:val="9A5E8350"/>
    <w:lvl w:ilvl="0" w:tplc="B3763D8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B14FDD"/>
    <w:multiLevelType w:val="hybridMultilevel"/>
    <w:tmpl w:val="4320A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5F7597"/>
    <w:multiLevelType w:val="multilevel"/>
    <w:tmpl w:val="E57C46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578555B5"/>
    <w:multiLevelType w:val="hybridMultilevel"/>
    <w:tmpl w:val="9566D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200FA3"/>
    <w:multiLevelType w:val="multilevel"/>
    <w:tmpl w:val="0EAA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035F46"/>
    <w:multiLevelType w:val="multilevel"/>
    <w:tmpl w:val="701416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E34316B"/>
    <w:multiLevelType w:val="hybridMultilevel"/>
    <w:tmpl w:val="A8C4D740"/>
    <w:lvl w:ilvl="0" w:tplc="481A6A0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6F3507A"/>
    <w:multiLevelType w:val="multilevel"/>
    <w:tmpl w:val="26FCE9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B0A93D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CC6467B"/>
    <w:multiLevelType w:val="multilevel"/>
    <w:tmpl w:val="92E01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FE03888"/>
    <w:multiLevelType w:val="hybridMultilevel"/>
    <w:tmpl w:val="E6562E48"/>
    <w:lvl w:ilvl="0" w:tplc="EBAE301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7435768D"/>
    <w:multiLevelType w:val="hybridMultilevel"/>
    <w:tmpl w:val="057EFA82"/>
    <w:lvl w:ilvl="0" w:tplc="FE42F1E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81103979">
    <w:abstractNumId w:val="17"/>
  </w:num>
  <w:num w:numId="2" w16cid:durableId="320816468">
    <w:abstractNumId w:val="18"/>
  </w:num>
  <w:num w:numId="3" w16cid:durableId="84691816">
    <w:abstractNumId w:val="8"/>
  </w:num>
  <w:num w:numId="4" w16cid:durableId="1373193839">
    <w:abstractNumId w:val="6"/>
  </w:num>
  <w:num w:numId="5" w16cid:durableId="1167786274">
    <w:abstractNumId w:val="7"/>
  </w:num>
  <w:num w:numId="6" w16cid:durableId="811337086">
    <w:abstractNumId w:val="10"/>
  </w:num>
  <w:num w:numId="7" w16cid:durableId="1806660529">
    <w:abstractNumId w:val="15"/>
  </w:num>
  <w:num w:numId="8" w16cid:durableId="1188644507">
    <w:abstractNumId w:val="13"/>
  </w:num>
  <w:num w:numId="9" w16cid:durableId="358169072">
    <w:abstractNumId w:val="11"/>
  </w:num>
  <w:num w:numId="10" w16cid:durableId="716275214">
    <w:abstractNumId w:val="12"/>
  </w:num>
  <w:num w:numId="11" w16cid:durableId="2054495813">
    <w:abstractNumId w:val="9"/>
  </w:num>
  <w:num w:numId="12" w16cid:durableId="1152329700">
    <w:abstractNumId w:val="16"/>
  </w:num>
  <w:num w:numId="13" w16cid:durableId="386031422">
    <w:abstractNumId w:val="1"/>
  </w:num>
  <w:num w:numId="14" w16cid:durableId="1799757496">
    <w:abstractNumId w:val="2"/>
  </w:num>
  <w:num w:numId="15" w16cid:durableId="1306348609">
    <w:abstractNumId w:val="3"/>
  </w:num>
  <w:num w:numId="16" w16cid:durableId="1532650338">
    <w:abstractNumId w:val="5"/>
  </w:num>
  <w:num w:numId="17" w16cid:durableId="1367098619">
    <w:abstractNumId w:val="14"/>
  </w:num>
  <w:num w:numId="18" w16cid:durableId="1377387739">
    <w:abstractNumId w:val="0"/>
  </w:num>
  <w:num w:numId="19" w16cid:durableId="5442993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D4C"/>
    <w:rsid w:val="000233AD"/>
    <w:rsid w:val="000233F1"/>
    <w:rsid w:val="000348E5"/>
    <w:rsid w:val="00037B87"/>
    <w:rsid w:val="00042645"/>
    <w:rsid w:val="000451E7"/>
    <w:rsid w:val="00047021"/>
    <w:rsid w:val="00051C0A"/>
    <w:rsid w:val="00052489"/>
    <w:rsid w:val="00054391"/>
    <w:rsid w:val="00057146"/>
    <w:rsid w:val="0006046C"/>
    <w:rsid w:val="000671A2"/>
    <w:rsid w:val="00067EE4"/>
    <w:rsid w:val="00075E89"/>
    <w:rsid w:val="0007727E"/>
    <w:rsid w:val="000819EF"/>
    <w:rsid w:val="000874D1"/>
    <w:rsid w:val="0009047E"/>
    <w:rsid w:val="00091EF7"/>
    <w:rsid w:val="000947D4"/>
    <w:rsid w:val="000A1682"/>
    <w:rsid w:val="000A2754"/>
    <w:rsid w:val="000A327D"/>
    <w:rsid w:val="000A619A"/>
    <w:rsid w:val="000B276C"/>
    <w:rsid w:val="000B2CFA"/>
    <w:rsid w:val="000B5EAF"/>
    <w:rsid w:val="000B7413"/>
    <w:rsid w:val="000D08C6"/>
    <w:rsid w:val="000D5A53"/>
    <w:rsid w:val="000E042F"/>
    <w:rsid w:val="000E0BA0"/>
    <w:rsid w:val="000E2BC4"/>
    <w:rsid w:val="000F17C1"/>
    <w:rsid w:val="000F6A48"/>
    <w:rsid w:val="000F788C"/>
    <w:rsid w:val="001031F3"/>
    <w:rsid w:val="00107EB4"/>
    <w:rsid w:val="001100F2"/>
    <w:rsid w:val="00111C32"/>
    <w:rsid w:val="0012434C"/>
    <w:rsid w:val="00133197"/>
    <w:rsid w:val="00134357"/>
    <w:rsid w:val="00137151"/>
    <w:rsid w:val="00147A1B"/>
    <w:rsid w:val="001610C1"/>
    <w:rsid w:val="00167D85"/>
    <w:rsid w:val="00173D25"/>
    <w:rsid w:val="00180E06"/>
    <w:rsid w:val="00181676"/>
    <w:rsid w:val="0018212D"/>
    <w:rsid w:val="00182485"/>
    <w:rsid w:val="001844A8"/>
    <w:rsid w:val="001A0F13"/>
    <w:rsid w:val="001A10B1"/>
    <w:rsid w:val="001A29F8"/>
    <w:rsid w:val="001A4507"/>
    <w:rsid w:val="001A52CE"/>
    <w:rsid w:val="001A603C"/>
    <w:rsid w:val="001B6EB5"/>
    <w:rsid w:val="001C0121"/>
    <w:rsid w:val="001C2A6C"/>
    <w:rsid w:val="001D2C38"/>
    <w:rsid w:val="001D39A2"/>
    <w:rsid w:val="001D76F9"/>
    <w:rsid w:val="001E0497"/>
    <w:rsid w:val="001F3F18"/>
    <w:rsid w:val="001F5639"/>
    <w:rsid w:val="002028FF"/>
    <w:rsid w:val="00210062"/>
    <w:rsid w:val="002144C3"/>
    <w:rsid w:val="00216EA5"/>
    <w:rsid w:val="00222917"/>
    <w:rsid w:val="002229E3"/>
    <w:rsid w:val="002273EE"/>
    <w:rsid w:val="00232479"/>
    <w:rsid w:val="00232957"/>
    <w:rsid w:val="00234BD6"/>
    <w:rsid w:val="00235B32"/>
    <w:rsid w:val="00241945"/>
    <w:rsid w:val="0024307F"/>
    <w:rsid w:val="0024378B"/>
    <w:rsid w:val="00246A1B"/>
    <w:rsid w:val="00250E1F"/>
    <w:rsid w:val="00286F96"/>
    <w:rsid w:val="00290B9E"/>
    <w:rsid w:val="00293E7F"/>
    <w:rsid w:val="0029598A"/>
    <w:rsid w:val="002B3DE6"/>
    <w:rsid w:val="002B68DB"/>
    <w:rsid w:val="002C51BA"/>
    <w:rsid w:val="002D1761"/>
    <w:rsid w:val="002D1859"/>
    <w:rsid w:val="002D7FE6"/>
    <w:rsid w:val="002E4D43"/>
    <w:rsid w:val="002E7025"/>
    <w:rsid w:val="002F5423"/>
    <w:rsid w:val="002F559F"/>
    <w:rsid w:val="00302DF6"/>
    <w:rsid w:val="003041F2"/>
    <w:rsid w:val="00304F8C"/>
    <w:rsid w:val="00305700"/>
    <w:rsid w:val="003059CC"/>
    <w:rsid w:val="00307269"/>
    <w:rsid w:val="0031396F"/>
    <w:rsid w:val="00321A90"/>
    <w:rsid w:val="003238EE"/>
    <w:rsid w:val="00323B32"/>
    <w:rsid w:val="00331914"/>
    <w:rsid w:val="00333F7E"/>
    <w:rsid w:val="00335D61"/>
    <w:rsid w:val="00341A46"/>
    <w:rsid w:val="00341C16"/>
    <w:rsid w:val="00344A34"/>
    <w:rsid w:val="00344E09"/>
    <w:rsid w:val="00345187"/>
    <w:rsid w:val="0034795A"/>
    <w:rsid w:val="00347F04"/>
    <w:rsid w:val="00357D85"/>
    <w:rsid w:val="00363B6E"/>
    <w:rsid w:val="003665AA"/>
    <w:rsid w:val="00370A63"/>
    <w:rsid w:val="00381773"/>
    <w:rsid w:val="0038592F"/>
    <w:rsid w:val="00386176"/>
    <w:rsid w:val="00387A55"/>
    <w:rsid w:val="00387C8D"/>
    <w:rsid w:val="00393822"/>
    <w:rsid w:val="00394A07"/>
    <w:rsid w:val="00396205"/>
    <w:rsid w:val="00397616"/>
    <w:rsid w:val="003A22BB"/>
    <w:rsid w:val="003B49AA"/>
    <w:rsid w:val="003B4FC4"/>
    <w:rsid w:val="003B620E"/>
    <w:rsid w:val="003B7F96"/>
    <w:rsid w:val="003C1254"/>
    <w:rsid w:val="003D1867"/>
    <w:rsid w:val="003D247E"/>
    <w:rsid w:val="003D5F93"/>
    <w:rsid w:val="003E5268"/>
    <w:rsid w:val="003F36DB"/>
    <w:rsid w:val="003F78D6"/>
    <w:rsid w:val="0040076E"/>
    <w:rsid w:val="00411494"/>
    <w:rsid w:val="0041208F"/>
    <w:rsid w:val="00413F8E"/>
    <w:rsid w:val="004141AD"/>
    <w:rsid w:val="00416F25"/>
    <w:rsid w:val="00423C36"/>
    <w:rsid w:val="00424B58"/>
    <w:rsid w:val="00425374"/>
    <w:rsid w:val="00427797"/>
    <w:rsid w:val="004325D3"/>
    <w:rsid w:val="00441BBB"/>
    <w:rsid w:val="00446812"/>
    <w:rsid w:val="004503D4"/>
    <w:rsid w:val="00450A3C"/>
    <w:rsid w:val="00454817"/>
    <w:rsid w:val="00454EBF"/>
    <w:rsid w:val="00456FE4"/>
    <w:rsid w:val="00460798"/>
    <w:rsid w:val="00461376"/>
    <w:rsid w:val="0046188F"/>
    <w:rsid w:val="00461E1F"/>
    <w:rsid w:val="004700DF"/>
    <w:rsid w:val="004728E0"/>
    <w:rsid w:val="0047470D"/>
    <w:rsid w:val="00474FA0"/>
    <w:rsid w:val="00482F41"/>
    <w:rsid w:val="00487DB6"/>
    <w:rsid w:val="00491770"/>
    <w:rsid w:val="0049308E"/>
    <w:rsid w:val="00494865"/>
    <w:rsid w:val="004A0FD7"/>
    <w:rsid w:val="004A6A2F"/>
    <w:rsid w:val="004B1DE8"/>
    <w:rsid w:val="004B6031"/>
    <w:rsid w:val="004C2010"/>
    <w:rsid w:val="004C7876"/>
    <w:rsid w:val="004C7ADA"/>
    <w:rsid w:val="004C7F0F"/>
    <w:rsid w:val="004D23D9"/>
    <w:rsid w:val="004D7971"/>
    <w:rsid w:val="00503F5A"/>
    <w:rsid w:val="00512802"/>
    <w:rsid w:val="00515809"/>
    <w:rsid w:val="00520708"/>
    <w:rsid w:val="00523C2E"/>
    <w:rsid w:val="00533CD1"/>
    <w:rsid w:val="005344D2"/>
    <w:rsid w:val="005408D2"/>
    <w:rsid w:val="00541E9C"/>
    <w:rsid w:val="00543435"/>
    <w:rsid w:val="00545795"/>
    <w:rsid w:val="00552B44"/>
    <w:rsid w:val="0056474F"/>
    <w:rsid w:val="00571E72"/>
    <w:rsid w:val="00574691"/>
    <w:rsid w:val="0057610C"/>
    <w:rsid w:val="00576CFD"/>
    <w:rsid w:val="0058745B"/>
    <w:rsid w:val="005900FA"/>
    <w:rsid w:val="0059538C"/>
    <w:rsid w:val="005A5B40"/>
    <w:rsid w:val="005A66CA"/>
    <w:rsid w:val="005A70C9"/>
    <w:rsid w:val="005B09E9"/>
    <w:rsid w:val="005B2F25"/>
    <w:rsid w:val="005B65BD"/>
    <w:rsid w:val="005C00F3"/>
    <w:rsid w:val="005C33B1"/>
    <w:rsid w:val="005C6B8E"/>
    <w:rsid w:val="005D1311"/>
    <w:rsid w:val="005D230E"/>
    <w:rsid w:val="005D5A8A"/>
    <w:rsid w:val="005E3D7E"/>
    <w:rsid w:val="005F2A98"/>
    <w:rsid w:val="005F4CD8"/>
    <w:rsid w:val="00610DC0"/>
    <w:rsid w:val="00614E99"/>
    <w:rsid w:val="006201CE"/>
    <w:rsid w:val="00620504"/>
    <w:rsid w:val="006215C9"/>
    <w:rsid w:val="006265F2"/>
    <w:rsid w:val="00626A81"/>
    <w:rsid w:val="006311F8"/>
    <w:rsid w:val="00632B6E"/>
    <w:rsid w:val="00636B6A"/>
    <w:rsid w:val="00642007"/>
    <w:rsid w:val="00644180"/>
    <w:rsid w:val="006535AF"/>
    <w:rsid w:val="0065579F"/>
    <w:rsid w:val="00657361"/>
    <w:rsid w:val="0066275C"/>
    <w:rsid w:val="006638A5"/>
    <w:rsid w:val="00670544"/>
    <w:rsid w:val="006740A7"/>
    <w:rsid w:val="006742B0"/>
    <w:rsid w:val="006807C2"/>
    <w:rsid w:val="006903DA"/>
    <w:rsid w:val="006920AB"/>
    <w:rsid w:val="00692A2B"/>
    <w:rsid w:val="006971CC"/>
    <w:rsid w:val="006A3AC0"/>
    <w:rsid w:val="006A453F"/>
    <w:rsid w:val="006A65B4"/>
    <w:rsid w:val="006B4FA2"/>
    <w:rsid w:val="006B74AB"/>
    <w:rsid w:val="006D3202"/>
    <w:rsid w:val="006D45AF"/>
    <w:rsid w:val="006D5BF4"/>
    <w:rsid w:val="006F125F"/>
    <w:rsid w:val="006F502E"/>
    <w:rsid w:val="00704519"/>
    <w:rsid w:val="00704A10"/>
    <w:rsid w:val="00710F4E"/>
    <w:rsid w:val="00713B81"/>
    <w:rsid w:val="00720572"/>
    <w:rsid w:val="00723A1A"/>
    <w:rsid w:val="00723D0B"/>
    <w:rsid w:val="00723FB4"/>
    <w:rsid w:val="00724775"/>
    <w:rsid w:val="00726F2A"/>
    <w:rsid w:val="00727405"/>
    <w:rsid w:val="00730224"/>
    <w:rsid w:val="00730C18"/>
    <w:rsid w:val="00731B4F"/>
    <w:rsid w:val="007328A3"/>
    <w:rsid w:val="0073607F"/>
    <w:rsid w:val="00742343"/>
    <w:rsid w:val="00743E38"/>
    <w:rsid w:val="007526F4"/>
    <w:rsid w:val="00752F31"/>
    <w:rsid w:val="0076177B"/>
    <w:rsid w:val="00763F0A"/>
    <w:rsid w:val="0076428F"/>
    <w:rsid w:val="00764548"/>
    <w:rsid w:val="007707D9"/>
    <w:rsid w:val="00780428"/>
    <w:rsid w:val="00781D4C"/>
    <w:rsid w:val="00785B48"/>
    <w:rsid w:val="00786018"/>
    <w:rsid w:val="0078672B"/>
    <w:rsid w:val="007A2EB0"/>
    <w:rsid w:val="007A563E"/>
    <w:rsid w:val="007B191B"/>
    <w:rsid w:val="007B67BC"/>
    <w:rsid w:val="007C4D2D"/>
    <w:rsid w:val="007D397C"/>
    <w:rsid w:val="007D7A7E"/>
    <w:rsid w:val="007E0CD6"/>
    <w:rsid w:val="007E37DA"/>
    <w:rsid w:val="007E4F4D"/>
    <w:rsid w:val="007E6AA3"/>
    <w:rsid w:val="007F1833"/>
    <w:rsid w:val="007F76FD"/>
    <w:rsid w:val="0080230D"/>
    <w:rsid w:val="008052B0"/>
    <w:rsid w:val="00810E59"/>
    <w:rsid w:val="0081133A"/>
    <w:rsid w:val="00817DE0"/>
    <w:rsid w:val="00820457"/>
    <w:rsid w:val="00832AA5"/>
    <w:rsid w:val="00835E50"/>
    <w:rsid w:val="00836D80"/>
    <w:rsid w:val="008419E9"/>
    <w:rsid w:val="00865F79"/>
    <w:rsid w:val="00873475"/>
    <w:rsid w:val="00873850"/>
    <w:rsid w:val="00890E2C"/>
    <w:rsid w:val="00892F46"/>
    <w:rsid w:val="00893F6E"/>
    <w:rsid w:val="00895445"/>
    <w:rsid w:val="0089666A"/>
    <w:rsid w:val="008B00B7"/>
    <w:rsid w:val="008B028D"/>
    <w:rsid w:val="008B6261"/>
    <w:rsid w:val="008C3D80"/>
    <w:rsid w:val="008C689F"/>
    <w:rsid w:val="008C6B82"/>
    <w:rsid w:val="008D132F"/>
    <w:rsid w:val="008D421F"/>
    <w:rsid w:val="008E4B7E"/>
    <w:rsid w:val="008E53D6"/>
    <w:rsid w:val="008E6E2F"/>
    <w:rsid w:val="008F0261"/>
    <w:rsid w:val="008F312B"/>
    <w:rsid w:val="00900EA9"/>
    <w:rsid w:val="00903460"/>
    <w:rsid w:val="009069D3"/>
    <w:rsid w:val="00910C49"/>
    <w:rsid w:val="00912E1C"/>
    <w:rsid w:val="00912F5C"/>
    <w:rsid w:val="009156CC"/>
    <w:rsid w:val="0091685F"/>
    <w:rsid w:val="00916F9B"/>
    <w:rsid w:val="00925D82"/>
    <w:rsid w:val="009317F5"/>
    <w:rsid w:val="00931E02"/>
    <w:rsid w:val="009341EA"/>
    <w:rsid w:val="00934DD2"/>
    <w:rsid w:val="00935322"/>
    <w:rsid w:val="0093759F"/>
    <w:rsid w:val="0094054F"/>
    <w:rsid w:val="0095014F"/>
    <w:rsid w:val="00953C94"/>
    <w:rsid w:val="00961DD5"/>
    <w:rsid w:val="00970890"/>
    <w:rsid w:val="0097154D"/>
    <w:rsid w:val="00983513"/>
    <w:rsid w:val="009841A6"/>
    <w:rsid w:val="00984677"/>
    <w:rsid w:val="00987B71"/>
    <w:rsid w:val="00992E6D"/>
    <w:rsid w:val="00995F50"/>
    <w:rsid w:val="009A0156"/>
    <w:rsid w:val="009A306D"/>
    <w:rsid w:val="009A3DC7"/>
    <w:rsid w:val="009A7625"/>
    <w:rsid w:val="009C59D9"/>
    <w:rsid w:val="009D49A9"/>
    <w:rsid w:val="009E4453"/>
    <w:rsid w:val="009F7931"/>
    <w:rsid w:val="00A0064D"/>
    <w:rsid w:val="00A00CE6"/>
    <w:rsid w:val="00A045A3"/>
    <w:rsid w:val="00A0521D"/>
    <w:rsid w:val="00A2096B"/>
    <w:rsid w:val="00A21D5D"/>
    <w:rsid w:val="00A2211E"/>
    <w:rsid w:val="00A2576D"/>
    <w:rsid w:val="00A2662C"/>
    <w:rsid w:val="00A26E0C"/>
    <w:rsid w:val="00A31667"/>
    <w:rsid w:val="00A35030"/>
    <w:rsid w:val="00A35240"/>
    <w:rsid w:val="00A37809"/>
    <w:rsid w:val="00A44633"/>
    <w:rsid w:val="00A456E1"/>
    <w:rsid w:val="00A51619"/>
    <w:rsid w:val="00A522D9"/>
    <w:rsid w:val="00A541C1"/>
    <w:rsid w:val="00A6272B"/>
    <w:rsid w:val="00A66A52"/>
    <w:rsid w:val="00A72FBD"/>
    <w:rsid w:val="00A74F38"/>
    <w:rsid w:val="00A81801"/>
    <w:rsid w:val="00A818B9"/>
    <w:rsid w:val="00A82340"/>
    <w:rsid w:val="00A83522"/>
    <w:rsid w:val="00A8404F"/>
    <w:rsid w:val="00A84C62"/>
    <w:rsid w:val="00A84D69"/>
    <w:rsid w:val="00A91748"/>
    <w:rsid w:val="00A94FA1"/>
    <w:rsid w:val="00A96E8C"/>
    <w:rsid w:val="00A972DF"/>
    <w:rsid w:val="00AA36FF"/>
    <w:rsid w:val="00AA4016"/>
    <w:rsid w:val="00AB0611"/>
    <w:rsid w:val="00AB0B11"/>
    <w:rsid w:val="00AC0FB0"/>
    <w:rsid w:val="00AD331A"/>
    <w:rsid w:val="00AE1ED1"/>
    <w:rsid w:val="00AE3A2F"/>
    <w:rsid w:val="00AE72FF"/>
    <w:rsid w:val="00AF5D4C"/>
    <w:rsid w:val="00AF6701"/>
    <w:rsid w:val="00B002B7"/>
    <w:rsid w:val="00B00EC1"/>
    <w:rsid w:val="00B013C2"/>
    <w:rsid w:val="00B01467"/>
    <w:rsid w:val="00B03E29"/>
    <w:rsid w:val="00B114FC"/>
    <w:rsid w:val="00B14520"/>
    <w:rsid w:val="00B16D5E"/>
    <w:rsid w:val="00B17272"/>
    <w:rsid w:val="00B2527D"/>
    <w:rsid w:val="00B258B8"/>
    <w:rsid w:val="00B25CB3"/>
    <w:rsid w:val="00B26D63"/>
    <w:rsid w:val="00B2781B"/>
    <w:rsid w:val="00B34640"/>
    <w:rsid w:val="00B34A5D"/>
    <w:rsid w:val="00B36D3D"/>
    <w:rsid w:val="00B42C49"/>
    <w:rsid w:val="00B447A7"/>
    <w:rsid w:val="00B5064D"/>
    <w:rsid w:val="00B53CB0"/>
    <w:rsid w:val="00B540C9"/>
    <w:rsid w:val="00B56B7E"/>
    <w:rsid w:val="00B56C2D"/>
    <w:rsid w:val="00B627B1"/>
    <w:rsid w:val="00B722DC"/>
    <w:rsid w:val="00B7364A"/>
    <w:rsid w:val="00B7432E"/>
    <w:rsid w:val="00B906CD"/>
    <w:rsid w:val="00B91935"/>
    <w:rsid w:val="00B9343F"/>
    <w:rsid w:val="00B941D8"/>
    <w:rsid w:val="00B95EF8"/>
    <w:rsid w:val="00BA4531"/>
    <w:rsid w:val="00BB15F6"/>
    <w:rsid w:val="00BB52E4"/>
    <w:rsid w:val="00BC1A60"/>
    <w:rsid w:val="00BC3975"/>
    <w:rsid w:val="00BC5443"/>
    <w:rsid w:val="00BC617C"/>
    <w:rsid w:val="00BD190A"/>
    <w:rsid w:val="00BD6772"/>
    <w:rsid w:val="00BE14DA"/>
    <w:rsid w:val="00BE5560"/>
    <w:rsid w:val="00BE6194"/>
    <w:rsid w:val="00BE7BDC"/>
    <w:rsid w:val="00BF3F0D"/>
    <w:rsid w:val="00BF687D"/>
    <w:rsid w:val="00C055F9"/>
    <w:rsid w:val="00C23DE1"/>
    <w:rsid w:val="00C31F9F"/>
    <w:rsid w:val="00C32385"/>
    <w:rsid w:val="00C34B9F"/>
    <w:rsid w:val="00C37BF4"/>
    <w:rsid w:val="00C41C66"/>
    <w:rsid w:val="00C42429"/>
    <w:rsid w:val="00C4525F"/>
    <w:rsid w:val="00C45C63"/>
    <w:rsid w:val="00C46DBA"/>
    <w:rsid w:val="00C47539"/>
    <w:rsid w:val="00C520F2"/>
    <w:rsid w:val="00C63DE8"/>
    <w:rsid w:val="00C6653F"/>
    <w:rsid w:val="00C67A56"/>
    <w:rsid w:val="00C71EBB"/>
    <w:rsid w:val="00C82460"/>
    <w:rsid w:val="00C83556"/>
    <w:rsid w:val="00C913D6"/>
    <w:rsid w:val="00C935B5"/>
    <w:rsid w:val="00C93FBC"/>
    <w:rsid w:val="00C96371"/>
    <w:rsid w:val="00CC1939"/>
    <w:rsid w:val="00CC3C8E"/>
    <w:rsid w:val="00CC5AA0"/>
    <w:rsid w:val="00CD132C"/>
    <w:rsid w:val="00CD2385"/>
    <w:rsid w:val="00CE3212"/>
    <w:rsid w:val="00CF07F9"/>
    <w:rsid w:val="00CF4588"/>
    <w:rsid w:val="00CF4AAB"/>
    <w:rsid w:val="00D02AD0"/>
    <w:rsid w:val="00D0448A"/>
    <w:rsid w:val="00D056F4"/>
    <w:rsid w:val="00D067D2"/>
    <w:rsid w:val="00D076D4"/>
    <w:rsid w:val="00D13B4F"/>
    <w:rsid w:val="00D26290"/>
    <w:rsid w:val="00D30C7E"/>
    <w:rsid w:val="00D30CDD"/>
    <w:rsid w:val="00D35E8B"/>
    <w:rsid w:val="00D42F77"/>
    <w:rsid w:val="00D43E8E"/>
    <w:rsid w:val="00D455F7"/>
    <w:rsid w:val="00D4578B"/>
    <w:rsid w:val="00D51ED7"/>
    <w:rsid w:val="00D55176"/>
    <w:rsid w:val="00D61714"/>
    <w:rsid w:val="00D63D7F"/>
    <w:rsid w:val="00D70BA0"/>
    <w:rsid w:val="00D725F9"/>
    <w:rsid w:val="00D847F6"/>
    <w:rsid w:val="00D84876"/>
    <w:rsid w:val="00D8691B"/>
    <w:rsid w:val="00D86CA7"/>
    <w:rsid w:val="00D930B1"/>
    <w:rsid w:val="00D9607F"/>
    <w:rsid w:val="00DA51A6"/>
    <w:rsid w:val="00DB1955"/>
    <w:rsid w:val="00DB2F7B"/>
    <w:rsid w:val="00DB45B2"/>
    <w:rsid w:val="00DC3EB5"/>
    <w:rsid w:val="00DC7D35"/>
    <w:rsid w:val="00DD14D2"/>
    <w:rsid w:val="00DD2BBC"/>
    <w:rsid w:val="00DE1A7F"/>
    <w:rsid w:val="00DE713E"/>
    <w:rsid w:val="00DF2E63"/>
    <w:rsid w:val="00DF3A1A"/>
    <w:rsid w:val="00E041B1"/>
    <w:rsid w:val="00E13A94"/>
    <w:rsid w:val="00E15C67"/>
    <w:rsid w:val="00E22A4B"/>
    <w:rsid w:val="00E235CC"/>
    <w:rsid w:val="00E30330"/>
    <w:rsid w:val="00E3516A"/>
    <w:rsid w:val="00E40F93"/>
    <w:rsid w:val="00E42D64"/>
    <w:rsid w:val="00E431AD"/>
    <w:rsid w:val="00E43E46"/>
    <w:rsid w:val="00E46D0F"/>
    <w:rsid w:val="00E50204"/>
    <w:rsid w:val="00E51EE0"/>
    <w:rsid w:val="00E5240B"/>
    <w:rsid w:val="00E55867"/>
    <w:rsid w:val="00E56325"/>
    <w:rsid w:val="00E575E4"/>
    <w:rsid w:val="00E603C4"/>
    <w:rsid w:val="00E63671"/>
    <w:rsid w:val="00E63CB5"/>
    <w:rsid w:val="00E71980"/>
    <w:rsid w:val="00E721DD"/>
    <w:rsid w:val="00E75C54"/>
    <w:rsid w:val="00E75CB1"/>
    <w:rsid w:val="00E846F9"/>
    <w:rsid w:val="00E8504F"/>
    <w:rsid w:val="00E85C74"/>
    <w:rsid w:val="00E87255"/>
    <w:rsid w:val="00E9366A"/>
    <w:rsid w:val="00E93C07"/>
    <w:rsid w:val="00E965E2"/>
    <w:rsid w:val="00EA7A96"/>
    <w:rsid w:val="00EB04C0"/>
    <w:rsid w:val="00ED220D"/>
    <w:rsid w:val="00ED5169"/>
    <w:rsid w:val="00ED5BF5"/>
    <w:rsid w:val="00EE4B94"/>
    <w:rsid w:val="00EE5E9C"/>
    <w:rsid w:val="00EE6529"/>
    <w:rsid w:val="00EE6F4C"/>
    <w:rsid w:val="00EF4D2F"/>
    <w:rsid w:val="00EF5E4A"/>
    <w:rsid w:val="00F048C7"/>
    <w:rsid w:val="00F07870"/>
    <w:rsid w:val="00F10738"/>
    <w:rsid w:val="00F11421"/>
    <w:rsid w:val="00F27B70"/>
    <w:rsid w:val="00F3612B"/>
    <w:rsid w:val="00F37B81"/>
    <w:rsid w:val="00F42A15"/>
    <w:rsid w:val="00F443D2"/>
    <w:rsid w:val="00F52577"/>
    <w:rsid w:val="00F61299"/>
    <w:rsid w:val="00F61577"/>
    <w:rsid w:val="00F62FBF"/>
    <w:rsid w:val="00F63331"/>
    <w:rsid w:val="00F64DC4"/>
    <w:rsid w:val="00F7092A"/>
    <w:rsid w:val="00F71858"/>
    <w:rsid w:val="00F73683"/>
    <w:rsid w:val="00F775AD"/>
    <w:rsid w:val="00F80F16"/>
    <w:rsid w:val="00F8418F"/>
    <w:rsid w:val="00F85CD1"/>
    <w:rsid w:val="00F93C2F"/>
    <w:rsid w:val="00F955AB"/>
    <w:rsid w:val="00F96F46"/>
    <w:rsid w:val="00FA1A7A"/>
    <w:rsid w:val="00FA1BD5"/>
    <w:rsid w:val="00FA5484"/>
    <w:rsid w:val="00FB5C98"/>
    <w:rsid w:val="00FC2566"/>
    <w:rsid w:val="00FD43F2"/>
    <w:rsid w:val="00FD4761"/>
    <w:rsid w:val="00FD4CEB"/>
    <w:rsid w:val="00FE2939"/>
    <w:rsid w:val="00FE2E57"/>
    <w:rsid w:val="00FE413A"/>
    <w:rsid w:val="00FE7256"/>
    <w:rsid w:val="00FF1A74"/>
    <w:rsid w:val="00FF1AEA"/>
    <w:rsid w:val="00FF5C6B"/>
    <w:rsid w:val="00FF710A"/>
    <w:rsid w:val="043CE1BA"/>
    <w:rsid w:val="068146CD"/>
    <w:rsid w:val="11585160"/>
    <w:rsid w:val="198AEE9C"/>
    <w:rsid w:val="1CC8AB79"/>
    <w:rsid w:val="20EB26D3"/>
    <w:rsid w:val="3AC9AA28"/>
    <w:rsid w:val="3E3F8BE2"/>
    <w:rsid w:val="4BB238C2"/>
    <w:rsid w:val="528A63DA"/>
    <w:rsid w:val="559C6274"/>
    <w:rsid w:val="5BB53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46F90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DE6"/>
    <w:pPr>
      <w:spacing w:line="360" w:lineRule="auto"/>
    </w:pPr>
    <w:rPr>
      <w:rFonts w:ascii="Calibri" w:hAnsi="Calibri"/>
    </w:rPr>
  </w:style>
  <w:style w:type="paragraph" w:styleId="Heading1">
    <w:name w:val="heading 1"/>
    <w:basedOn w:val="Normal"/>
    <w:next w:val="Normal"/>
    <w:link w:val="Heading1Char"/>
    <w:uiPriority w:val="9"/>
    <w:qFormat/>
    <w:rsid w:val="00C520F2"/>
    <w:pPr>
      <w:keepNext/>
      <w:keepLines/>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C520F2"/>
    <w:pPr>
      <w:keepNext/>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C9637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D4C"/>
    <w:pPr>
      <w:tabs>
        <w:tab w:val="center" w:pos="4320"/>
        <w:tab w:val="right" w:pos="8640"/>
      </w:tabs>
    </w:pPr>
  </w:style>
  <w:style w:type="character" w:customStyle="1" w:styleId="HeaderChar">
    <w:name w:val="Header Char"/>
    <w:basedOn w:val="DefaultParagraphFont"/>
    <w:link w:val="Header"/>
    <w:uiPriority w:val="99"/>
    <w:rsid w:val="00781D4C"/>
  </w:style>
  <w:style w:type="paragraph" w:styleId="Footer">
    <w:name w:val="footer"/>
    <w:basedOn w:val="Normal"/>
    <w:link w:val="FooterChar"/>
    <w:uiPriority w:val="99"/>
    <w:unhideWhenUsed/>
    <w:rsid w:val="00781D4C"/>
    <w:pPr>
      <w:tabs>
        <w:tab w:val="center" w:pos="4320"/>
        <w:tab w:val="right" w:pos="8640"/>
      </w:tabs>
    </w:pPr>
  </w:style>
  <w:style w:type="character" w:customStyle="1" w:styleId="FooterChar">
    <w:name w:val="Footer Char"/>
    <w:basedOn w:val="DefaultParagraphFont"/>
    <w:link w:val="Footer"/>
    <w:uiPriority w:val="99"/>
    <w:rsid w:val="00781D4C"/>
  </w:style>
  <w:style w:type="paragraph" w:styleId="BalloonText">
    <w:name w:val="Balloon Text"/>
    <w:basedOn w:val="Normal"/>
    <w:link w:val="BalloonTextChar"/>
    <w:uiPriority w:val="99"/>
    <w:semiHidden/>
    <w:unhideWhenUsed/>
    <w:rsid w:val="00781D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1D4C"/>
    <w:rPr>
      <w:rFonts w:ascii="Lucida Grande" w:hAnsi="Lucida Grande" w:cs="Lucida Grande"/>
      <w:sz w:val="18"/>
      <w:szCs w:val="18"/>
    </w:rPr>
  </w:style>
  <w:style w:type="character" w:customStyle="1" w:styleId="Heading3Char">
    <w:name w:val="Heading 3 Char"/>
    <w:basedOn w:val="DefaultParagraphFont"/>
    <w:link w:val="Heading3"/>
    <w:uiPriority w:val="9"/>
    <w:semiHidden/>
    <w:rsid w:val="00C96371"/>
    <w:rPr>
      <w:rFonts w:asciiTheme="majorHAnsi" w:eastAsiaTheme="majorEastAsia" w:hAnsiTheme="majorHAnsi" w:cstheme="majorBidi"/>
      <w:color w:val="243F60" w:themeColor="accent1" w:themeShade="7F"/>
    </w:rPr>
  </w:style>
  <w:style w:type="paragraph" w:customStyle="1" w:styleId="QAIHeading1">
    <w:name w:val="QAI Heading 1"/>
    <w:basedOn w:val="Normal"/>
    <w:autoRedefine/>
    <w:qFormat/>
    <w:rsid w:val="00387C8D"/>
    <w:pPr>
      <w:tabs>
        <w:tab w:val="left" w:pos="1400"/>
      </w:tabs>
      <w:spacing w:line="276" w:lineRule="auto"/>
    </w:pPr>
    <w:rPr>
      <w:rFonts w:cs="Calibri"/>
      <w:color w:val="B50A47"/>
      <w:sz w:val="40"/>
      <w:szCs w:val="48"/>
    </w:rPr>
  </w:style>
  <w:style w:type="paragraph" w:customStyle="1" w:styleId="QAIHeading2">
    <w:name w:val="QAI Heading 2"/>
    <w:basedOn w:val="Normal"/>
    <w:autoRedefine/>
    <w:qFormat/>
    <w:rsid w:val="00387C8D"/>
    <w:pPr>
      <w:spacing w:line="276" w:lineRule="auto"/>
    </w:pPr>
    <w:rPr>
      <w:rFonts w:cs="Calibri"/>
      <w:b/>
      <w:bCs/>
      <w:color w:val="401E6C"/>
      <w:sz w:val="32"/>
      <w:szCs w:val="32"/>
    </w:rPr>
  </w:style>
  <w:style w:type="paragraph" w:customStyle="1" w:styleId="MWAWParagraph">
    <w:name w:val="MWAW Paragraph"/>
    <w:basedOn w:val="Normal"/>
    <w:autoRedefine/>
    <w:rsid w:val="00347F04"/>
    <w:pPr>
      <w:spacing w:line="276" w:lineRule="auto"/>
    </w:pPr>
    <w:rPr>
      <w:rFonts w:ascii="Nunito Sans Light" w:hAnsi="Nunito Sans Light"/>
      <w:color w:val="000000" w:themeColor="text1"/>
      <w:sz w:val="19"/>
      <w:szCs w:val="19"/>
    </w:rPr>
  </w:style>
  <w:style w:type="paragraph" w:customStyle="1" w:styleId="QAIHeading3">
    <w:name w:val="QAI Heading 3"/>
    <w:basedOn w:val="Normal"/>
    <w:rsid w:val="00DD14D2"/>
    <w:rPr>
      <w:rFonts w:cs="Calibri"/>
      <w:color w:val="F26222"/>
    </w:rPr>
  </w:style>
  <w:style w:type="paragraph" w:styleId="NoSpacing">
    <w:name w:val="No Spacing"/>
    <w:uiPriority w:val="1"/>
    <w:qFormat/>
    <w:rsid w:val="002B3DE6"/>
    <w:rPr>
      <w:rFonts w:ascii="Calibri" w:hAnsi="Calibri"/>
    </w:rPr>
  </w:style>
  <w:style w:type="character" w:customStyle="1" w:styleId="Heading1Char">
    <w:name w:val="Heading 1 Char"/>
    <w:basedOn w:val="DefaultParagraphFont"/>
    <w:link w:val="Heading1"/>
    <w:uiPriority w:val="9"/>
    <w:rsid w:val="00C520F2"/>
    <w:rPr>
      <w:rFonts w:ascii="Calibri" w:eastAsiaTheme="majorEastAsia" w:hAnsi="Calibri" w:cstheme="majorBidi"/>
      <w:b/>
      <w:szCs w:val="32"/>
    </w:rPr>
  </w:style>
  <w:style w:type="character" w:customStyle="1" w:styleId="Heading2Char">
    <w:name w:val="Heading 2 Char"/>
    <w:basedOn w:val="DefaultParagraphFont"/>
    <w:link w:val="Heading2"/>
    <w:uiPriority w:val="9"/>
    <w:semiHidden/>
    <w:rsid w:val="00C520F2"/>
    <w:rPr>
      <w:rFonts w:ascii="Calibri" w:eastAsiaTheme="majorEastAsia" w:hAnsi="Calibri" w:cstheme="majorBidi"/>
      <w:b/>
      <w:szCs w:val="26"/>
    </w:rPr>
  </w:style>
  <w:style w:type="character" w:styleId="PageNumber">
    <w:name w:val="page number"/>
    <w:basedOn w:val="DefaultParagraphFont"/>
    <w:uiPriority w:val="99"/>
    <w:semiHidden/>
    <w:unhideWhenUsed/>
    <w:rsid w:val="00D13B4F"/>
  </w:style>
  <w:style w:type="paragraph" w:styleId="ListParagraph">
    <w:name w:val="List Paragraph"/>
    <w:basedOn w:val="Normal"/>
    <w:autoRedefine/>
    <w:uiPriority w:val="34"/>
    <w:qFormat/>
    <w:rsid w:val="00F775AD"/>
    <w:pPr>
      <w:numPr>
        <w:numId w:val="19"/>
      </w:numPr>
      <w:tabs>
        <w:tab w:val="left" w:pos="288"/>
      </w:tabs>
      <w:spacing w:before="240" w:after="120" w:line="276" w:lineRule="auto"/>
      <w:ind w:left="714" w:hanging="357"/>
    </w:pPr>
    <w:rPr>
      <w:rFonts w:cs="Calibri"/>
      <w:lang w:val="en-AU" w:eastAsia="ja-JP"/>
    </w:rPr>
  </w:style>
  <w:style w:type="paragraph" w:styleId="PlainText">
    <w:name w:val="Plain Text"/>
    <w:basedOn w:val="Normal"/>
    <w:link w:val="PlainTextChar"/>
    <w:uiPriority w:val="99"/>
    <w:unhideWhenUsed/>
    <w:rsid w:val="00CD132C"/>
    <w:pPr>
      <w:spacing w:line="240" w:lineRule="auto"/>
    </w:pPr>
    <w:rPr>
      <w:rFonts w:eastAsia="Times New Roman"/>
      <w:kern w:val="2"/>
      <w:sz w:val="22"/>
      <w:szCs w:val="21"/>
      <w:lang w:val="en-AU"/>
      <w14:ligatures w14:val="standardContextual"/>
    </w:rPr>
  </w:style>
  <w:style w:type="character" w:customStyle="1" w:styleId="PlainTextChar">
    <w:name w:val="Plain Text Char"/>
    <w:basedOn w:val="DefaultParagraphFont"/>
    <w:link w:val="PlainText"/>
    <w:uiPriority w:val="99"/>
    <w:rsid w:val="00CD132C"/>
    <w:rPr>
      <w:rFonts w:ascii="Calibri" w:eastAsia="Times New Roman" w:hAnsi="Calibri"/>
      <w:kern w:val="2"/>
      <w:sz w:val="22"/>
      <w:szCs w:val="21"/>
      <w:lang w:val="en-AU"/>
      <w14:ligatures w14:val="standardContextual"/>
    </w:rPr>
  </w:style>
  <w:style w:type="character" w:styleId="Hyperlink">
    <w:name w:val="Hyperlink"/>
    <w:basedOn w:val="DefaultParagraphFont"/>
    <w:uiPriority w:val="99"/>
    <w:unhideWhenUsed/>
    <w:rsid w:val="00925D82"/>
    <w:rPr>
      <w:color w:val="0000FF" w:themeColor="hyperlink"/>
      <w:u w:val="single"/>
    </w:rPr>
  </w:style>
  <w:style w:type="character" w:styleId="UnresolvedMention">
    <w:name w:val="Unresolved Mention"/>
    <w:basedOn w:val="DefaultParagraphFont"/>
    <w:uiPriority w:val="99"/>
    <w:rsid w:val="00925D82"/>
    <w:rPr>
      <w:color w:val="605E5C"/>
      <w:shd w:val="clear" w:color="auto" w:fill="E1DFDD"/>
    </w:rPr>
  </w:style>
  <w:style w:type="paragraph" w:styleId="FootnoteText">
    <w:name w:val="footnote text"/>
    <w:basedOn w:val="Normal"/>
    <w:link w:val="FootnoteTextChar"/>
    <w:uiPriority w:val="99"/>
    <w:semiHidden/>
    <w:unhideWhenUsed/>
    <w:rsid w:val="008C6B82"/>
    <w:pPr>
      <w:spacing w:line="240" w:lineRule="auto"/>
    </w:pPr>
    <w:rPr>
      <w:sz w:val="20"/>
      <w:szCs w:val="20"/>
    </w:rPr>
  </w:style>
  <w:style w:type="character" w:customStyle="1" w:styleId="FootnoteTextChar">
    <w:name w:val="Footnote Text Char"/>
    <w:basedOn w:val="DefaultParagraphFont"/>
    <w:link w:val="FootnoteText"/>
    <w:uiPriority w:val="99"/>
    <w:semiHidden/>
    <w:rsid w:val="008C6B82"/>
    <w:rPr>
      <w:rFonts w:ascii="Calibri" w:hAnsi="Calibri"/>
      <w:sz w:val="20"/>
      <w:szCs w:val="20"/>
    </w:rPr>
  </w:style>
  <w:style w:type="character" w:styleId="FootnoteReference">
    <w:name w:val="footnote reference"/>
    <w:basedOn w:val="DefaultParagraphFont"/>
    <w:uiPriority w:val="99"/>
    <w:semiHidden/>
    <w:unhideWhenUsed/>
    <w:rsid w:val="008C6B82"/>
    <w:rPr>
      <w:vertAlign w:val="superscript"/>
    </w:rPr>
  </w:style>
  <w:style w:type="paragraph" w:customStyle="1" w:styleId="paragraph">
    <w:name w:val="paragraph"/>
    <w:basedOn w:val="Normal"/>
    <w:rsid w:val="00D455F7"/>
    <w:pPr>
      <w:spacing w:before="100" w:beforeAutospacing="1" w:after="100" w:afterAutospacing="1" w:line="240" w:lineRule="auto"/>
    </w:pPr>
    <w:rPr>
      <w:rFonts w:ascii="Times New Roman" w:eastAsia="Times New Roman" w:hAnsi="Times New Roman" w:cs="Times New Roman"/>
      <w:lang w:val="en-AU" w:eastAsia="en-AU"/>
    </w:rPr>
  </w:style>
  <w:style w:type="character" w:customStyle="1" w:styleId="normaltextrun">
    <w:name w:val="normaltextrun"/>
    <w:basedOn w:val="DefaultParagraphFont"/>
    <w:rsid w:val="00D455F7"/>
  </w:style>
  <w:style w:type="character" w:customStyle="1" w:styleId="eop">
    <w:name w:val="eop"/>
    <w:basedOn w:val="DefaultParagraphFont"/>
    <w:rsid w:val="00D455F7"/>
  </w:style>
  <w:style w:type="character" w:styleId="FollowedHyperlink">
    <w:name w:val="FollowedHyperlink"/>
    <w:basedOn w:val="DefaultParagraphFont"/>
    <w:uiPriority w:val="99"/>
    <w:semiHidden/>
    <w:unhideWhenUsed/>
    <w:rsid w:val="00111C32"/>
    <w:rPr>
      <w:color w:val="800080" w:themeColor="followedHyperlink"/>
      <w:u w:val="single"/>
    </w:rPr>
  </w:style>
  <w:style w:type="paragraph" w:styleId="Revision">
    <w:name w:val="Revision"/>
    <w:hidden/>
    <w:uiPriority w:val="99"/>
    <w:semiHidden/>
    <w:rsid w:val="00E93C07"/>
    <w:rPr>
      <w:rFonts w:ascii="Calibri" w:hAnsi="Calibri"/>
    </w:rPr>
  </w:style>
  <w:style w:type="character" w:styleId="CommentReference">
    <w:name w:val="annotation reference"/>
    <w:basedOn w:val="DefaultParagraphFont"/>
    <w:uiPriority w:val="99"/>
    <w:semiHidden/>
    <w:unhideWhenUsed/>
    <w:rsid w:val="00A2662C"/>
    <w:rPr>
      <w:sz w:val="16"/>
      <w:szCs w:val="16"/>
    </w:rPr>
  </w:style>
  <w:style w:type="paragraph" w:styleId="CommentText">
    <w:name w:val="annotation text"/>
    <w:basedOn w:val="Normal"/>
    <w:link w:val="CommentTextChar"/>
    <w:uiPriority w:val="99"/>
    <w:unhideWhenUsed/>
    <w:rsid w:val="00A2662C"/>
    <w:pPr>
      <w:spacing w:line="240" w:lineRule="auto"/>
    </w:pPr>
    <w:rPr>
      <w:sz w:val="20"/>
      <w:szCs w:val="20"/>
    </w:rPr>
  </w:style>
  <w:style w:type="character" w:customStyle="1" w:styleId="CommentTextChar">
    <w:name w:val="Comment Text Char"/>
    <w:basedOn w:val="DefaultParagraphFont"/>
    <w:link w:val="CommentText"/>
    <w:uiPriority w:val="99"/>
    <w:rsid w:val="00A2662C"/>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A2662C"/>
    <w:rPr>
      <w:b/>
      <w:bCs/>
    </w:rPr>
  </w:style>
  <w:style w:type="character" w:customStyle="1" w:styleId="CommentSubjectChar">
    <w:name w:val="Comment Subject Char"/>
    <w:basedOn w:val="CommentTextChar"/>
    <w:link w:val="CommentSubject"/>
    <w:uiPriority w:val="99"/>
    <w:semiHidden/>
    <w:rsid w:val="00A2662C"/>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403544">
      <w:bodyDiv w:val="1"/>
      <w:marLeft w:val="0"/>
      <w:marRight w:val="0"/>
      <w:marTop w:val="0"/>
      <w:marBottom w:val="0"/>
      <w:divBdr>
        <w:top w:val="none" w:sz="0" w:space="0" w:color="auto"/>
        <w:left w:val="none" w:sz="0" w:space="0" w:color="auto"/>
        <w:bottom w:val="none" w:sz="0" w:space="0" w:color="auto"/>
        <w:right w:val="none" w:sz="0" w:space="0" w:color="auto"/>
      </w:divBdr>
    </w:div>
    <w:div w:id="697434299">
      <w:bodyDiv w:val="1"/>
      <w:marLeft w:val="0"/>
      <w:marRight w:val="0"/>
      <w:marTop w:val="0"/>
      <w:marBottom w:val="0"/>
      <w:divBdr>
        <w:top w:val="none" w:sz="0" w:space="0" w:color="auto"/>
        <w:left w:val="none" w:sz="0" w:space="0" w:color="auto"/>
        <w:bottom w:val="none" w:sz="0" w:space="0" w:color="auto"/>
        <w:right w:val="none" w:sz="0" w:space="0" w:color="auto"/>
      </w:divBdr>
    </w:div>
    <w:div w:id="952714836">
      <w:bodyDiv w:val="1"/>
      <w:marLeft w:val="0"/>
      <w:marRight w:val="0"/>
      <w:marTop w:val="0"/>
      <w:marBottom w:val="0"/>
      <w:divBdr>
        <w:top w:val="none" w:sz="0" w:space="0" w:color="auto"/>
        <w:left w:val="none" w:sz="0" w:space="0" w:color="auto"/>
        <w:bottom w:val="none" w:sz="0" w:space="0" w:color="auto"/>
        <w:right w:val="none" w:sz="0" w:space="0" w:color="auto"/>
      </w:divBdr>
    </w:div>
    <w:div w:id="1101030483">
      <w:bodyDiv w:val="1"/>
      <w:marLeft w:val="0"/>
      <w:marRight w:val="0"/>
      <w:marTop w:val="0"/>
      <w:marBottom w:val="0"/>
      <w:divBdr>
        <w:top w:val="none" w:sz="0" w:space="0" w:color="auto"/>
        <w:left w:val="none" w:sz="0" w:space="0" w:color="auto"/>
        <w:bottom w:val="none" w:sz="0" w:space="0" w:color="auto"/>
        <w:right w:val="none" w:sz="0" w:space="0" w:color="auto"/>
      </w:divBdr>
    </w:div>
    <w:div w:id="1470511215">
      <w:bodyDiv w:val="1"/>
      <w:marLeft w:val="0"/>
      <w:marRight w:val="0"/>
      <w:marTop w:val="0"/>
      <w:marBottom w:val="0"/>
      <w:divBdr>
        <w:top w:val="none" w:sz="0" w:space="0" w:color="auto"/>
        <w:left w:val="none" w:sz="0" w:space="0" w:color="auto"/>
        <w:bottom w:val="none" w:sz="0" w:space="0" w:color="auto"/>
        <w:right w:val="none" w:sz="0" w:space="0" w:color="auto"/>
      </w:divBdr>
    </w:div>
    <w:div w:id="1619683283">
      <w:bodyDiv w:val="1"/>
      <w:marLeft w:val="0"/>
      <w:marRight w:val="0"/>
      <w:marTop w:val="0"/>
      <w:marBottom w:val="0"/>
      <w:divBdr>
        <w:top w:val="none" w:sz="0" w:space="0" w:color="auto"/>
        <w:left w:val="none" w:sz="0" w:space="0" w:color="auto"/>
        <w:bottom w:val="none" w:sz="0" w:space="0" w:color="auto"/>
        <w:right w:val="none" w:sz="0" w:space="0" w:color="auto"/>
      </w:divBdr>
    </w:div>
    <w:div w:id="1964267194">
      <w:bodyDiv w:val="1"/>
      <w:marLeft w:val="0"/>
      <w:marRight w:val="0"/>
      <w:marTop w:val="0"/>
      <w:marBottom w:val="0"/>
      <w:divBdr>
        <w:top w:val="none" w:sz="0" w:space="0" w:color="auto"/>
        <w:left w:val="none" w:sz="0" w:space="0" w:color="auto"/>
        <w:bottom w:val="none" w:sz="0" w:space="0" w:color="auto"/>
        <w:right w:val="none" w:sz="0" w:space="0" w:color="auto"/>
      </w:divBdr>
    </w:div>
    <w:div w:id="1987275454">
      <w:bodyDiv w:val="1"/>
      <w:marLeft w:val="0"/>
      <w:marRight w:val="0"/>
      <w:marTop w:val="0"/>
      <w:marBottom w:val="0"/>
      <w:divBdr>
        <w:top w:val="none" w:sz="0" w:space="0" w:color="auto"/>
        <w:left w:val="none" w:sz="0" w:space="0" w:color="auto"/>
        <w:bottom w:val="none" w:sz="0" w:space="0" w:color="auto"/>
        <w:right w:val="none" w:sz="0" w:space="0" w:color="auto"/>
      </w:divBdr>
    </w:div>
    <w:div w:id="20104029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byn.rosengrave@qed.qld.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22eb771-ca73-43f7-ae9a-92fcdf6b2d87" xsi:nil="true"/>
    <_ip_UnifiedCompliancePolicyProperties xmlns="http://schemas.microsoft.com/sharepoint/v3" xsi:nil="true"/>
    <lcf76f155ced4ddcb4097134ff3c332f xmlns="662b4d72-0963-4903-8d1e-908999ea922a">
      <Terms xmlns="http://schemas.microsoft.com/office/infopath/2007/PartnerControls"/>
    </lcf76f155ced4ddcb4097134ff3c332f>
    <Commnet xmlns="662b4d72-0963-4903-8d1e-908999ea92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724B067D30BF2499845ACEC545648F0" ma:contentTypeVersion="21" ma:contentTypeDescription="Create a new document." ma:contentTypeScope="" ma:versionID="11c4a9af2ff00d8db5df1b804a505686">
  <xsd:schema xmlns:xsd="http://www.w3.org/2001/XMLSchema" xmlns:xs="http://www.w3.org/2001/XMLSchema" xmlns:p="http://schemas.microsoft.com/office/2006/metadata/properties" xmlns:ns1="http://schemas.microsoft.com/sharepoint/v3" xmlns:ns2="662b4d72-0963-4903-8d1e-908999ea922a" xmlns:ns3="422eb771-ca73-43f7-ae9a-92fcdf6b2d87" targetNamespace="http://schemas.microsoft.com/office/2006/metadata/properties" ma:root="true" ma:fieldsID="2c844e4e6793c1fe8d6323e2e1dfb7d5" ns1:_="" ns2:_="" ns3:_="">
    <xsd:import namespace="http://schemas.microsoft.com/sharepoint/v3"/>
    <xsd:import namespace="662b4d72-0963-4903-8d1e-908999ea922a"/>
    <xsd:import namespace="422eb771-ca73-43f7-ae9a-92fcdf6b2d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1:_ip_UnifiedCompliancePolicyProperties" minOccurs="0"/>
                <xsd:element ref="ns1:_ip_UnifiedCompliancePolicyUIAction" minOccurs="0"/>
                <xsd:element ref="ns2:MediaServiceLocation" minOccurs="0"/>
                <xsd:element ref="ns2:MediaServiceObjectDetectorVersions" minOccurs="0"/>
                <xsd:element ref="ns2:Commne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b4d72-0963-4903-8d1e-908999ea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fab6623-b492-42e2-a4a2-e207cea2c5e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mmnet" ma:index="27" nillable="true" ma:displayName="Commnet" ma:format="Dropdown" ma:internalName="Commnet">
      <xsd:simpleType>
        <xsd:restriction base="dms:Text">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2eb771-ca73-43f7-ae9a-92fcdf6b2d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9444ad-9253-42c9-be6d-e401742c2274}" ma:internalName="TaxCatchAll" ma:showField="CatchAllData" ma:web="422eb771-ca73-43f7-ae9a-92fcdf6b2d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E98FDE-06C3-444B-8636-35C5D5DFBA2B}">
  <ds:schemaRefs>
    <ds:schemaRef ds:uri="http://schemas.microsoft.com/office/2006/metadata/properties"/>
    <ds:schemaRef ds:uri="http://schemas.microsoft.com/office/infopath/2007/PartnerControls"/>
    <ds:schemaRef ds:uri="http://schemas.microsoft.com/sharepoint/v3"/>
    <ds:schemaRef ds:uri="422eb771-ca73-43f7-ae9a-92fcdf6b2d87"/>
    <ds:schemaRef ds:uri="662b4d72-0963-4903-8d1e-908999ea922a"/>
  </ds:schemaRefs>
</ds:datastoreItem>
</file>

<file path=customXml/itemProps2.xml><?xml version="1.0" encoding="utf-8"?>
<ds:datastoreItem xmlns:ds="http://schemas.openxmlformats.org/officeDocument/2006/customXml" ds:itemID="{3716960D-0A55-4F93-82F7-8D798281E6F7}">
  <ds:schemaRefs>
    <ds:schemaRef ds:uri="http://schemas.microsoft.com/sharepoint/v3/contenttype/forms"/>
  </ds:schemaRefs>
</ds:datastoreItem>
</file>

<file path=customXml/itemProps3.xml><?xml version="1.0" encoding="utf-8"?>
<ds:datastoreItem xmlns:ds="http://schemas.openxmlformats.org/officeDocument/2006/customXml" ds:itemID="{9196CDE2-AC84-4219-9572-64F11FFA5B95}">
  <ds:schemaRefs>
    <ds:schemaRef ds:uri="http://schemas.openxmlformats.org/officeDocument/2006/bibliography"/>
  </ds:schemaRefs>
</ds:datastoreItem>
</file>

<file path=customXml/itemProps4.xml><?xml version="1.0" encoding="utf-8"?>
<ds:datastoreItem xmlns:ds="http://schemas.openxmlformats.org/officeDocument/2006/customXml" ds:itemID="{9E949295-9457-4DFB-8F57-9D3B0082E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b4d72-0963-4903-8d1e-908999ea922a"/>
    <ds:schemaRef ds:uri="422eb771-ca73-43f7-ae9a-92fcdf6b2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2270</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15185</CharactersWithSpaces>
  <SharedDoc>false</SharedDoc>
  <HLinks>
    <vt:vector size="6" baseType="variant">
      <vt:variant>
        <vt:i4>655467</vt:i4>
      </vt:variant>
      <vt:variant>
        <vt:i4>0</vt:i4>
      </vt:variant>
      <vt:variant>
        <vt:i4>0</vt:i4>
      </vt:variant>
      <vt:variant>
        <vt:i4>5</vt:i4>
      </vt:variant>
      <vt:variant>
        <vt:lpwstr>mailto:robyn.rosengrave@qed.qld.gov.au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Knowles</dc:creator>
  <cp:keywords/>
  <dc:description/>
  <cp:lastModifiedBy>Sophie Wiggans</cp:lastModifiedBy>
  <cp:revision>2</cp:revision>
  <cp:lastPrinted>2015-10-09T01:58:00Z</cp:lastPrinted>
  <dcterms:created xsi:type="dcterms:W3CDTF">2025-08-04T04:31:00Z</dcterms:created>
  <dcterms:modified xsi:type="dcterms:W3CDTF">2025-08-04T04:31:00Z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0x0101000724B067D30BF2499845ACEC545648F0</vt:lpwstr>
  </property>
  <property fmtid="{D5CDD505-2E9C-101B-9397-08002B2CF9AE}" pid="3" name="MediaServiceImageTags">
    <vt:lpwstr/>
  </property>
</Properties>
</file>