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64C0" w14:textId="6ECDFFB2" w:rsidR="00FF4BE0" w:rsidRDefault="00000000">
      <w:pPr>
        <w:pStyle w:val="Heading1"/>
        <w:spacing w:line="391" w:lineRule="auto"/>
      </w:pPr>
      <w:proofErr w:type="gramStart"/>
      <w:r>
        <w:rPr>
          <w:color w:val="41286C"/>
          <w:spacing w:val="-8"/>
        </w:rPr>
        <w:t>Don’t</w:t>
      </w:r>
      <w:proofErr w:type="gramEnd"/>
      <w:r>
        <w:rPr>
          <w:color w:val="41286C"/>
          <w:spacing w:val="-38"/>
        </w:rPr>
        <w:t xml:space="preserve"> </w:t>
      </w:r>
      <w:r>
        <w:rPr>
          <w:color w:val="41286C"/>
          <w:spacing w:val="-8"/>
        </w:rPr>
        <w:t>agree</w:t>
      </w:r>
      <w:r>
        <w:rPr>
          <w:color w:val="41286C"/>
          <w:spacing w:val="-38"/>
        </w:rPr>
        <w:t xml:space="preserve"> </w:t>
      </w:r>
      <w:r>
        <w:rPr>
          <w:color w:val="41286C"/>
          <w:spacing w:val="-8"/>
        </w:rPr>
        <w:t xml:space="preserve">with </w:t>
      </w:r>
      <w:r>
        <w:rPr>
          <w:color w:val="41286C"/>
          <w:spacing w:val="-18"/>
        </w:rPr>
        <w:t>your</w:t>
      </w:r>
      <w:r>
        <w:rPr>
          <w:color w:val="41286C"/>
          <w:spacing w:val="-28"/>
        </w:rPr>
        <w:t xml:space="preserve"> </w:t>
      </w:r>
      <w:r>
        <w:rPr>
          <w:color w:val="41286C"/>
          <w:spacing w:val="-18"/>
        </w:rPr>
        <w:t>NDIS</w:t>
      </w:r>
      <w:r>
        <w:rPr>
          <w:color w:val="41286C"/>
          <w:spacing w:val="-28"/>
        </w:rPr>
        <w:t xml:space="preserve"> </w:t>
      </w:r>
      <w:r>
        <w:rPr>
          <w:color w:val="41286C"/>
          <w:spacing w:val="-18"/>
        </w:rPr>
        <w:t xml:space="preserve">Internal </w:t>
      </w:r>
      <w:r>
        <w:rPr>
          <w:color w:val="41286C"/>
          <w:spacing w:val="-16"/>
        </w:rPr>
        <w:t>Review</w:t>
      </w:r>
      <w:r>
        <w:rPr>
          <w:color w:val="41286C"/>
          <w:spacing w:val="-30"/>
        </w:rPr>
        <w:t xml:space="preserve"> </w:t>
      </w:r>
      <w:r>
        <w:rPr>
          <w:color w:val="41286C"/>
          <w:spacing w:val="-16"/>
        </w:rPr>
        <w:t>Decision?</w:t>
      </w:r>
    </w:p>
    <w:p w14:paraId="2616F2FE" w14:textId="77777777" w:rsidR="00FF4BE0" w:rsidRDefault="00FF4BE0">
      <w:pPr>
        <w:pStyle w:val="BodyText"/>
        <w:rPr>
          <w:b/>
          <w:sz w:val="36"/>
        </w:rPr>
      </w:pPr>
    </w:p>
    <w:p w14:paraId="5974BA90" w14:textId="77777777" w:rsidR="00FF4BE0" w:rsidRDefault="00FF4BE0">
      <w:pPr>
        <w:pStyle w:val="BodyText"/>
        <w:spacing w:before="235"/>
        <w:rPr>
          <w:b/>
          <w:sz w:val="36"/>
        </w:rPr>
      </w:pPr>
    </w:p>
    <w:p w14:paraId="6E25FA4E" w14:textId="77777777" w:rsidR="00FF4BE0" w:rsidRDefault="00000000">
      <w:pPr>
        <w:pStyle w:val="Heading2"/>
      </w:pPr>
      <w:r>
        <w:rPr>
          <w:color w:val="343433"/>
          <w:spacing w:val="-10"/>
        </w:rPr>
        <w:t>What</w:t>
      </w:r>
      <w:r>
        <w:rPr>
          <w:color w:val="343433"/>
          <w:spacing w:val="-13"/>
        </w:rPr>
        <w:t xml:space="preserve"> </w:t>
      </w:r>
      <w:r>
        <w:rPr>
          <w:color w:val="343433"/>
          <w:spacing w:val="-10"/>
        </w:rPr>
        <w:t>are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10"/>
        </w:rPr>
        <w:t>the</w:t>
      </w:r>
      <w:r>
        <w:rPr>
          <w:color w:val="343433"/>
          <w:spacing w:val="-13"/>
        </w:rPr>
        <w:t xml:space="preserve"> </w:t>
      </w:r>
      <w:r>
        <w:rPr>
          <w:color w:val="343433"/>
          <w:spacing w:val="-10"/>
        </w:rPr>
        <w:t>next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10"/>
        </w:rPr>
        <w:t>steps?</w:t>
      </w:r>
    </w:p>
    <w:p w14:paraId="420073ED" w14:textId="77777777" w:rsidR="00FF4BE0" w:rsidRDefault="00FF4BE0">
      <w:pPr>
        <w:pStyle w:val="BodyText"/>
        <w:spacing w:before="223"/>
        <w:rPr>
          <w:b/>
          <w:sz w:val="30"/>
        </w:rPr>
      </w:pPr>
    </w:p>
    <w:p w14:paraId="266C3306" w14:textId="77777777" w:rsidR="00FF4BE0" w:rsidRDefault="00000000">
      <w:pPr>
        <w:pStyle w:val="Heading3"/>
        <w:ind w:left="151"/>
      </w:pPr>
      <w:r>
        <w:rPr>
          <w:color w:val="FFFFFF"/>
          <w:spacing w:val="15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1.</w:t>
      </w:r>
      <w:r>
        <w:rPr>
          <w:color w:val="FFFFFF"/>
          <w:spacing w:val="-11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Lodge</w:t>
      </w:r>
      <w:r>
        <w:rPr>
          <w:color w:val="FFFFFF"/>
          <w:spacing w:val="-11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Appeal</w:t>
      </w:r>
      <w:r>
        <w:rPr>
          <w:color w:val="FFFFFF"/>
          <w:spacing w:val="80"/>
          <w:w w:val="150"/>
          <w:shd w:val="clear" w:color="auto" w:fill="41296C"/>
        </w:rPr>
        <w:t xml:space="preserve"> </w:t>
      </w:r>
    </w:p>
    <w:p w14:paraId="1FEE448C" w14:textId="77777777" w:rsidR="00FF4BE0" w:rsidRDefault="00FF4BE0">
      <w:pPr>
        <w:pStyle w:val="BodyText"/>
        <w:spacing w:before="9"/>
        <w:rPr>
          <w:b/>
          <w:sz w:val="30"/>
        </w:rPr>
      </w:pPr>
    </w:p>
    <w:p w14:paraId="12C880C2" w14:textId="77777777" w:rsidR="00FF4BE0" w:rsidRDefault="00000000">
      <w:pPr>
        <w:pStyle w:val="BodyText"/>
        <w:spacing w:line="312" w:lineRule="auto"/>
        <w:ind w:left="153" w:right="2049"/>
      </w:pPr>
      <w:r>
        <w:rPr>
          <w:color w:val="343433"/>
        </w:rPr>
        <w:t>If you would like to appeal the decision, you need to apply to the Administrative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Review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Tribunal.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application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Tribunal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must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done within 28 days of the internal review decision.</w:t>
      </w:r>
    </w:p>
    <w:p w14:paraId="31005A69" w14:textId="77777777" w:rsidR="00FF4BE0" w:rsidRDefault="00000000">
      <w:pPr>
        <w:pStyle w:val="BodyText"/>
        <w:spacing w:before="244" w:line="312" w:lineRule="auto"/>
        <w:ind w:left="153" w:right="1291"/>
      </w:pPr>
      <w:r>
        <w:rPr>
          <w:color w:val="343433"/>
        </w:rPr>
        <w:t>To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appeal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Tribunal,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must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complete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online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application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include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 copy of the internal review decision letter with your application.</w:t>
      </w:r>
    </w:p>
    <w:p w14:paraId="75993001" w14:textId="77777777" w:rsidR="00FF4BE0" w:rsidRDefault="00FF4BE0">
      <w:pPr>
        <w:pStyle w:val="BodyText"/>
        <w:spacing w:before="86"/>
      </w:pPr>
    </w:p>
    <w:p w14:paraId="10D3899B" w14:textId="77777777" w:rsidR="00FF4BE0" w:rsidRDefault="00000000">
      <w:pPr>
        <w:pStyle w:val="BodyText"/>
        <w:ind w:left="153"/>
      </w:pP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application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found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at:</w:t>
      </w:r>
      <w:r>
        <w:rPr>
          <w:color w:val="343433"/>
          <w:spacing w:val="-5"/>
        </w:rPr>
        <w:t xml:space="preserve"> </w:t>
      </w:r>
      <w:hyperlink r:id="rId5">
        <w:r>
          <w:rPr>
            <w:color w:val="B40B47"/>
            <w:spacing w:val="-2"/>
            <w:u w:val="single" w:color="B40B47"/>
          </w:rPr>
          <w:t>online.aat.gov.au/Home/</w:t>
        </w:r>
        <w:proofErr w:type="spellStart"/>
        <w:r>
          <w:rPr>
            <w:color w:val="B40B47"/>
            <w:spacing w:val="-2"/>
            <w:u w:val="single" w:color="B40B47"/>
          </w:rPr>
          <w:t>InstructionsNdis</w:t>
        </w:r>
        <w:proofErr w:type="spellEnd"/>
      </w:hyperlink>
    </w:p>
    <w:p w14:paraId="1E52C0E0" w14:textId="77777777" w:rsidR="00FF4BE0" w:rsidRDefault="00FF4BE0">
      <w:pPr>
        <w:pStyle w:val="BodyText"/>
        <w:spacing w:before="48"/>
      </w:pPr>
    </w:p>
    <w:p w14:paraId="67BE0260" w14:textId="77777777" w:rsidR="00FF4BE0" w:rsidRDefault="00000000">
      <w:pPr>
        <w:pStyle w:val="BodyText"/>
        <w:ind w:left="153"/>
      </w:pPr>
      <w:r>
        <w:rPr>
          <w:color w:val="343433"/>
        </w:rPr>
        <w:t>Once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lodged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5"/>
        </w:rPr>
        <w:t xml:space="preserve"> </w:t>
      </w:r>
      <w:r>
        <w:rPr>
          <w:color w:val="343433"/>
        </w:rPr>
        <w:t>Tribunal,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should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immediately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receive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confirmation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email</w:t>
      </w:r>
    </w:p>
    <w:p w14:paraId="7F6E1522" w14:textId="77777777" w:rsidR="00FF4BE0" w:rsidRDefault="00000000">
      <w:pPr>
        <w:pStyle w:val="BodyText"/>
        <w:spacing w:before="84" w:line="520" w:lineRule="auto"/>
        <w:ind w:left="153" w:right="2947"/>
      </w:pPr>
      <w:r>
        <w:rPr>
          <w:color w:val="343433"/>
        </w:rPr>
        <w:t>(if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don’t,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check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your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junk,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check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address,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ring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7"/>
        </w:rPr>
        <w:t xml:space="preserve"> </w:t>
      </w:r>
      <w:r>
        <w:rPr>
          <w:color w:val="343433"/>
        </w:rPr>
        <w:t>Tribunal). The Tribunal’s phone number is: 1800 228 333</w:t>
      </w:r>
    </w:p>
    <w:p w14:paraId="3D2DA7A6" w14:textId="77777777" w:rsidR="00FF4BE0" w:rsidRDefault="00FF4BE0">
      <w:pPr>
        <w:pStyle w:val="BodyText"/>
        <w:spacing w:before="169"/>
        <w:rPr>
          <w:sz w:val="30"/>
        </w:rPr>
      </w:pPr>
    </w:p>
    <w:p w14:paraId="1B854D2B" w14:textId="77777777" w:rsidR="00FF4BE0" w:rsidRDefault="00000000">
      <w:pPr>
        <w:pStyle w:val="Heading3"/>
        <w:spacing w:before="1"/>
        <w:ind w:left="94"/>
      </w:pPr>
      <w:r>
        <w:rPr>
          <w:color w:val="FFFFFF"/>
          <w:spacing w:val="51"/>
          <w:shd w:val="clear" w:color="auto" w:fill="41296C"/>
        </w:rPr>
        <w:t xml:space="preserve"> </w:t>
      </w:r>
      <w:r>
        <w:rPr>
          <w:color w:val="FFFFFF"/>
          <w:spacing w:val="-6"/>
          <w:shd w:val="clear" w:color="auto" w:fill="41296C"/>
        </w:rPr>
        <w:t>2.</w:t>
      </w:r>
      <w:r>
        <w:rPr>
          <w:color w:val="FFFFFF"/>
          <w:spacing w:val="-11"/>
          <w:shd w:val="clear" w:color="auto" w:fill="41296C"/>
        </w:rPr>
        <w:t xml:space="preserve"> </w:t>
      </w:r>
      <w:r>
        <w:rPr>
          <w:color w:val="FFFFFF"/>
          <w:spacing w:val="-6"/>
          <w:shd w:val="clear" w:color="auto" w:fill="41296C"/>
        </w:rPr>
        <w:t>Receive</w:t>
      </w:r>
      <w:r>
        <w:rPr>
          <w:color w:val="FFFFFF"/>
          <w:spacing w:val="-12"/>
          <w:shd w:val="clear" w:color="auto" w:fill="41296C"/>
        </w:rPr>
        <w:t xml:space="preserve"> </w:t>
      </w:r>
      <w:r>
        <w:rPr>
          <w:color w:val="FFFFFF"/>
          <w:spacing w:val="-6"/>
          <w:shd w:val="clear" w:color="auto" w:fill="41296C"/>
        </w:rPr>
        <w:t>details</w:t>
      </w:r>
      <w:r>
        <w:rPr>
          <w:color w:val="FFFFFF"/>
          <w:spacing w:val="80"/>
          <w:shd w:val="clear" w:color="auto" w:fill="41296C"/>
        </w:rPr>
        <w:t xml:space="preserve"> </w:t>
      </w:r>
    </w:p>
    <w:p w14:paraId="63EE377F" w14:textId="77777777" w:rsidR="00FF4BE0" w:rsidRDefault="00FF4BE0">
      <w:pPr>
        <w:pStyle w:val="BodyText"/>
        <w:spacing w:before="169"/>
        <w:rPr>
          <w:b/>
        </w:rPr>
      </w:pPr>
    </w:p>
    <w:p w14:paraId="44D3EAEA" w14:textId="77777777" w:rsidR="00FF4BE0" w:rsidRDefault="00000000">
      <w:pPr>
        <w:pStyle w:val="BodyText"/>
        <w:ind w:left="94"/>
      </w:pPr>
      <w:r>
        <w:rPr>
          <w:color w:val="343433"/>
        </w:rPr>
        <w:t>Sometime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after,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necessarily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at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same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time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but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order,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should</w:t>
      </w:r>
      <w:r>
        <w:rPr>
          <w:color w:val="343433"/>
          <w:spacing w:val="-8"/>
        </w:rPr>
        <w:t xml:space="preserve"> </w:t>
      </w:r>
      <w:r>
        <w:rPr>
          <w:color w:val="343433"/>
          <w:spacing w:val="-2"/>
        </w:rPr>
        <w:t>receive:</w:t>
      </w:r>
    </w:p>
    <w:p w14:paraId="10E7DC71" w14:textId="77777777" w:rsidR="00FF4BE0" w:rsidRDefault="00000000">
      <w:pPr>
        <w:pStyle w:val="ListParagraph"/>
        <w:numPr>
          <w:ilvl w:val="0"/>
          <w:numId w:val="1"/>
        </w:numPr>
        <w:tabs>
          <w:tab w:val="left" w:pos="1233"/>
        </w:tabs>
        <w:spacing w:before="189"/>
        <w:ind w:left="1233" w:hanging="590"/>
        <w:rPr>
          <w:rFonts w:ascii="Trebuchet MS"/>
          <w:b/>
          <w:color w:val="FFFFFF"/>
          <w:position w:val="-1"/>
          <w:sz w:val="24"/>
        </w:rPr>
      </w:pPr>
      <w:r>
        <w:rPr>
          <w:color w:val="343433"/>
          <w:sz w:val="24"/>
        </w:rPr>
        <w:t>an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email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confirming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your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case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pacing w:val="-2"/>
          <w:sz w:val="24"/>
        </w:rPr>
        <w:t>number.</w:t>
      </w:r>
    </w:p>
    <w:p w14:paraId="2A008ED4" w14:textId="77777777" w:rsidR="00FF4BE0" w:rsidRDefault="00000000">
      <w:pPr>
        <w:pStyle w:val="BodyText"/>
        <w:spacing w:before="62"/>
        <w:ind w:left="1234"/>
      </w:pPr>
      <w:r>
        <w:rPr>
          <w:color w:val="343433"/>
        </w:rPr>
        <w:t>(always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quote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this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number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when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dealing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with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3"/>
        </w:rPr>
        <w:t xml:space="preserve"> </w:t>
      </w:r>
      <w:r>
        <w:rPr>
          <w:color w:val="343433"/>
          <w:spacing w:val="-2"/>
        </w:rPr>
        <w:t>tribunal).</w:t>
      </w:r>
    </w:p>
    <w:p w14:paraId="72742232" w14:textId="77777777" w:rsidR="00FF4BE0" w:rsidRDefault="00000000">
      <w:pPr>
        <w:pStyle w:val="ListParagraph"/>
        <w:numPr>
          <w:ilvl w:val="0"/>
          <w:numId w:val="1"/>
        </w:numPr>
        <w:tabs>
          <w:tab w:val="left" w:pos="1233"/>
        </w:tabs>
        <w:spacing w:before="141"/>
        <w:ind w:left="1233" w:hanging="585"/>
        <w:rPr>
          <w:rFonts w:ascii="Trebuchet MS" w:hAnsi="Trebuchet MS"/>
          <w:b/>
          <w:color w:val="FFFFFF"/>
          <w:sz w:val="24"/>
        </w:rPr>
      </w:pPr>
      <w:r>
        <w:rPr>
          <w:color w:val="343433"/>
          <w:position w:val="2"/>
          <w:sz w:val="24"/>
        </w:rPr>
        <w:t>a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bundle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of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documents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called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‘T-Documents’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position w:val="2"/>
          <w:sz w:val="24"/>
        </w:rPr>
        <w:t>(Tribunal</w:t>
      </w:r>
      <w:r>
        <w:rPr>
          <w:color w:val="343433"/>
          <w:spacing w:val="-12"/>
          <w:position w:val="2"/>
          <w:sz w:val="24"/>
        </w:rPr>
        <w:t xml:space="preserve"> </w:t>
      </w:r>
      <w:r>
        <w:rPr>
          <w:color w:val="343433"/>
          <w:spacing w:val="-2"/>
          <w:position w:val="2"/>
          <w:sz w:val="24"/>
        </w:rPr>
        <w:t>Documents).</w:t>
      </w:r>
    </w:p>
    <w:p w14:paraId="6C50C76E" w14:textId="77777777" w:rsidR="00FF4BE0" w:rsidRDefault="00000000">
      <w:pPr>
        <w:pStyle w:val="ListParagraph"/>
        <w:numPr>
          <w:ilvl w:val="0"/>
          <w:numId w:val="1"/>
        </w:numPr>
        <w:tabs>
          <w:tab w:val="left" w:pos="1234"/>
        </w:tabs>
        <w:spacing w:line="297" w:lineRule="auto"/>
        <w:ind w:right="1521"/>
        <w:rPr>
          <w:rFonts w:ascii="Trebuchet MS"/>
          <w:b/>
          <w:color w:val="FFFFFF"/>
          <w:position w:val="-2"/>
          <w:sz w:val="24"/>
        </w:rPr>
      </w:pPr>
      <w:r>
        <w:rPr>
          <w:color w:val="343433"/>
          <w:sz w:val="24"/>
        </w:rPr>
        <w:t>a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date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for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case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conference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or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directions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hearing.</w:t>
      </w:r>
      <w:r>
        <w:rPr>
          <w:color w:val="343433"/>
          <w:spacing w:val="-8"/>
          <w:sz w:val="24"/>
        </w:rPr>
        <w:t xml:space="preserve"> </w:t>
      </w:r>
      <w:r>
        <w:rPr>
          <w:color w:val="343433"/>
          <w:sz w:val="24"/>
        </w:rPr>
        <w:t>This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is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meeting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with you,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Tribunal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registrar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or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member,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the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NDIA.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It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is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usually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by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 xml:space="preserve">phone or Teams video </w:t>
      </w:r>
      <w:proofErr w:type="gramStart"/>
      <w:r>
        <w:rPr>
          <w:color w:val="343433"/>
          <w:sz w:val="24"/>
        </w:rPr>
        <w:t>conference, and</w:t>
      </w:r>
      <w:proofErr w:type="gramEnd"/>
      <w:r>
        <w:rPr>
          <w:color w:val="343433"/>
          <w:sz w:val="24"/>
        </w:rPr>
        <w:t xml:space="preserve"> takes about an hour.</w:t>
      </w:r>
    </w:p>
    <w:p w14:paraId="71FFBD1F" w14:textId="77777777" w:rsidR="00FF4BE0" w:rsidRDefault="00FF4BE0">
      <w:pPr>
        <w:pStyle w:val="ListParagraph"/>
        <w:spacing w:line="297" w:lineRule="auto"/>
        <w:rPr>
          <w:rFonts w:ascii="Trebuchet MS"/>
          <w:b/>
          <w:position w:val="-2"/>
          <w:sz w:val="24"/>
        </w:rPr>
        <w:sectPr w:rsidR="00FF4BE0">
          <w:type w:val="continuous"/>
          <w:pgSz w:w="11910" w:h="16840"/>
          <w:pgMar w:top="620" w:right="850" w:bottom="280" w:left="566" w:header="720" w:footer="720" w:gutter="0"/>
          <w:cols w:space="720"/>
        </w:sectPr>
      </w:pPr>
    </w:p>
    <w:p w14:paraId="7B073955" w14:textId="6FD74526" w:rsidR="00FF4BE0" w:rsidRDefault="00000000">
      <w:pPr>
        <w:pStyle w:val="Heading3"/>
        <w:spacing w:before="115"/>
        <w:ind w:left="153"/>
      </w:pPr>
      <w:r>
        <w:rPr>
          <w:color w:val="FFFFFF"/>
          <w:spacing w:val="-3"/>
          <w:shd w:val="clear" w:color="auto" w:fill="41296C"/>
        </w:rPr>
        <w:lastRenderedPageBreak/>
        <w:t xml:space="preserve"> </w:t>
      </w:r>
      <w:r>
        <w:rPr>
          <w:color w:val="FFFFFF"/>
          <w:spacing w:val="-8"/>
          <w:shd w:val="clear" w:color="auto" w:fill="41296C"/>
        </w:rPr>
        <w:t>3.</w:t>
      </w:r>
      <w:r>
        <w:rPr>
          <w:color w:val="FFFFFF"/>
          <w:spacing w:val="-12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First</w:t>
      </w:r>
      <w:r>
        <w:rPr>
          <w:color w:val="FFFFFF"/>
          <w:spacing w:val="-12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case</w:t>
      </w:r>
      <w:r>
        <w:rPr>
          <w:color w:val="FFFFFF"/>
          <w:spacing w:val="-11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conference</w:t>
      </w:r>
      <w:r>
        <w:rPr>
          <w:color w:val="FFFFFF"/>
          <w:spacing w:val="-12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or</w:t>
      </w:r>
      <w:r>
        <w:rPr>
          <w:color w:val="FFFFFF"/>
          <w:spacing w:val="-11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directions</w:t>
      </w:r>
      <w:r>
        <w:rPr>
          <w:color w:val="FFFFFF"/>
          <w:spacing w:val="-12"/>
          <w:shd w:val="clear" w:color="auto" w:fill="41296C"/>
        </w:rPr>
        <w:t xml:space="preserve"> </w:t>
      </w:r>
      <w:r>
        <w:rPr>
          <w:color w:val="FFFFFF"/>
          <w:spacing w:val="-8"/>
          <w:shd w:val="clear" w:color="auto" w:fill="41296C"/>
        </w:rPr>
        <w:t>hearing</w:t>
      </w:r>
      <w:r>
        <w:rPr>
          <w:color w:val="FFFFFF"/>
          <w:spacing w:val="40"/>
          <w:shd w:val="clear" w:color="auto" w:fill="41296C"/>
        </w:rPr>
        <w:t xml:space="preserve"> </w:t>
      </w:r>
    </w:p>
    <w:p w14:paraId="5F2F6172" w14:textId="77777777" w:rsidR="00FF4BE0" w:rsidRDefault="00FF4BE0">
      <w:pPr>
        <w:pStyle w:val="BodyText"/>
        <w:spacing w:before="99"/>
        <w:rPr>
          <w:b/>
        </w:rPr>
      </w:pPr>
    </w:p>
    <w:p w14:paraId="37BA3E16" w14:textId="77777777" w:rsidR="00FF4BE0" w:rsidRDefault="00000000">
      <w:pPr>
        <w:pStyle w:val="BodyText"/>
        <w:spacing w:line="312" w:lineRule="auto"/>
        <w:ind w:left="134" w:right="4097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EEBBEA4" wp14:editId="636A751F">
            <wp:simplePos x="0" y="0"/>
            <wp:positionH relativeFrom="page">
              <wp:posOffset>4401629</wp:posOffset>
            </wp:positionH>
            <wp:positionV relativeFrom="paragraph">
              <wp:posOffset>32108</wp:posOffset>
            </wp:positionV>
            <wp:extent cx="2552268" cy="2297638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268" cy="2297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3"/>
        </w:rPr>
        <w:t>At least one day before the first case conference or directions hearing, the NDIA will send you a statement which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sets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out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NDIA’s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position.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allocated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day and time for the conference or hearing, the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Tribunal will contact you.</w:t>
      </w:r>
    </w:p>
    <w:p w14:paraId="7EECAC81" w14:textId="77777777" w:rsidR="00FF4BE0" w:rsidRDefault="00FF4BE0">
      <w:pPr>
        <w:pStyle w:val="BodyText"/>
        <w:spacing w:before="90"/>
      </w:pPr>
    </w:p>
    <w:p w14:paraId="58A2BAE3" w14:textId="77777777" w:rsidR="00FF4BE0" w:rsidRDefault="00000000">
      <w:pPr>
        <w:pStyle w:val="BodyText"/>
        <w:spacing w:line="312" w:lineRule="auto"/>
        <w:ind w:left="134" w:right="4528"/>
      </w:pPr>
      <w:r>
        <w:rPr>
          <w:color w:val="343433"/>
        </w:rPr>
        <w:t>A person from the Tribunal (either a registrar or member) will chair a discussion about the issues, the evidence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NDIA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is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seeking,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steps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14"/>
        </w:rPr>
        <w:t xml:space="preserve"> </w:t>
      </w:r>
      <w:r>
        <w:rPr>
          <w:color w:val="343433"/>
        </w:rPr>
        <w:t>need to be taken to progress the appeal.</w:t>
      </w:r>
    </w:p>
    <w:p w14:paraId="75E87133" w14:textId="77777777" w:rsidR="00FF4BE0" w:rsidRDefault="00FF4BE0">
      <w:pPr>
        <w:pStyle w:val="BodyText"/>
        <w:spacing w:before="236"/>
      </w:pPr>
    </w:p>
    <w:p w14:paraId="714BB074" w14:textId="77777777" w:rsidR="00FF4BE0" w:rsidRDefault="00000000">
      <w:pPr>
        <w:pStyle w:val="BodyText"/>
        <w:spacing w:line="312" w:lineRule="auto"/>
        <w:ind w:left="134"/>
      </w:pPr>
      <w:r>
        <w:rPr>
          <w:color w:val="343433"/>
        </w:rPr>
        <w:t>Following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conference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hearing,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Tribunal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will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issue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directions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(a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to-do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list)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 xml:space="preserve">NDIA and you. This is just the first </w:t>
      </w:r>
      <w:proofErr w:type="gramStart"/>
      <w:r>
        <w:rPr>
          <w:color w:val="343433"/>
        </w:rPr>
        <w:t>stage</w:t>
      </w:r>
      <w:proofErr w:type="gramEnd"/>
      <w:r>
        <w:rPr>
          <w:color w:val="343433"/>
        </w:rPr>
        <w:t xml:space="preserve"> and you will likely have more than one meeting with the Tribunal and NDIA.</w:t>
      </w:r>
    </w:p>
    <w:p w14:paraId="7FBD46F3" w14:textId="77777777" w:rsidR="00FF4BE0" w:rsidRDefault="00FF4BE0">
      <w:pPr>
        <w:pStyle w:val="BodyText"/>
        <w:spacing w:before="88"/>
      </w:pPr>
    </w:p>
    <w:p w14:paraId="1B57DF60" w14:textId="77777777" w:rsidR="00FF4BE0" w:rsidRDefault="00000000">
      <w:pPr>
        <w:pStyle w:val="BodyText"/>
        <w:ind w:left="134"/>
      </w:pPr>
      <w:r>
        <w:rPr>
          <w:color w:val="343433"/>
        </w:rPr>
        <w:t>You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find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further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information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how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can</w:t>
      </w:r>
      <w:r>
        <w:rPr>
          <w:color w:val="343433"/>
          <w:spacing w:val="-7"/>
        </w:rPr>
        <w:t xml:space="preserve"> </w:t>
      </w:r>
      <w:r>
        <w:rPr>
          <w:color w:val="343433"/>
        </w:rPr>
        <w:t>help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on</w:t>
      </w:r>
      <w:r>
        <w:rPr>
          <w:color w:val="343433"/>
          <w:spacing w:val="-8"/>
        </w:rPr>
        <w:t xml:space="preserve"> </w:t>
      </w:r>
      <w:r>
        <w:rPr>
          <w:color w:val="343433"/>
        </w:rPr>
        <w:t>our</w:t>
      </w:r>
      <w:r>
        <w:rPr>
          <w:color w:val="343433"/>
          <w:spacing w:val="-8"/>
        </w:rPr>
        <w:t xml:space="preserve"> </w:t>
      </w:r>
      <w:hyperlink r:id="rId7">
        <w:r>
          <w:rPr>
            <w:color w:val="B40B47"/>
            <w:u w:val="single" w:color="B40B47"/>
          </w:rPr>
          <w:t>NDIS</w:t>
        </w:r>
        <w:r>
          <w:rPr>
            <w:color w:val="B40B47"/>
            <w:spacing w:val="-8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Appeals</w:t>
        </w:r>
        <w:r>
          <w:rPr>
            <w:color w:val="B40B47"/>
            <w:spacing w:val="-8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Support</w:t>
        </w:r>
        <w:r>
          <w:rPr>
            <w:color w:val="B40B47"/>
            <w:spacing w:val="-7"/>
            <w:u w:val="single" w:color="B40B47"/>
          </w:rPr>
          <w:t xml:space="preserve"> </w:t>
        </w:r>
        <w:r>
          <w:rPr>
            <w:color w:val="B40B47"/>
            <w:spacing w:val="-2"/>
            <w:u w:val="single" w:color="B40B47"/>
          </w:rPr>
          <w:t>webpage</w:t>
        </w:r>
      </w:hyperlink>
      <w:r>
        <w:rPr>
          <w:color w:val="343433"/>
          <w:spacing w:val="-2"/>
        </w:rPr>
        <w:t>.</w:t>
      </w:r>
    </w:p>
    <w:p w14:paraId="15212C89" w14:textId="77777777" w:rsidR="00FF4BE0" w:rsidRDefault="00FF4BE0">
      <w:pPr>
        <w:pStyle w:val="BodyText"/>
        <w:rPr>
          <w:sz w:val="30"/>
        </w:rPr>
      </w:pPr>
    </w:p>
    <w:p w14:paraId="34B64243" w14:textId="77777777" w:rsidR="00FF4BE0" w:rsidRDefault="00FF4BE0">
      <w:pPr>
        <w:pStyle w:val="BodyText"/>
        <w:rPr>
          <w:sz w:val="30"/>
        </w:rPr>
      </w:pPr>
    </w:p>
    <w:p w14:paraId="4F18CA8C" w14:textId="77777777" w:rsidR="00FF4BE0" w:rsidRDefault="00FF4BE0">
      <w:pPr>
        <w:pStyle w:val="BodyText"/>
        <w:rPr>
          <w:sz w:val="30"/>
        </w:rPr>
      </w:pPr>
    </w:p>
    <w:p w14:paraId="051F3E45" w14:textId="77777777" w:rsidR="00FF4BE0" w:rsidRDefault="00FF4BE0">
      <w:pPr>
        <w:pStyle w:val="BodyText"/>
        <w:spacing w:before="313"/>
        <w:rPr>
          <w:sz w:val="30"/>
        </w:rPr>
      </w:pPr>
    </w:p>
    <w:p w14:paraId="1AA495A4" w14:textId="77777777" w:rsidR="00FF4BE0" w:rsidRDefault="00000000">
      <w:pPr>
        <w:pStyle w:val="Heading3"/>
        <w:spacing w:before="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B10983C" wp14:editId="36ACF304">
            <wp:simplePos x="0" y="0"/>
            <wp:positionH relativeFrom="page">
              <wp:posOffset>5207076</wp:posOffset>
            </wp:positionH>
            <wp:positionV relativeFrom="paragraph">
              <wp:posOffset>127557</wp:posOffset>
            </wp:positionV>
            <wp:extent cx="1746820" cy="1071595"/>
            <wp:effectExtent l="0" t="0" r="0" b="0"/>
            <wp:wrapNone/>
            <wp:docPr id="12" name="Image 12" descr="Queensland Advocacy for Inclu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Queensland Advocacy for Inclus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20" cy="107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19"/>
          <w:shd w:val="clear" w:color="auto" w:fill="41296C"/>
        </w:rPr>
        <w:t xml:space="preserve"> </w:t>
      </w:r>
      <w:r>
        <w:rPr>
          <w:color w:val="FFFFFF"/>
          <w:w w:val="90"/>
          <w:shd w:val="clear" w:color="auto" w:fill="41296C"/>
        </w:rPr>
        <w:t>Contact</w:t>
      </w:r>
      <w:r>
        <w:rPr>
          <w:color w:val="FFFFFF"/>
          <w:spacing w:val="11"/>
          <w:shd w:val="clear" w:color="auto" w:fill="41296C"/>
        </w:rPr>
        <w:t xml:space="preserve"> </w:t>
      </w:r>
      <w:r>
        <w:rPr>
          <w:color w:val="FFFFFF"/>
          <w:spacing w:val="-7"/>
          <w:shd w:val="clear" w:color="auto" w:fill="41296C"/>
        </w:rPr>
        <w:t>Us</w:t>
      </w:r>
      <w:r>
        <w:rPr>
          <w:color w:val="FFFFFF"/>
          <w:spacing w:val="40"/>
          <w:shd w:val="clear" w:color="auto" w:fill="41296C"/>
        </w:rPr>
        <w:t xml:space="preserve"> </w:t>
      </w:r>
    </w:p>
    <w:p w14:paraId="370D6D60" w14:textId="77777777" w:rsidR="00FF4BE0" w:rsidRDefault="00000000">
      <w:pPr>
        <w:spacing w:before="236" w:line="312" w:lineRule="auto"/>
        <w:ind w:left="151" w:right="5903"/>
        <w:rPr>
          <w:sz w:val="24"/>
        </w:rPr>
      </w:pPr>
      <w:r>
        <w:rPr>
          <w:b/>
          <w:color w:val="343433"/>
          <w:spacing w:val="-8"/>
          <w:sz w:val="24"/>
        </w:rPr>
        <w:t>Queensland</w:t>
      </w:r>
      <w:r>
        <w:rPr>
          <w:b/>
          <w:color w:val="343433"/>
          <w:spacing w:val="-9"/>
          <w:sz w:val="24"/>
        </w:rPr>
        <w:t xml:space="preserve"> </w:t>
      </w:r>
      <w:r>
        <w:rPr>
          <w:b/>
          <w:color w:val="343433"/>
          <w:spacing w:val="-8"/>
          <w:sz w:val="24"/>
        </w:rPr>
        <w:t>Advocacy</w:t>
      </w:r>
      <w:r>
        <w:rPr>
          <w:b/>
          <w:color w:val="343433"/>
          <w:spacing w:val="-9"/>
          <w:sz w:val="24"/>
        </w:rPr>
        <w:t xml:space="preserve"> </w:t>
      </w:r>
      <w:r>
        <w:rPr>
          <w:b/>
          <w:color w:val="343433"/>
          <w:spacing w:val="-8"/>
          <w:sz w:val="24"/>
        </w:rPr>
        <w:t>for Inclusion</w:t>
      </w:r>
      <w:r>
        <w:rPr>
          <w:b/>
          <w:color w:val="343433"/>
          <w:spacing w:val="-9"/>
          <w:sz w:val="24"/>
        </w:rPr>
        <w:t xml:space="preserve"> </w:t>
      </w:r>
      <w:r>
        <w:rPr>
          <w:b/>
          <w:color w:val="343433"/>
          <w:spacing w:val="-8"/>
          <w:sz w:val="24"/>
        </w:rPr>
        <w:t xml:space="preserve">(QAI) </w:t>
      </w:r>
      <w:r>
        <w:rPr>
          <w:b/>
          <w:color w:val="343433"/>
          <w:sz w:val="24"/>
        </w:rPr>
        <w:t>Areas</w:t>
      </w:r>
      <w:r>
        <w:rPr>
          <w:color w:val="343433"/>
          <w:sz w:val="24"/>
        </w:rPr>
        <w:t>: All Queensland</w:t>
      </w:r>
    </w:p>
    <w:p w14:paraId="1929C994" w14:textId="77777777" w:rsidR="00FF4BE0" w:rsidRDefault="00000000">
      <w:pPr>
        <w:pStyle w:val="BodyText"/>
        <w:tabs>
          <w:tab w:val="left" w:pos="2750"/>
          <w:tab w:val="left" w:pos="5114"/>
        </w:tabs>
        <w:spacing w:before="49"/>
        <w:ind w:left="593"/>
        <w:rPr>
          <w:position w:val="3"/>
        </w:rPr>
      </w:pPr>
      <w:r>
        <w:rPr>
          <w:noProof/>
          <w:position w:val="3"/>
        </w:rPr>
        <w:drawing>
          <wp:anchor distT="0" distB="0" distL="0" distR="0" simplePos="0" relativeHeight="15731200" behindDoc="0" locked="0" layoutInCell="1" allowOverlap="1" wp14:anchorId="23F3A34B" wp14:editId="54CC289F">
            <wp:simplePos x="0" y="0"/>
            <wp:positionH relativeFrom="page">
              <wp:posOffset>457193</wp:posOffset>
            </wp:positionH>
            <wp:positionV relativeFrom="paragraph">
              <wp:posOffset>29544</wp:posOffset>
            </wp:positionV>
            <wp:extent cx="230835" cy="23080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3"/>
        </w:rPr>
        <w:drawing>
          <wp:anchor distT="0" distB="0" distL="0" distR="0" simplePos="0" relativeHeight="487488000" behindDoc="1" locked="0" layoutInCell="1" allowOverlap="1" wp14:anchorId="373F3454" wp14:editId="0EC748D2">
            <wp:simplePos x="0" y="0"/>
            <wp:positionH relativeFrom="page">
              <wp:posOffset>1837794</wp:posOffset>
            </wp:positionH>
            <wp:positionV relativeFrom="paragraph">
              <wp:posOffset>29544</wp:posOffset>
            </wp:positionV>
            <wp:extent cx="230835" cy="23080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3"/>
        </w:rPr>
        <w:drawing>
          <wp:anchor distT="0" distB="0" distL="0" distR="0" simplePos="0" relativeHeight="487488512" behindDoc="1" locked="0" layoutInCell="1" allowOverlap="1" wp14:anchorId="0E414CA6" wp14:editId="7A264428">
            <wp:simplePos x="0" y="0"/>
            <wp:positionH relativeFrom="page">
              <wp:posOffset>3326775</wp:posOffset>
            </wp:positionH>
            <wp:positionV relativeFrom="paragraph">
              <wp:posOffset>29543</wp:posOffset>
            </wp:positionV>
            <wp:extent cx="230822" cy="23080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40B47"/>
          <w:u w:val="single" w:color="B40B47"/>
        </w:rPr>
        <w:t>1300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u w:val="single" w:color="B40B47"/>
        </w:rPr>
        <w:t>130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spacing w:val="-5"/>
          <w:u w:val="single" w:color="B40B47"/>
        </w:rPr>
        <w:t>582</w:t>
      </w:r>
      <w:r>
        <w:rPr>
          <w:color w:val="B40B47"/>
        </w:rPr>
        <w:tab/>
      </w:r>
      <w:hyperlink r:id="rId12">
        <w:r>
          <w:rPr>
            <w:color w:val="B40B47"/>
            <w:spacing w:val="-2"/>
            <w:position w:val="1"/>
            <w:u w:val="single" w:color="B40B47"/>
          </w:rPr>
          <w:t>qai@qai.org.au</w:t>
        </w:r>
      </w:hyperlink>
      <w:r>
        <w:rPr>
          <w:color w:val="B40B47"/>
          <w:position w:val="1"/>
        </w:rPr>
        <w:tab/>
      </w:r>
      <w:hyperlink r:id="rId13">
        <w:r>
          <w:rPr>
            <w:color w:val="B40B47"/>
            <w:spacing w:val="-2"/>
            <w:position w:val="3"/>
            <w:u w:val="single" w:color="B40B47"/>
          </w:rPr>
          <w:t>qai.org.au</w:t>
        </w:r>
      </w:hyperlink>
    </w:p>
    <w:p w14:paraId="7326F41A" w14:textId="77777777" w:rsidR="00FF4BE0" w:rsidRDefault="00FF4BE0">
      <w:pPr>
        <w:pStyle w:val="BodyText"/>
        <w:rPr>
          <w:sz w:val="30"/>
        </w:rPr>
      </w:pPr>
    </w:p>
    <w:p w14:paraId="386F7245" w14:textId="77777777" w:rsidR="00FF4BE0" w:rsidRDefault="00FF4BE0">
      <w:pPr>
        <w:pStyle w:val="BodyText"/>
        <w:spacing w:before="107"/>
        <w:rPr>
          <w:sz w:val="30"/>
        </w:rPr>
      </w:pPr>
    </w:p>
    <w:p w14:paraId="267F9F67" w14:textId="77777777" w:rsidR="00FF4BE0" w:rsidRDefault="00000000">
      <w:pPr>
        <w:pStyle w:val="Heading3"/>
      </w:pPr>
      <w:r>
        <w:rPr>
          <w:color w:val="FFFFFF"/>
          <w:spacing w:val="10"/>
          <w:shd w:val="clear" w:color="auto" w:fill="41296C"/>
        </w:rPr>
        <w:t xml:space="preserve"> </w:t>
      </w:r>
      <w:r>
        <w:rPr>
          <w:color w:val="FFFFFF"/>
          <w:w w:val="90"/>
          <w:shd w:val="clear" w:color="auto" w:fill="41296C"/>
        </w:rPr>
        <w:t>Other</w:t>
      </w:r>
      <w:r>
        <w:rPr>
          <w:color w:val="FFFFFF"/>
          <w:spacing w:val="2"/>
          <w:shd w:val="clear" w:color="auto" w:fill="41296C"/>
        </w:rPr>
        <w:t xml:space="preserve"> </w:t>
      </w:r>
      <w:r>
        <w:rPr>
          <w:color w:val="FFFFFF"/>
          <w:spacing w:val="-2"/>
          <w:shd w:val="clear" w:color="auto" w:fill="41296C"/>
        </w:rPr>
        <w:t>Organisations</w:t>
      </w:r>
      <w:r>
        <w:rPr>
          <w:color w:val="FFFFFF"/>
          <w:spacing w:val="80"/>
          <w:shd w:val="clear" w:color="auto" w:fill="41296C"/>
        </w:rPr>
        <w:t xml:space="preserve"> </w:t>
      </w:r>
    </w:p>
    <w:p w14:paraId="09130032" w14:textId="77777777" w:rsidR="00FF4BE0" w:rsidRDefault="00000000">
      <w:pPr>
        <w:pStyle w:val="BodyText"/>
        <w:spacing w:before="342" w:line="312" w:lineRule="auto"/>
        <w:ind w:left="155"/>
      </w:pPr>
      <w:r>
        <w:rPr>
          <w:color w:val="343433"/>
        </w:rPr>
        <w:t>If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we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do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not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capacity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assist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you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required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timeframe,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here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are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few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other</w:t>
      </w:r>
      <w:r>
        <w:rPr>
          <w:color w:val="343433"/>
          <w:spacing w:val="-4"/>
        </w:rPr>
        <w:t xml:space="preserve"> </w:t>
      </w:r>
      <w:r>
        <w:rPr>
          <w:color w:val="343433"/>
        </w:rPr>
        <w:t>funded organisations who may be able to assist with external NDIS appeals at the Tribunal.</w:t>
      </w:r>
    </w:p>
    <w:p w14:paraId="38FB4678" w14:textId="77777777" w:rsidR="00FF4BE0" w:rsidRDefault="00FF4BE0">
      <w:pPr>
        <w:pStyle w:val="BodyText"/>
        <w:spacing w:before="171"/>
      </w:pPr>
    </w:p>
    <w:p w14:paraId="1ACB4E4D" w14:textId="6F2601E3" w:rsidR="00FF4BE0" w:rsidRDefault="00000000">
      <w:pPr>
        <w:spacing w:line="312" w:lineRule="auto"/>
        <w:ind w:left="155" w:right="6629" w:hanging="5"/>
        <w:rPr>
          <w:sz w:val="24"/>
        </w:rPr>
      </w:pPr>
      <w:r>
        <w:rPr>
          <w:b/>
          <w:color w:val="343433"/>
          <w:spacing w:val="-10"/>
          <w:sz w:val="24"/>
        </w:rPr>
        <w:t>Legal</w:t>
      </w:r>
      <w:r>
        <w:rPr>
          <w:b/>
          <w:color w:val="343433"/>
          <w:spacing w:val="-7"/>
          <w:sz w:val="24"/>
        </w:rPr>
        <w:t xml:space="preserve"> </w:t>
      </w:r>
      <w:r>
        <w:rPr>
          <w:b/>
          <w:color w:val="343433"/>
          <w:spacing w:val="-10"/>
          <w:sz w:val="24"/>
        </w:rPr>
        <w:t>Aid</w:t>
      </w:r>
      <w:r>
        <w:rPr>
          <w:b/>
          <w:color w:val="343433"/>
          <w:spacing w:val="-8"/>
          <w:sz w:val="24"/>
        </w:rPr>
        <w:t xml:space="preserve"> </w:t>
      </w:r>
      <w:r>
        <w:rPr>
          <w:b/>
          <w:color w:val="343433"/>
          <w:spacing w:val="-10"/>
          <w:sz w:val="24"/>
        </w:rPr>
        <w:t>Queensland</w:t>
      </w:r>
      <w:r>
        <w:rPr>
          <w:b/>
          <w:color w:val="343433"/>
          <w:spacing w:val="-8"/>
          <w:sz w:val="24"/>
        </w:rPr>
        <w:t xml:space="preserve"> </w:t>
      </w:r>
      <w:r>
        <w:rPr>
          <w:b/>
          <w:color w:val="343433"/>
          <w:spacing w:val="-10"/>
          <w:sz w:val="24"/>
        </w:rPr>
        <w:t xml:space="preserve">(LAQ) </w:t>
      </w:r>
      <w:r>
        <w:rPr>
          <w:b/>
          <w:color w:val="343433"/>
          <w:sz w:val="24"/>
        </w:rPr>
        <w:t>Areas</w:t>
      </w:r>
      <w:r>
        <w:rPr>
          <w:color w:val="343433"/>
          <w:sz w:val="24"/>
        </w:rPr>
        <w:t>: All Queensland</w:t>
      </w:r>
    </w:p>
    <w:p w14:paraId="0487983F" w14:textId="77777777" w:rsidR="00FF4BE0" w:rsidRDefault="00000000">
      <w:pPr>
        <w:pStyle w:val="BodyText"/>
        <w:tabs>
          <w:tab w:val="left" w:pos="2796"/>
        </w:tabs>
        <w:spacing w:before="54"/>
        <w:ind w:left="5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1336166" wp14:editId="3B2C7121">
            <wp:simplePos x="0" y="0"/>
            <wp:positionH relativeFrom="page">
              <wp:posOffset>458453</wp:posOffset>
            </wp:positionH>
            <wp:positionV relativeFrom="paragraph">
              <wp:posOffset>31083</wp:posOffset>
            </wp:positionV>
            <wp:extent cx="230835" cy="23080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86464" behindDoc="1" locked="0" layoutInCell="1" allowOverlap="1" wp14:anchorId="32FCC81F" wp14:editId="26960B87">
            <wp:simplePos x="0" y="0"/>
            <wp:positionH relativeFrom="page">
              <wp:posOffset>1854835</wp:posOffset>
            </wp:positionH>
            <wp:positionV relativeFrom="paragraph">
              <wp:posOffset>31082</wp:posOffset>
            </wp:positionV>
            <wp:extent cx="230822" cy="2308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40B47"/>
          <w:position w:val="-2"/>
          <w:u w:val="single" w:color="B40B47"/>
        </w:rPr>
        <w:t>1300</w:t>
      </w:r>
      <w:r>
        <w:rPr>
          <w:color w:val="B40B47"/>
          <w:spacing w:val="-8"/>
          <w:position w:val="-2"/>
          <w:u w:val="single" w:color="B40B47"/>
        </w:rPr>
        <w:t xml:space="preserve"> </w:t>
      </w:r>
      <w:r>
        <w:rPr>
          <w:color w:val="B40B47"/>
          <w:position w:val="-2"/>
          <w:u w:val="single" w:color="B40B47"/>
        </w:rPr>
        <w:t>651</w:t>
      </w:r>
      <w:r>
        <w:rPr>
          <w:color w:val="B40B47"/>
          <w:spacing w:val="-8"/>
          <w:position w:val="-2"/>
          <w:u w:val="single" w:color="B40B47"/>
        </w:rPr>
        <w:t xml:space="preserve"> </w:t>
      </w:r>
      <w:r>
        <w:rPr>
          <w:color w:val="B40B47"/>
          <w:spacing w:val="-5"/>
          <w:position w:val="-2"/>
          <w:u w:val="single" w:color="B40B47"/>
        </w:rPr>
        <w:t>188</w:t>
      </w:r>
      <w:r>
        <w:rPr>
          <w:color w:val="B40B47"/>
          <w:position w:val="-2"/>
        </w:rPr>
        <w:tab/>
      </w:r>
      <w:hyperlink r:id="rId16">
        <w:r>
          <w:rPr>
            <w:color w:val="B40B47"/>
            <w:spacing w:val="-2"/>
            <w:u w:val="single" w:color="B40B47"/>
          </w:rPr>
          <w:t>legalaid.qld.gov.au</w:t>
        </w:r>
      </w:hyperlink>
    </w:p>
    <w:p w14:paraId="60E86C2C" w14:textId="77777777" w:rsidR="00FF4BE0" w:rsidRDefault="00FF4BE0">
      <w:pPr>
        <w:pStyle w:val="BodyText"/>
        <w:spacing w:before="215"/>
      </w:pPr>
    </w:p>
    <w:p w14:paraId="4F8AB22B" w14:textId="77777777" w:rsidR="00FF4BE0" w:rsidRDefault="00000000">
      <w:pPr>
        <w:pStyle w:val="BodyText"/>
        <w:spacing w:line="312" w:lineRule="auto"/>
        <w:ind w:left="155"/>
      </w:pPr>
      <w:r>
        <w:rPr>
          <w:color w:val="343433"/>
        </w:rPr>
        <w:t>Legal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Aid</w:t>
      </w:r>
      <w:r>
        <w:rPr>
          <w:color w:val="343433"/>
          <w:spacing w:val="-11"/>
        </w:rPr>
        <w:t xml:space="preserve"> </w:t>
      </w:r>
      <w:proofErr w:type="gramStart"/>
      <w:r>
        <w:rPr>
          <w:color w:val="343433"/>
        </w:rPr>
        <w:t>have</w:t>
      </w:r>
      <w:proofErr w:type="gramEnd"/>
      <w:r>
        <w:rPr>
          <w:color w:val="343433"/>
          <w:spacing w:val="-11"/>
        </w:rPr>
        <w:t xml:space="preserve"> </w:t>
      </w:r>
      <w:proofErr w:type="gramStart"/>
      <w:r>
        <w:rPr>
          <w:color w:val="343433"/>
        </w:rPr>
        <w:t>an</w:t>
      </w:r>
      <w:proofErr w:type="gramEnd"/>
      <w:r>
        <w:rPr>
          <w:color w:val="343433"/>
          <w:spacing w:val="-11"/>
        </w:rPr>
        <w:t xml:space="preserve"> </w:t>
      </w:r>
      <w:r>
        <w:rPr>
          <w:color w:val="343433"/>
        </w:rPr>
        <w:t>NDIS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reviews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unit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provides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people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who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have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received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11"/>
        </w:rPr>
        <w:t xml:space="preserve"> </w:t>
      </w:r>
      <w:r>
        <w:rPr>
          <w:color w:val="343433"/>
        </w:rPr>
        <w:t>internal review decision but have not yet lodged an external application with the ART.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Their advice clinic runs on Wednesdays and bookings can be made by calling them.</w:t>
      </w:r>
    </w:p>
    <w:p w14:paraId="16E201D3" w14:textId="77777777" w:rsidR="00FF4BE0" w:rsidRDefault="00FF4BE0">
      <w:pPr>
        <w:pStyle w:val="BodyText"/>
        <w:spacing w:line="312" w:lineRule="auto"/>
        <w:sectPr w:rsidR="00FF4BE0">
          <w:pgSz w:w="11910" w:h="16840"/>
          <w:pgMar w:top="840" w:right="850" w:bottom="280" w:left="566" w:header="720" w:footer="720" w:gutter="0"/>
          <w:cols w:space="720"/>
        </w:sectPr>
      </w:pPr>
    </w:p>
    <w:p w14:paraId="776CCC32" w14:textId="3084BBD1" w:rsidR="00FF4BE0" w:rsidRDefault="00000000">
      <w:pPr>
        <w:spacing w:before="102" w:line="312" w:lineRule="auto"/>
        <w:ind w:left="164" w:right="5903" w:hanging="5"/>
        <w:rPr>
          <w:sz w:val="24"/>
        </w:rPr>
      </w:pPr>
      <w:r>
        <w:rPr>
          <w:b/>
          <w:color w:val="343433"/>
          <w:spacing w:val="-8"/>
          <w:sz w:val="24"/>
        </w:rPr>
        <w:lastRenderedPageBreak/>
        <w:t xml:space="preserve">People With Disability Australia (PWDA) </w:t>
      </w:r>
      <w:r>
        <w:rPr>
          <w:b/>
          <w:color w:val="343433"/>
          <w:sz w:val="24"/>
        </w:rPr>
        <w:t>Areas</w:t>
      </w:r>
      <w:r>
        <w:rPr>
          <w:color w:val="343433"/>
          <w:sz w:val="24"/>
        </w:rPr>
        <w:t>: All Queensland</w:t>
      </w:r>
    </w:p>
    <w:p w14:paraId="23E2A47C" w14:textId="77777777" w:rsidR="00FF4BE0" w:rsidRDefault="00000000">
      <w:pPr>
        <w:pStyle w:val="BodyText"/>
        <w:tabs>
          <w:tab w:val="left" w:pos="2761"/>
          <w:tab w:val="left" w:pos="5325"/>
        </w:tabs>
        <w:spacing w:before="70"/>
        <w:ind w:left="604"/>
        <w:rPr>
          <w:position w:val="3"/>
        </w:rPr>
      </w:pPr>
      <w:r>
        <w:rPr>
          <w:color w:val="B40B47"/>
          <w:u w:val="single" w:color="B40B47"/>
        </w:rPr>
        <w:t>1800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u w:val="single" w:color="B40B47"/>
        </w:rPr>
        <w:t>422</w:t>
      </w:r>
      <w:r>
        <w:rPr>
          <w:color w:val="B40B47"/>
          <w:spacing w:val="-9"/>
          <w:u w:val="single" w:color="B40B47"/>
        </w:rPr>
        <w:t xml:space="preserve"> </w:t>
      </w:r>
      <w:r>
        <w:rPr>
          <w:color w:val="B40B47"/>
          <w:spacing w:val="-5"/>
          <w:u w:val="single" w:color="B40B47"/>
        </w:rPr>
        <w:t>015</w:t>
      </w:r>
      <w:r>
        <w:rPr>
          <w:color w:val="B40B47"/>
        </w:rPr>
        <w:tab/>
      </w:r>
      <w:hyperlink r:id="rId17">
        <w:r>
          <w:rPr>
            <w:color w:val="B40B47"/>
            <w:spacing w:val="-2"/>
            <w:position w:val="1"/>
            <w:u w:val="single" w:color="B40B47"/>
          </w:rPr>
          <w:t>pwd@pwd.org.au</w:t>
        </w:r>
      </w:hyperlink>
      <w:r>
        <w:rPr>
          <w:color w:val="B40B47"/>
          <w:position w:val="1"/>
        </w:rPr>
        <w:tab/>
      </w:r>
      <w:hyperlink r:id="rId18">
        <w:r>
          <w:rPr>
            <w:color w:val="B40B47"/>
            <w:spacing w:val="-2"/>
            <w:position w:val="3"/>
            <w:u w:val="single" w:color="B40B47"/>
          </w:rPr>
          <w:t>pwd</w:t>
        </w:r>
      </w:hyperlink>
      <w:hyperlink r:id="rId19">
        <w:r>
          <w:rPr>
            <w:color w:val="B40B47"/>
            <w:spacing w:val="-2"/>
            <w:position w:val="3"/>
            <w:u w:val="single" w:color="B40B47"/>
          </w:rPr>
          <w:t>.org.au</w:t>
        </w:r>
      </w:hyperlink>
    </w:p>
    <w:p w14:paraId="48CCE883" w14:textId="77777777" w:rsidR="00FF4BE0" w:rsidRDefault="00FF4BE0">
      <w:pPr>
        <w:pStyle w:val="BodyText"/>
      </w:pPr>
    </w:p>
    <w:p w14:paraId="7800BDA8" w14:textId="77777777" w:rsidR="00FF4BE0" w:rsidRDefault="00FF4BE0">
      <w:pPr>
        <w:pStyle w:val="BodyText"/>
        <w:spacing w:before="94"/>
      </w:pPr>
    </w:p>
    <w:p w14:paraId="4F78CE97" w14:textId="77777777" w:rsidR="00FF4BE0" w:rsidRDefault="00000000">
      <w:pPr>
        <w:spacing w:line="312" w:lineRule="auto"/>
        <w:ind w:left="155" w:right="6629" w:hanging="5"/>
        <w:rPr>
          <w:sz w:val="24"/>
        </w:rPr>
      </w:pPr>
      <w:r>
        <w:rPr>
          <w:b/>
          <w:color w:val="343433"/>
          <w:sz w:val="24"/>
        </w:rPr>
        <w:t>Speaking</w:t>
      </w:r>
      <w:r>
        <w:rPr>
          <w:b/>
          <w:color w:val="343433"/>
          <w:spacing w:val="-17"/>
          <w:sz w:val="24"/>
        </w:rPr>
        <w:t xml:space="preserve"> </w:t>
      </w:r>
      <w:r>
        <w:rPr>
          <w:b/>
          <w:color w:val="343433"/>
          <w:sz w:val="24"/>
        </w:rPr>
        <w:t>Up</w:t>
      </w:r>
      <w:r>
        <w:rPr>
          <w:b/>
          <w:color w:val="343433"/>
          <w:spacing w:val="-17"/>
          <w:sz w:val="24"/>
        </w:rPr>
        <w:t xml:space="preserve"> </w:t>
      </w:r>
      <w:proofErr w:type="gramStart"/>
      <w:r>
        <w:rPr>
          <w:b/>
          <w:color w:val="343433"/>
          <w:sz w:val="24"/>
        </w:rPr>
        <w:t>For</w:t>
      </w:r>
      <w:proofErr w:type="gramEnd"/>
      <w:r>
        <w:rPr>
          <w:b/>
          <w:color w:val="343433"/>
          <w:spacing w:val="-16"/>
          <w:sz w:val="24"/>
        </w:rPr>
        <w:t xml:space="preserve"> </w:t>
      </w:r>
      <w:r>
        <w:rPr>
          <w:b/>
          <w:color w:val="343433"/>
          <w:sz w:val="24"/>
        </w:rPr>
        <w:t>You</w:t>
      </w:r>
      <w:r>
        <w:rPr>
          <w:b/>
          <w:color w:val="343433"/>
          <w:spacing w:val="-17"/>
          <w:sz w:val="24"/>
        </w:rPr>
        <w:t xml:space="preserve"> </w:t>
      </w:r>
      <w:r>
        <w:rPr>
          <w:b/>
          <w:color w:val="343433"/>
          <w:sz w:val="24"/>
        </w:rPr>
        <w:t xml:space="preserve">(SUFY) </w:t>
      </w:r>
      <w:r>
        <w:rPr>
          <w:b/>
          <w:color w:val="343433"/>
          <w:spacing w:val="-2"/>
          <w:sz w:val="24"/>
        </w:rPr>
        <w:t>Areas</w:t>
      </w:r>
      <w:r>
        <w:rPr>
          <w:color w:val="343433"/>
          <w:spacing w:val="-2"/>
          <w:sz w:val="24"/>
        </w:rPr>
        <w:t>:</w:t>
      </w:r>
      <w:r>
        <w:rPr>
          <w:color w:val="343433"/>
          <w:spacing w:val="-15"/>
          <w:sz w:val="24"/>
        </w:rPr>
        <w:t xml:space="preserve"> </w:t>
      </w:r>
      <w:r>
        <w:rPr>
          <w:color w:val="343433"/>
          <w:spacing w:val="-2"/>
          <w:sz w:val="24"/>
        </w:rPr>
        <w:t>Brisbane</w:t>
      </w:r>
      <w:r>
        <w:rPr>
          <w:color w:val="343433"/>
          <w:spacing w:val="-15"/>
          <w:sz w:val="24"/>
        </w:rPr>
        <w:t xml:space="preserve"> </w:t>
      </w:r>
      <w:r>
        <w:rPr>
          <w:color w:val="343433"/>
          <w:spacing w:val="-2"/>
          <w:sz w:val="24"/>
        </w:rPr>
        <w:t>and</w:t>
      </w:r>
      <w:r>
        <w:rPr>
          <w:color w:val="343433"/>
          <w:spacing w:val="-14"/>
          <w:sz w:val="24"/>
        </w:rPr>
        <w:t xml:space="preserve"> </w:t>
      </w:r>
      <w:r>
        <w:rPr>
          <w:color w:val="343433"/>
          <w:spacing w:val="-2"/>
          <w:sz w:val="24"/>
        </w:rPr>
        <w:t>Moreton</w:t>
      </w:r>
      <w:r>
        <w:rPr>
          <w:color w:val="343433"/>
          <w:spacing w:val="-15"/>
          <w:sz w:val="24"/>
        </w:rPr>
        <w:t xml:space="preserve"> </w:t>
      </w:r>
      <w:r>
        <w:rPr>
          <w:color w:val="343433"/>
          <w:spacing w:val="-2"/>
          <w:sz w:val="24"/>
        </w:rPr>
        <w:t>Bay</w:t>
      </w:r>
    </w:p>
    <w:p w14:paraId="689A5ABC" w14:textId="77777777" w:rsidR="00FF4BE0" w:rsidRDefault="00000000">
      <w:pPr>
        <w:pStyle w:val="BodyText"/>
        <w:tabs>
          <w:tab w:val="left" w:pos="2752"/>
          <w:tab w:val="left" w:pos="5316"/>
        </w:tabs>
        <w:spacing w:before="70"/>
        <w:ind w:left="595"/>
        <w:rPr>
          <w:position w:val="3"/>
        </w:rPr>
      </w:pPr>
      <w:r>
        <w:rPr>
          <w:color w:val="B40B47"/>
          <w:u w:val="single" w:color="B40B47"/>
        </w:rPr>
        <w:t>07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u w:val="single" w:color="B40B47"/>
        </w:rPr>
        <w:t>3255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spacing w:val="-4"/>
          <w:u w:val="single" w:color="B40B47"/>
        </w:rPr>
        <w:t>1244</w:t>
      </w:r>
      <w:r>
        <w:rPr>
          <w:color w:val="B40B47"/>
        </w:rPr>
        <w:tab/>
      </w:r>
      <w:hyperlink r:id="rId20">
        <w:r>
          <w:rPr>
            <w:color w:val="B40B47"/>
            <w:spacing w:val="-2"/>
            <w:position w:val="1"/>
            <w:u w:val="single" w:color="B40B47"/>
          </w:rPr>
          <w:t>sufy@sufy.org.au</w:t>
        </w:r>
      </w:hyperlink>
      <w:r>
        <w:rPr>
          <w:color w:val="B40B47"/>
          <w:position w:val="1"/>
        </w:rPr>
        <w:tab/>
      </w:r>
      <w:hyperlink r:id="rId21">
        <w:r>
          <w:rPr>
            <w:color w:val="B40B47"/>
            <w:spacing w:val="-2"/>
            <w:position w:val="3"/>
            <w:u w:val="single" w:color="B40B47"/>
          </w:rPr>
          <w:t>sufy</w:t>
        </w:r>
      </w:hyperlink>
      <w:hyperlink r:id="rId22">
        <w:r>
          <w:rPr>
            <w:color w:val="B40B47"/>
            <w:spacing w:val="-2"/>
            <w:position w:val="3"/>
            <w:u w:val="single" w:color="B40B47"/>
          </w:rPr>
          <w:t>.org.au</w:t>
        </w:r>
      </w:hyperlink>
    </w:p>
    <w:p w14:paraId="0497BD03" w14:textId="77777777" w:rsidR="00FF4BE0" w:rsidRDefault="00FF4BE0">
      <w:pPr>
        <w:pStyle w:val="BodyText"/>
      </w:pPr>
    </w:p>
    <w:p w14:paraId="4C3ABFFB" w14:textId="77777777" w:rsidR="00FF4BE0" w:rsidRDefault="00FF4BE0">
      <w:pPr>
        <w:pStyle w:val="BodyText"/>
        <w:spacing w:before="54"/>
      </w:pPr>
    </w:p>
    <w:p w14:paraId="04E3DA40" w14:textId="77777777" w:rsidR="00FF4BE0" w:rsidRDefault="00000000">
      <w:pPr>
        <w:pStyle w:val="Heading4"/>
      </w:pPr>
      <w:r>
        <w:rPr>
          <w:color w:val="343433"/>
          <w:w w:val="90"/>
        </w:rPr>
        <w:t>Rights</w:t>
      </w:r>
      <w:r>
        <w:rPr>
          <w:color w:val="343433"/>
          <w:spacing w:val="3"/>
        </w:rPr>
        <w:t xml:space="preserve"> </w:t>
      </w:r>
      <w:r>
        <w:rPr>
          <w:color w:val="343433"/>
          <w:w w:val="90"/>
        </w:rPr>
        <w:t>In</w:t>
      </w:r>
      <w:r>
        <w:rPr>
          <w:color w:val="343433"/>
          <w:spacing w:val="5"/>
        </w:rPr>
        <w:t xml:space="preserve"> </w:t>
      </w:r>
      <w:r>
        <w:rPr>
          <w:color w:val="343433"/>
          <w:w w:val="90"/>
        </w:rPr>
        <w:t>Action</w:t>
      </w:r>
      <w:r>
        <w:rPr>
          <w:color w:val="343433"/>
          <w:spacing w:val="6"/>
        </w:rPr>
        <w:t xml:space="preserve"> </w:t>
      </w:r>
      <w:r>
        <w:rPr>
          <w:color w:val="343433"/>
          <w:spacing w:val="-2"/>
          <w:w w:val="90"/>
        </w:rPr>
        <w:t>(RIA)</w:t>
      </w:r>
    </w:p>
    <w:p w14:paraId="34388977" w14:textId="77777777" w:rsidR="00FF4BE0" w:rsidRDefault="00000000">
      <w:pPr>
        <w:pStyle w:val="BodyText"/>
        <w:spacing w:before="84" w:line="312" w:lineRule="auto"/>
        <w:ind w:left="160" w:right="2049"/>
      </w:pPr>
      <w:r>
        <w:rPr>
          <w:b/>
          <w:color w:val="343433"/>
          <w:spacing w:val="-4"/>
        </w:rPr>
        <w:t>Areas</w:t>
      </w:r>
      <w:r>
        <w:rPr>
          <w:color w:val="343433"/>
          <w:spacing w:val="-4"/>
        </w:rPr>
        <w:t>: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Cairns,</w:t>
      </w:r>
      <w:r>
        <w:rPr>
          <w:color w:val="343433"/>
          <w:spacing w:val="-12"/>
        </w:rPr>
        <w:t xml:space="preserve"> </w:t>
      </w:r>
      <w:proofErr w:type="spellStart"/>
      <w:r>
        <w:rPr>
          <w:color w:val="343433"/>
          <w:spacing w:val="-4"/>
        </w:rPr>
        <w:t>Yarrabah</w:t>
      </w:r>
      <w:proofErr w:type="spellEnd"/>
      <w:r>
        <w:rPr>
          <w:color w:val="343433"/>
          <w:spacing w:val="-4"/>
        </w:rPr>
        <w:t>,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Mareeba,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Atherton,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Port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Douglas,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>Daintree,</w:t>
      </w:r>
      <w:r>
        <w:rPr>
          <w:color w:val="343433"/>
          <w:spacing w:val="-12"/>
        </w:rPr>
        <w:t xml:space="preserve"> </w:t>
      </w:r>
      <w:r>
        <w:rPr>
          <w:color w:val="343433"/>
          <w:spacing w:val="-4"/>
        </w:rPr>
        <w:t xml:space="preserve">Ayr, </w:t>
      </w:r>
      <w:r>
        <w:rPr>
          <w:color w:val="343433"/>
        </w:rPr>
        <w:t>Ingham and Charters Towers, Townsville and surrounds.</w:t>
      </w:r>
    </w:p>
    <w:p w14:paraId="77FE6741" w14:textId="77777777" w:rsidR="00FF4BE0" w:rsidRDefault="00000000">
      <w:pPr>
        <w:pStyle w:val="BodyText"/>
        <w:tabs>
          <w:tab w:val="left" w:pos="2757"/>
          <w:tab w:val="left" w:pos="5981"/>
        </w:tabs>
        <w:spacing w:before="70"/>
        <w:ind w:left="600"/>
        <w:rPr>
          <w:position w:val="3"/>
        </w:rPr>
      </w:pPr>
      <w:r>
        <w:rPr>
          <w:color w:val="B40B47"/>
          <w:u w:val="single" w:color="B40B47"/>
        </w:rPr>
        <w:t>07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u w:val="single" w:color="B40B47"/>
        </w:rPr>
        <w:t>4031</w:t>
      </w:r>
      <w:r>
        <w:rPr>
          <w:color w:val="B40B47"/>
          <w:spacing w:val="-8"/>
          <w:u w:val="single" w:color="B40B47"/>
        </w:rPr>
        <w:t xml:space="preserve"> </w:t>
      </w:r>
      <w:r>
        <w:rPr>
          <w:color w:val="B40B47"/>
          <w:spacing w:val="-4"/>
          <w:u w:val="single" w:color="B40B47"/>
        </w:rPr>
        <w:t>7377</w:t>
      </w:r>
      <w:r>
        <w:rPr>
          <w:color w:val="B40B47"/>
        </w:rPr>
        <w:tab/>
      </w:r>
      <w:hyperlink r:id="rId23">
        <w:r>
          <w:rPr>
            <w:color w:val="B40B47"/>
            <w:spacing w:val="-2"/>
            <w:position w:val="1"/>
            <w:u w:val="single" w:color="B40B47"/>
          </w:rPr>
          <w:t>info@rightsinaction.org</w:t>
        </w:r>
      </w:hyperlink>
      <w:r>
        <w:rPr>
          <w:color w:val="B40B47"/>
          <w:position w:val="1"/>
        </w:rPr>
        <w:tab/>
      </w:r>
      <w:hyperlink r:id="rId24">
        <w:r>
          <w:rPr>
            <w:color w:val="B40B47"/>
            <w:spacing w:val="-2"/>
            <w:position w:val="3"/>
            <w:u w:val="single" w:color="B40B47"/>
          </w:rPr>
          <w:t>rightsinaction.org</w:t>
        </w:r>
      </w:hyperlink>
    </w:p>
    <w:p w14:paraId="75CC1E53" w14:textId="77777777" w:rsidR="00FF4BE0" w:rsidRDefault="00FF4BE0">
      <w:pPr>
        <w:pStyle w:val="BodyText"/>
      </w:pPr>
    </w:p>
    <w:p w14:paraId="32B43DC8" w14:textId="77777777" w:rsidR="00FF4BE0" w:rsidRDefault="00FF4BE0">
      <w:pPr>
        <w:pStyle w:val="BodyText"/>
      </w:pPr>
    </w:p>
    <w:p w14:paraId="47B2DD39" w14:textId="77777777" w:rsidR="00FF4BE0" w:rsidRDefault="00FF4BE0">
      <w:pPr>
        <w:pStyle w:val="BodyText"/>
      </w:pPr>
    </w:p>
    <w:p w14:paraId="33DDBD0F" w14:textId="77777777" w:rsidR="00FF4BE0" w:rsidRDefault="00FF4BE0">
      <w:pPr>
        <w:pStyle w:val="BodyText"/>
      </w:pPr>
    </w:p>
    <w:p w14:paraId="5CAAAAC2" w14:textId="77777777" w:rsidR="00FF4BE0" w:rsidRDefault="00FF4BE0">
      <w:pPr>
        <w:pStyle w:val="BodyText"/>
      </w:pPr>
    </w:p>
    <w:p w14:paraId="1A65CB2A" w14:textId="77777777" w:rsidR="00FF4BE0" w:rsidRDefault="00FF4BE0">
      <w:pPr>
        <w:pStyle w:val="BodyText"/>
      </w:pPr>
    </w:p>
    <w:p w14:paraId="4E2FD94E" w14:textId="77777777" w:rsidR="00FF4BE0" w:rsidRDefault="00FF4BE0">
      <w:pPr>
        <w:pStyle w:val="BodyText"/>
      </w:pPr>
    </w:p>
    <w:p w14:paraId="1CB07761" w14:textId="77777777" w:rsidR="00FF4BE0" w:rsidRDefault="00FF4BE0">
      <w:pPr>
        <w:pStyle w:val="BodyText"/>
      </w:pPr>
    </w:p>
    <w:p w14:paraId="38E0893F" w14:textId="77777777" w:rsidR="00FF4BE0" w:rsidRDefault="00FF4BE0">
      <w:pPr>
        <w:pStyle w:val="BodyText"/>
      </w:pPr>
    </w:p>
    <w:p w14:paraId="18FE1AE5" w14:textId="77777777" w:rsidR="00FF4BE0" w:rsidRDefault="00FF4BE0">
      <w:pPr>
        <w:pStyle w:val="BodyText"/>
      </w:pPr>
    </w:p>
    <w:p w14:paraId="675A70F8" w14:textId="77777777" w:rsidR="00FF4BE0" w:rsidRDefault="00FF4BE0">
      <w:pPr>
        <w:pStyle w:val="BodyText"/>
      </w:pPr>
    </w:p>
    <w:p w14:paraId="13ACD9A0" w14:textId="77777777" w:rsidR="00FF4BE0" w:rsidRDefault="00FF4BE0">
      <w:pPr>
        <w:pStyle w:val="BodyText"/>
      </w:pPr>
    </w:p>
    <w:p w14:paraId="69258871" w14:textId="77777777" w:rsidR="00FF4BE0" w:rsidRDefault="00FF4BE0">
      <w:pPr>
        <w:pStyle w:val="BodyText"/>
      </w:pPr>
    </w:p>
    <w:p w14:paraId="5FF05587" w14:textId="77777777" w:rsidR="00FF4BE0" w:rsidRDefault="00FF4BE0">
      <w:pPr>
        <w:pStyle w:val="BodyText"/>
      </w:pPr>
    </w:p>
    <w:p w14:paraId="220E0D43" w14:textId="77777777" w:rsidR="00FF4BE0" w:rsidRDefault="00FF4BE0">
      <w:pPr>
        <w:pStyle w:val="BodyText"/>
      </w:pPr>
    </w:p>
    <w:p w14:paraId="101F886D" w14:textId="77777777" w:rsidR="00FF4BE0" w:rsidRDefault="00FF4BE0">
      <w:pPr>
        <w:pStyle w:val="BodyText"/>
      </w:pPr>
    </w:p>
    <w:p w14:paraId="24C18335" w14:textId="77777777" w:rsidR="00FF4BE0" w:rsidRDefault="00FF4BE0">
      <w:pPr>
        <w:pStyle w:val="BodyText"/>
      </w:pPr>
    </w:p>
    <w:p w14:paraId="2ED35847" w14:textId="77777777" w:rsidR="00FF4BE0" w:rsidRDefault="00FF4BE0">
      <w:pPr>
        <w:pStyle w:val="BodyText"/>
      </w:pPr>
    </w:p>
    <w:p w14:paraId="7CEE7554" w14:textId="77777777" w:rsidR="00FF4BE0" w:rsidRDefault="00FF4BE0">
      <w:pPr>
        <w:pStyle w:val="BodyText"/>
      </w:pPr>
    </w:p>
    <w:p w14:paraId="63181A0A" w14:textId="77777777" w:rsidR="00FF4BE0" w:rsidRDefault="00FF4BE0">
      <w:pPr>
        <w:pStyle w:val="BodyText"/>
      </w:pPr>
    </w:p>
    <w:p w14:paraId="2EABDBA8" w14:textId="77777777" w:rsidR="00FF4BE0" w:rsidRDefault="00FF4BE0">
      <w:pPr>
        <w:pStyle w:val="BodyText"/>
      </w:pPr>
    </w:p>
    <w:p w14:paraId="121696B3" w14:textId="77777777" w:rsidR="00FF4BE0" w:rsidRDefault="00FF4BE0">
      <w:pPr>
        <w:pStyle w:val="BodyText"/>
      </w:pPr>
    </w:p>
    <w:p w14:paraId="079FFC44" w14:textId="77777777" w:rsidR="00FF4BE0" w:rsidRDefault="00FF4BE0">
      <w:pPr>
        <w:pStyle w:val="BodyText"/>
      </w:pPr>
    </w:p>
    <w:p w14:paraId="1F9D68C3" w14:textId="77777777" w:rsidR="00FF4BE0" w:rsidRDefault="00FF4BE0">
      <w:pPr>
        <w:pStyle w:val="BodyText"/>
      </w:pPr>
    </w:p>
    <w:p w14:paraId="74C8D32F" w14:textId="77777777" w:rsidR="00FF4BE0" w:rsidRDefault="00FF4BE0">
      <w:pPr>
        <w:pStyle w:val="BodyText"/>
      </w:pPr>
    </w:p>
    <w:p w14:paraId="575AA3D0" w14:textId="77777777" w:rsidR="00FF4BE0" w:rsidRDefault="00FF4BE0">
      <w:pPr>
        <w:pStyle w:val="BodyText"/>
      </w:pPr>
    </w:p>
    <w:p w14:paraId="4B4B5893" w14:textId="77777777" w:rsidR="00FF4BE0" w:rsidRDefault="00FF4BE0">
      <w:pPr>
        <w:pStyle w:val="BodyText"/>
      </w:pPr>
    </w:p>
    <w:p w14:paraId="2491DC77" w14:textId="77777777" w:rsidR="00FF4BE0" w:rsidRDefault="00FF4BE0">
      <w:pPr>
        <w:pStyle w:val="BodyText"/>
      </w:pPr>
    </w:p>
    <w:p w14:paraId="0AC38BA3" w14:textId="77777777" w:rsidR="00FF4BE0" w:rsidRDefault="00FF4BE0">
      <w:pPr>
        <w:pStyle w:val="BodyText"/>
      </w:pPr>
    </w:p>
    <w:p w14:paraId="0AD0ADDB" w14:textId="77777777" w:rsidR="00FF4BE0" w:rsidRDefault="00FF4BE0">
      <w:pPr>
        <w:pStyle w:val="BodyText"/>
      </w:pPr>
    </w:p>
    <w:p w14:paraId="02AA6289" w14:textId="77777777" w:rsidR="00FF4BE0" w:rsidRDefault="00FF4BE0">
      <w:pPr>
        <w:pStyle w:val="BodyText"/>
        <w:spacing w:before="56"/>
      </w:pPr>
    </w:p>
    <w:p w14:paraId="5D92C92E" w14:textId="77777777" w:rsidR="00FF4BE0" w:rsidRDefault="00000000">
      <w:pPr>
        <w:pStyle w:val="BodyText"/>
        <w:spacing w:line="312" w:lineRule="auto"/>
        <w:ind w:left="155" w:right="2811"/>
      </w:pPr>
      <w:r>
        <w:rPr>
          <w:color w:val="343433"/>
        </w:rPr>
        <w:t>This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fact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sheet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been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written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Queensland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Advocacy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 xml:space="preserve">Inclusion (QAI), an independent, community-based systems and advocacy organisation for people with </w:t>
      </w:r>
      <w:proofErr w:type="gramStart"/>
      <w:r>
        <w:rPr>
          <w:color w:val="343433"/>
        </w:rPr>
        <w:t>disability</w:t>
      </w:r>
      <w:proofErr w:type="gramEnd"/>
      <w:r>
        <w:rPr>
          <w:color w:val="343433"/>
        </w:rPr>
        <w:t xml:space="preserve"> in Queensland. This publication is for general information only. It must not be relied on as legal advice. You must seek legal advice about your own particular circumstances.</w:t>
      </w:r>
    </w:p>
    <w:sectPr w:rsidR="00FF4BE0">
      <w:pgSz w:w="11910" w:h="16840"/>
      <w:pgMar w:top="76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52DF"/>
    <w:multiLevelType w:val="hybridMultilevel"/>
    <w:tmpl w:val="DA940814"/>
    <w:lvl w:ilvl="0" w:tplc="32347CFC">
      <w:start w:val="1"/>
      <w:numFmt w:val="decimal"/>
      <w:lvlText w:val="%1"/>
      <w:lvlJc w:val="left"/>
      <w:pPr>
        <w:ind w:left="1234" w:hanging="591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688634BE">
      <w:numFmt w:val="bullet"/>
      <w:lvlText w:val="•"/>
      <w:lvlJc w:val="left"/>
      <w:pPr>
        <w:ind w:left="2164" w:hanging="591"/>
      </w:pPr>
      <w:rPr>
        <w:rFonts w:hint="default"/>
        <w:lang w:val="en-US" w:eastAsia="en-US" w:bidi="ar-SA"/>
      </w:rPr>
    </w:lvl>
    <w:lvl w:ilvl="2" w:tplc="EB805160">
      <w:numFmt w:val="bullet"/>
      <w:lvlText w:val="•"/>
      <w:lvlJc w:val="left"/>
      <w:pPr>
        <w:ind w:left="3089" w:hanging="591"/>
      </w:pPr>
      <w:rPr>
        <w:rFonts w:hint="default"/>
        <w:lang w:val="en-US" w:eastAsia="en-US" w:bidi="ar-SA"/>
      </w:rPr>
    </w:lvl>
    <w:lvl w:ilvl="3" w:tplc="632618D0">
      <w:numFmt w:val="bullet"/>
      <w:lvlText w:val="•"/>
      <w:lvlJc w:val="left"/>
      <w:pPr>
        <w:ind w:left="4014" w:hanging="591"/>
      </w:pPr>
      <w:rPr>
        <w:rFonts w:hint="default"/>
        <w:lang w:val="en-US" w:eastAsia="en-US" w:bidi="ar-SA"/>
      </w:rPr>
    </w:lvl>
    <w:lvl w:ilvl="4" w:tplc="6D48FB68">
      <w:numFmt w:val="bullet"/>
      <w:lvlText w:val="•"/>
      <w:lvlJc w:val="left"/>
      <w:pPr>
        <w:ind w:left="4939" w:hanging="591"/>
      </w:pPr>
      <w:rPr>
        <w:rFonts w:hint="default"/>
        <w:lang w:val="en-US" w:eastAsia="en-US" w:bidi="ar-SA"/>
      </w:rPr>
    </w:lvl>
    <w:lvl w:ilvl="5" w:tplc="870A1966">
      <w:numFmt w:val="bullet"/>
      <w:lvlText w:val="•"/>
      <w:lvlJc w:val="left"/>
      <w:pPr>
        <w:ind w:left="5864" w:hanging="591"/>
      </w:pPr>
      <w:rPr>
        <w:rFonts w:hint="default"/>
        <w:lang w:val="en-US" w:eastAsia="en-US" w:bidi="ar-SA"/>
      </w:rPr>
    </w:lvl>
    <w:lvl w:ilvl="6" w:tplc="CEA88400">
      <w:numFmt w:val="bullet"/>
      <w:lvlText w:val="•"/>
      <w:lvlJc w:val="left"/>
      <w:pPr>
        <w:ind w:left="6789" w:hanging="591"/>
      </w:pPr>
      <w:rPr>
        <w:rFonts w:hint="default"/>
        <w:lang w:val="en-US" w:eastAsia="en-US" w:bidi="ar-SA"/>
      </w:rPr>
    </w:lvl>
    <w:lvl w:ilvl="7" w:tplc="8DE292A2">
      <w:numFmt w:val="bullet"/>
      <w:lvlText w:val="•"/>
      <w:lvlJc w:val="left"/>
      <w:pPr>
        <w:ind w:left="7714" w:hanging="591"/>
      </w:pPr>
      <w:rPr>
        <w:rFonts w:hint="default"/>
        <w:lang w:val="en-US" w:eastAsia="en-US" w:bidi="ar-SA"/>
      </w:rPr>
    </w:lvl>
    <w:lvl w:ilvl="8" w:tplc="D4B83BA6">
      <w:numFmt w:val="bullet"/>
      <w:lvlText w:val="•"/>
      <w:lvlJc w:val="left"/>
      <w:pPr>
        <w:ind w:left="8639" w:hanging="591"/>
      </w:pPr>
      <w:rPr>
        <w:rFonts w:hint="default"/>
        <w:lang w:val="en-US" w:eastAsia="en-US" w:bidi="ar-SA"/>
      </w:rPr>
    </w:lvl>
  </w:abstractNum>
  <w:num w:numId="1" w16cid:durableId="10592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bvITkg2sPb0Lj3bvQd1AGXyBb4SBqPWVZ45n0b9uE5s59jwLDDL7LDC9NqxOMUV3A8e5mwZ4Ko5+kDsY0Ggw==" w:salt="sUTqDdUqSgeNjv4SEpQHW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BE0"/>
    <w:rsid w:val="003F7B12"/>
    <w:rsid w:val="00B142B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FC0F3"/>
  <w15:docId w15:val="{87493820-B835-4572-AC7E-760A9951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4"/>
      <w:ind w:left="151" w:right="4909"/>
      <w:outlineLvl w:val="0"/>
    </w:pPr>
    <w:rPr>
      <w:b/>
      <w:bCs/>
      <w:sz w:val="66"/>
      <w:szCs w:val="6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5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55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155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5"/>
      <w:ind w:left="1233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qai.org.au/" TargetMode="External"/><Relationship Id="rId18" Type="http://schemas.openxmlformats.org/officeDocument/2006/relationships/hyperlink" Target="https://pwd.org.a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ufy.org.au/" TargetMode="External"/><Relationship Id="rId7" Type="http://schemas.openxmlformats.org/officeDocument/2006/relationships/hyperlink" Target="https://qai.org.au/ndis-appeals-support/" TargetMode="External"/><Relationship Id="rId12" Type="http://schemas.openxmlformats.org/officeDocument/2006/relationships/hyperlink" Target="mailto:qai@qai.org.au" TargetMode="External"/><Relationship Id="rId17" Type="http://schemas.openxmlformats.org/officeDocument/2006/relationships/hyperlink" Target="mailto:pwd@pwd.org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egalaid.qld.gov.au/" TargetMode="External"/><Relationship Id="rId20" Type="http://schemas.openxmlformats.org/officeDocument/2006/relationships/hyperlink" Target="mailto:sufy@sufy.org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sufy.org.au/" TargetMode="External"/><Relationship Id="rId5" Type="http://schemas.openxmlformats.org/officeDocument/2006/relationships/hyperlink" Target="https://online.aat.gov.au/Home/InstructionsNdis" TargetMode="External"/><Relationship Id="rId15" Type="http://schemas.openxmlformats.org/officeDocument/2006/relationships/image" Target="media/image7.png"/><Relationship Id="rId23" Type="http://schemas.openxmlformats.org/officeDocument/2006/relationships/hyperlink" Target="mailto:info@rightsinaction.or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qai.org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s://qai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3378</Characters>
  <Application>Microsoft Office Word</Application>
  <DocSecurity>8</DocSecurity>
  <Lines>146</Lines>
  <Paragraphs>49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Bell</cp:lastModifiedBy>
  <cp:revision>2</cp:revision>
  <dcterms:created xsi:type="dcterms:W3CDTF">2026-05-14T06:03:00Z</dcterms:created>
  <dcterms:modified xsi:type="dcterms:W3CDTF">2026-05-14T06:04:00Z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18.0</vt:lpwstr>
  </property>
</Properties>
</file>